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方正小标宋简体" w:hAnsi="Calibri" w:eastAsia="方正小标宋简体" w:cs="黑体"/>
          <w:b w:val="0"/>
          <w:kern w:val="2"/>
          <w:sz w:val="40"/>
          <w:szCs w:val="40"/>
          <w:lang w:val="en-US" w:eastAsia="zh-CN" w:bidi="ar-SA"/>
        </w:rPr>
      </w:pPr>
      <w:r>
        <w:rPr>
          <w:rFonts w:hint="eastAsia" w:ascii="方正小标宋简体" w:hAnsi="Calibri" w:eastAsia="方正小标宋简体" w:cs="黑体"/>
          <w:b w:val="0"/>
          <w:kern w:val="2"/>
          <w:sz w:val="40"/>
          <w:szCs w:val="40"/>
          <w:lang w:val="en-US" w:eastAsia="zh-CN" w:bidi="ar-SA"/>
        </w:rPr>
        <w:t>黑水县龙坝乡人民政府</w:t>
      </w:r>
    </w:p>
    <w:p>
      <w:pPr>
        <w:jc w:val="center"/>
        <w:rPr>
          <w:rFonts w:hint="eastAsia" w:ascii="方正小标宋简体" w:hAnsi="Calibri" w:eastAsia="方正小标宋简体" w:cs="黑体"/>
          <w:b w:val="0"/>
          <w:kern w:val="2"/>
          <w:sz w:val="40"/>
          <w:szCs w:val="40"/>
          <w:lang w:val="en-US" w:eastAsia="zh-CN" w:bidi="ar-SA"/>
        </w:rPr>
      </w:pPr>
      <w:r>
        <w:rPr>
          <w:rFonts w:hint="eastAsia" w:ascii="方正小标宋简体" w:hAnsi="Calibri" w:eastAsia="方正小标宋简体" w:cs="黑体"/>
          <w:b w:val="0"/>
          <w:kern w:val="2"/>
          <w:sz w:val="40"/>
          <w:szCs w:val="40"/>
          <w:lang w:val="en-US" w:eastAsia="zh-CN" w:bidi="ar-SA"/>
        </w:rPr>
        <w:t>202</w:t>
      </w:r>
      <w:r>
        <w:rPr>
          <w:rFonts w:hint="eastAsia" w:ascii="方正小标宋简体" w:eastAsia="方正小标宋简体" w:cs="黑体"/>
          <w:b w:val="0"/>
          <w:kern w:val="2"/>
          <w:sz w:val="40"/>
          <w:szCs w:val="40"/>
          <w:lang w:val="en-US" w:eastAsia="zh-CN" w:bidi="ar-SA"/>
        </w:rPr>
        <w:t>3</w:t>
      </w:r>
      <w:r>
        <w:rPr>
          <w:rFonts w:hint="eastAsia" w:ascii="方正小标宋简体" w:hAnsi="Calibri" w:eastAsia="方正小标宋简体" w:cs="黑体"/>
          <w:b w:val="0"/>
          <w:kern w:val="2"/>
          <w:sz w:val="40"/>
          <w:szCs w:val="40"/>
          <w:lang w:val="en-US" w:eastAsia="zh-CN" w:bidi="ar-SA"/>
        </w:rPr>
        <w:t>年</w:t>
      </w:r>
      <w:r>
        <w:rPr>
          <w:rFonts w:hint="eastAsia" w:ascii="方正小标宋简体" w:eastAsia="方正小标宋简体" w:cs="黑体"/>
          <w:b w:val="0"/>
          <w:kern w:val="2"/>
          <w:sz w:val="40"/>
          <w:szCs w:val="40"/>
          <w:lang w:val="en-US" w:eastAsia="zh-CN" w:bidi="ar-SA"/>
        </w:rPr>
        <w:t>村级公共运行维护费</w:t>
      </w:r>
      <w:r>
        <w:rPr>
          <w:rFonts w:hint="eastAsia" w:ascii="方正小标宋简体" w:hAnsi="Calibri" w:eastAsia="方正小标宋简体" w:cs="黑体"/>
          <w:b w:val="0"/>
          <w:kern w:val="2"/>
          <w:sz w:val="40"/>
          <w:szCs w:val="40"/>
          <w:lang w:val="en-US" w:eastAsia="zh-CN" w:bidi="ar-SA"/>
        </w:rPr>
        <w:t>项目绩效自评报告</w:t>
      </w:r>
    </w:p>
    <w:p>
      <w:pPr>
        <w:jc w:val="center"/>
        <w:rPr>
          <w:rFonts w:hint="eastAsia" w:ascii="方正小标宋简体" w:hAnsi="Calibri" w:eastAsia="方正小标宋简体" w:cs="黑体"/>
          <w:b w:val="0"/>
          <w:kern w:val="2"/>
          <w:sz w:val="40"/>
          <w:szCs w:val="40"/>
          <w:lang w:val="en-US" w:eastAsia="zh-CN" w:bidi="ar-SA"/>
        </w:rPr>
      </w:pPr>
    </w:p>
    <w:p>
      <w:pPr>
        <w:ind w:firstLine="722" w:firstLineChars="200"/>
        <w:rPr>
          <w:rFonts w:hint="eastAsia"/>
        </w:rPr>
      </w:pPr>
      <w:r>
        <w:rPr>
          <w:rFonts w:hint="eastAsia" w:ascii="仿宋" w:hAnsi="仿宋" w:eastAsia="仿宋" w:cs="仿宋"/>
          <w:b/>
          <w:bCs/>
          <w:sz w:val="36"/>
          <w:szCs w:val="36"/>
        </w:rPr>
        <w:t>一、项目概况</w:t>
      </w:r>
    </w:p>
    <w:p>
      <w:pPr>
        <w:numPr>
          <w:ilvl w:val="0"/>
          <w:numId w:val="0"/>
        </w:numPr>
        <w:ind w:firstLine="642" w:firstLineChars="200"/>
        <w:rPr>
          <w:rFonts w:hint="eastAsia" w:ascii="仿宋" w:hAnsi="仿宋" w:eastAsia="仿宋" w:cs="仿宋"/>
          <w:sz w:val="32"/>
          <w:szCs w:val="32"/>
        </w:rPr>
      </w:pPr>
      <w:r>
        <w:rPr>
          <w:rFonts w:hint="eastAsia" w:ascii="仿宋" w:hAnsi="仿宋" w:eastAsia="仿宋" w:cs="仿宋"/>
          <w:b/>
          <w:bCs/>
          <w:sz w:val="32"/>
          <w:szCs w:val="32"/>
          <w:lang w:eastAsia="zh-CN"/>
        </w:rPr>
        <w:t>（一）设立背景及基本情况。</w:t>
      </w:r>
    </w:p>
    <w:p>
      <w:pPr>
        <w:adjustRightInd w:val="0"/>
        <w:snapToGrid w:val="0"/>
        <w:spacing w:line="520" w:lineRule="exact"/>
        <w:ind w:firstLine="640" w:firstLineChars="200"/>
        <w:rPr>
          <w:rFonts w:hint="eastAsia" w:ascii="仿宋" w:hAnsi="仿宋" w:eastAsia="仿宋" w:cs="仿宋"/>
          <w:sz w:val="32"/>
          <w:szCs w:val="32"/>
        </w:rPr>
      </w:pPr>
      <w:r>
        <w:rPr>
          <w:rFonts w:hint="eastAsia" w:ascii="仿宋" w:eastAsia="仿宋" w:cs="仿宋"/>
          <w:sz w:val="32"/>
          <w:szCs w:val="32"/>
          <w:lang w:bidi="ar-SA"/>
        </w:rPr>
        <w:t>为全面加强我县基层党组织建设，提高村（社区）公共服务能力和社会管理水平，建立基层组织活动和公共服务运行补助经费保障机制，规范资金管理，提高资金使用绩效，根据《</w:t>
      </w:r>
      <w:r>
        <w:rPr>
          <w:rFonts w:hint="default" w:ascii="仿宋" w:eastAsia="仿宋" w:cs="仿宋"/>
          <w:sz w:val="32"/>
          <w:szCs w:val="32"/>
          <w:lang w:bidi="ar-SA"/>
        </w:rPr>
        <w:t>中华人民共和国</w:t>
      </w:r>
      <w:r>
        <w:rPr>
          <w:rFonts w:hint="eastAsia" w:ascii="仿宋" w:eastAsia="仿宋" w:cs="仿宋"/>
          <w:sz w:val="32"/>
          <w:szCs w:val="32"/>
          <w:lang w:bidi="ar-SA"/>
        </w:rPr>
        <w:t>预算法》、阿坝州财政局关于下达《2016年藏区基层组织活动和公共服务运行补助经费的通知》（阿州财基[2016]4号）和《阿坝州财政局关于转发〈四川省基层组织活动和公共服务运行经费使用管理办法的通知〉的通知》（阿州财基[2016]11号）等文件要求和相关管理规定</w:t>
      </w:r>
      <w:r>
        <w:rPr>
          <w:rFonts w:hint="eastAsia" w:ascii="仿宋" w:eastAsia="仿宋" w:cs="仿宋"/>
          <w:sz w:val="32"/>
          <w:szCs w:val="32"/>
          <w:lang w:eastAsia="zh-CN" w:bidi="ar-SA"/>
        </w:rPr>
        <w:t>。</w:t>
      </w:r>
    </w:p>
    <w:p>
      <w:pPr>
        <w:numPr>
          <w:ilvl w:val="0"/>
          <w:numId w:val="1"/>
        </w:numPr>
        <w:adjustRightInd w:val="0"/>
        <w:snapToGrid w:val="0"/>
        <w:spacing w:line="520" w:lineRule="exact"/>
        <w:ind w:firstLine="642" w:firstLineChars="200"/>
        <w:rPr>
          <w:rFonts w:hint="eastAsia" w:ascii="仿宋" w:hAnsi="仿宋" w:eastAsia="仿宋" w:cs="仿宋"/>
          <w:b/>
          <w:bCs/>
          <w:sz w:val="32"/>
          <w:szCs w:val="32"/>
          <w:lang w:eastAsia="zh-CN"/>
        </w:rPr>
      </w:pPr>
      <w:r>
        <w:rPr>
          <w:rFonts w:hint="eastAsia" w:ascii="仿宋" w:hAnsi="仿宋" w:eastAsia="仿宋" w:cs="仿宋"/>
          <w:b/>
          <w:bCs/>
          <w:sz w:val="32"/>
          <w:szCs w:val="32"/>
          <w:lang w:eastAsia="zh-CN"/>
        </w:rPr>
        <w:t>实施目的及支持方向。</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基层组织活动和公共服务运行补助经费（以下简称基层活动和运行经费），从2016年起，将基层组织活动经费、农村公共运行维护经费和村办公经费加以统筹整合，是指省、州、县三级政府在本级财政年度预算中安排给基层组织，用于开展基层组织活动、党组织标准化规范化建设、农村公共服务运行维护和村级日常办公运转的一般性转移支付资金。</w:t>
      </w:r>
    </w:p>
    <w:p>
      <w:pPr>
        <w:numPr>
          <w:ilvl w:val="0"/>
          <w:numId w:val="0"/>
        </w:numPr>
        <w:ind w:firstLine="642" w:firstLineChars="200"/>
        <w:rPr>
          <w:rFonts w:hint="eastAsia" w:ascii="仿宋" w:hAnsi="仿宋" w:eastAsia="仿宋" w:cs="仿宋"/>
          <w:b/>
          <w:bCs/>
          <w:sz w:val="32"/>
          <w:szCs w:val="32"/>
        </w:rPr>
      </w:pPr>
      <w:r>
        <w:rPr>
          <w:rFonts w:hint="eastAsia" w:ascii="仿宋" w:hAnsi="仿宋" w:eastAsia="仿宋" w:cs="仿宋"/>
          <w:b/>
          <w:bCs/>
          <w:sz w:val="32"/>
          <w:szCs w:val="32"/>
          <w:lang w:val="en-US" w:eastAsia="zh-CN"/>
        </w:rPr>
        <w:t>（三）预算安排及分配管理。</w:t>
      </w:r>
    </w:p>
    <w:p>
      <w:pPr>
        <w:adjustRightInd w:val="0"/>
        <w:snapToGrid w:val="0"/>
        <w:spacing w:line="520" w:lineRule="exact"/>
        <w:ind w:firstLine="640" w:firstLineChars="200"/>
        <w:rPr>
          <w:rFonts w:hint="default"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2023年年初预算</w:t>
      </w:r>
      <w:r>
        <w:rPr>
          <w:rFonts w:hint="eastAsia" w:ascii="仿宋_GB2312" w:hAnsi="仿宋_GB2312" w:cs="仿宋_GB2312"/>
          <w:bCs/>
          <w:sz w:val="32"/>
          <w:szCs w:val="32"/>
          <w:highlight w:val="none"/>
          <w:lang w:val="en-US" w:eastAsia="zh-CN"/>
        </w:rPr>
        <w:t>28万元，调整后预算数22.12万元，预算执行数22.12万元。</w:t>
      </w:r>
    </w:p>
    <w:p>
      <w:pPr>
        <w:numPr>
          <w:ilvl w:val="0"/>
          <w:numId w:val="0"/>
        </w:numPr>
        <w:spacing w:line="560" w:lineRule="exact"/>
        <w:ind w:leftChars="200"/>
        <w:rPr>
          <w:rFonts w:hint="eastAsia" w:ascii="仿宋" w:hAnsi="仿宋" w:eastAsia="仿宋" w:cs="仿宋"/>
          <w:b/>
          <w:bCs/>
          <w:kern w:val="2"/>
          <w:sz w:val="32"/>
          <w:szCs w:val="32"/>
          <w:lang w:val="zh-CN" w:eastAsia="zh-CN" w:bidi="ar-SA"/>
        </w:rPr>
      </w:pPr>
      <w:r>
        <w:rPr>
          <w:rFonts w:hint="eastAsia" w:ascii="仿宋" w:hAnsi="仿宋" w:eastAsia="仿宋" w:cs="仿宋"/>
          <w:b/>
          <w:bCs/>
          <w:kern w:val="2"/>
          <w:sz w:val="32"/>
          <w:szCs w:val="32"/>
          <w:lang w:val="zh-CN" w:eastAsia="zh-CN" w:bidi="ar-SA"/>
        </w:rPr>
        <w:t>（</w:t>
      </w:r>
      <w:r>
        <w:rPr>
          <w:rFonts w:hint="eastAsia" w:ascii="仿宋" w:hAnsi="仿宋" w:eastAsia="仿宋" w:cs="仿宋"/>
          <w:b/>
          <w:bCs/>
          <w:kern w:val="2"/>
          <w:sz w:val="32"/>
          <w:szCs w:val="32"/>
          <w:lang w:val="en-US" w:eastAsia="zh-CN" w:bidi="ar-SA"/>
        </w:rPr>
        <w:t>四</w:t>
      </w:r>
      <w:r>
        <w:rPr>
          <w:rFonts w:hint="eastAsia" w:ascii="仿宋" w:hAnsi="仿宋" w:eastAsia="仿宋" w:cs="仿宋"/>
          <w:b/>
          <w:bCs/>
          <w:kern w:val="2"/>
          <w:sz w:val="32"/>
          <w:szCs w:val="32"/>
          <w:lang w:val="zh-CN" w:eastAsia="zh-CN" w:bidi="ar-SA"/>
        </w:rPr>
        <w:t>）</w:t>
      </w:r>
      <w:r>
        <w:rPr>
          <w:rFonts w:hint="eastAsia" w:ascii="仿宋" w:hAnsi="仿宋" w:eastAsia="仿宋" w:cs="仿宋"/>
          <w:b/>
          <w:bCs/>
          <w:kern w:val="2"/>
          <w:sz w:val="32"/>
          <w:szCs w:val="32"/>
          <w:lang w:val="en-US" w:eastAsia="zh-CN" w:bidi="ar-SA"/>
        </w:rPr>
        <w:t>项目绩效目标设置</w:t>
      </w:r>
      <w:r>
        <w:rPr>
          <w:rFonts w:hint="eastAsia" w:ascii="仿宋" w:hAnsi="仿宋" w:eastAsia="仿宋" w:cs="仿宋"/>
          <w:b/>
          <w:bCs/>
          <w:kern w:val="2"/>
          <w:sz w:val="32"/>
          <w:szCs w:val="32"/>
          <w:lang w:val="zh-CN" w:eastAsia="zh-CN" w:bidi="ar-SA"/>
        </w:rPr>
        <w:t>。</w:t>
      </w:r>
    </w:p>
    <w:p>
      <w:pPr>
        <w:numPr>
          <w:ilvl w:val="0"/>
          <w:numId w:val="0"/>
        </w:numPr>
        <w:spacing w:line="560" w:lineRule="exact"/>
        <w:ind w:leftChars="200" w:firstLine="320" w:firstLineChars="100"/>
        <w:rPr>
          <w:rFonts w:hint="eastAsia" w:ascii="仿宋_GB2312" w:hAnsi="宋体" w:eastAsia="仿宋_GB2312" w:cs="Times New Roman"/>
          <w:sz w:val="32"/>
          <w:szCs w:val="32"/>
        </w:rPr>
      </w:pPr>
      <w:r>
        <w:rPr>
          <w:rFonts w:hint="eastAsia" w:ascii="仿宋_GB2312" w:hAnsi="宋体" w:eastAsia="仿宋_GB2312" w:cs="Times New Roman"/>
          <w:sz w:val="32"/>
          <w:szCs w:val="32"/>
          <w:lang w:val="en-US" w:eastAsia="zh-CN"/>
        </w:rPr>
        <w:t>我乡</w:t>
      </w:r>
      <w:r>
        <w:rPr>
          <w:rFonts w:hint="eastAsia" w:ascii="仿宋_GB2312" w:hAnsi="宋体" w:eastAsia="仿宋_GB2312" w:cs="Times New Roman"/>
          <w:sz w:val="32"/>
          <w:szCs w:val="32"/>
        </w:rPr>
        <w:t>承担专项资金绩效管理的主体责任，主要负责提出</w:t>
      </w:r>
    </w:p>
    <w:p>
      <w:pPr>
        <w:numPr>
          <w:ilvl w:val="0"/>
          <w:numId w:val="0"/>
        </w:numPr>
        <w:spacing w:line="560" w:lineRule="exact"/>
        <w:rPr>
          <w:rFonts w:hint="eastAsia" w:ascii="仿宋" w:hAnsi="仿宋" w:eastAsia="仿宋" w:cs="仿宋"/>
          <w:b/>
          <w:bCs/>
          <w:kern w:val="2"/>
          <w:sz w:val="32"/>
          <w:szCs w:val="32"/>
          <w:lang w:val="en-US" w:eastAsia="zh-CN" w:bidi="ar-SA"/>
        </w:rPr>
      </w:pPr>
      <w:r>
        <w:rPr>
          <w:rFonts w:hint="eastAsia" w:ascii="仿宋_GB2312" w:hAnsi="宋体" w:eastAsia="仿宋_GB2312" w:cs="Times New Roman"/>
          <w:sz w:val="32"/>
          <w:szCs w:val="32"/>
        </w:rPr>
        <w:t>专项资金分配方案，制定项目管理制度，组织项目评审和实施，开展项目验收、绩效评价和监督检查等工作。</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黑体" w:hAnsi="宋体" w:eastAsia="黑体" w:cs="黑体"/>
          <w:kern w:val="2"/>
          <w:sz w:val="32"/>
          <w:szCs w:val="32"/>
        </w:rPr>
      </w:pPr>
      <w:r>
        <w:rPr>
          <w:rFonts w:hint="eastAsia" w:ascii="黑体" w:hAnsi="宋体" w:eastAsia="黑体" w:cs="黑体"/>
          <w:kern w:val="2"/>
          <w:sz w:val="32"/>
          <w:szCs w:val="32"/>
          <w:lang w:val="en-US" w:eastAsia="zh-CN" w:bidi="ar"/>
        </w:rPr>
        <w:t>二、评价实施</w:t>
      </w:r>
    </w:p>
    <w:p>
      <w:pPr>
        <w:keepNext w:val="0"/>
        <w:keepLines w:val="0"/>
        <w:widowControl w:val="0"/>
        <w:suppressLineNumbers w:val="0"/>
        <w:spacing w:before="0" w:beforeAutospacing="0" w:after="0" w:afterAutospacing="0" w:line="578" w:lineRule="exact"/>
        <w:ind w:left="0" w:right="0" w:firstLine="640"/>
        <w:jc w:val="both"/>
        <w:rPr>
          <w:rFonts w:hint="default" w:ascii="Times New Roman" w:hAnsi="Times New Roman" w:eastAsia="仿宋_GB2312" w:cs="仿宋_GB2312"/>
          <w:kern w:val="2"/>
          <w:sz w:val="32"/>
          <w:szCs w:val="32"/>
        </w:rPr>
      </w:pPr>
      <w:r>
        <w:rPr>
          <w:rFonts w:hint="default" w:ascii="楷体_GB2312" w:hAnsi="宋体" w:eastAsia="楷体_GB2312" w:cs="楷体_GB2312"/>
          <w:b/>
          <w:kern w:val="2"/>
          <w:sz w:val="32"/>
          <w:szCs w:val="32"/>
          <w:lang w:val="en-US" w:eastAsia="zh-CN" w:bidi="ar"/>
        </w:rPr>
        <w:t>（一）评价目的。</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阿坝州财政局印发《阿坝州财政局关于开展</w:t>
      </w:r>
      <w:r>
        <w:rPr>
          <w:rFonts w:hint="default" w:ascii="Times New Roman" w:hAnsi="Times New Roman" w:eastAsia="仿宋_GB2312" w:cs="Times New Roman"/>
          <w:kern w:val="0"/>
          <w:sz w:val="32"/>
          <w:szCs w:val="32"/>
          <w:lang w:val="en-US" w:eastAsia="zh-CN" w:bidi="ar"/>
        </w:rPr>
        <w:t xml:space="preserve"> 2024</w:t>
      </w:r>
      <w:r>
        <w:rPr>
          <w:rFonts w:hint="default" w:ascii="仿宋_GB2312" w:hAnsi="Times New Roman" w:eastAsia="仿宋_GB2312" w:cs="仿宋_GB2312"/>
          <w:kern w:val="0"/>
          <w:sz w:val="32"/>
          <w:szCs w:val="32"/>
          <w:lang w:val="en-US" w:eastAsia="zh-CN" w:bidi="ar"/>
        </w:rPr>
        <w:t>年州级部门绩效自评工作的通知》（阿州财监绩〔</w:t>
      </w:r>
      <w:r>
        <w:rPr>
          <w:rFonts w:hint="default" w:ascii="Times New Roman" w:hAnsi="Times New Roman" w:eastAsia="仿宋_GB2312" w:cs="Times New Roman"/>
          <w:kern w:val="0"/>
          <w:sz w:val="32"/>
          <w:szCs w:val="32"/>
          <w:lang w:val="en-US" w:eastAsia="zh-CN" w:bidi="ar"/>
        </w:rPr>
        <w:t>2024</w:t>
      </w: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19</w:t>
      </w:r>
      <w:r>
        <w:rPr>
          <w:rFonts w:hint="default" w:ascii="仿宋_GB2312" w:hAnsi="Times New Roman" w:eastAsia="仿宋_GB2312" w:cs="仿宋_GB2312"/>
          <w:kern w:val="0"/>
          <w:sz w:val="32"/>
          <w:szCs w:val="32"/>
          <w:lang w:val="en-US" w:eastAsia="zh-CN" w:bidi="ar"/>
        </w:rPr>
        <w:t>号），要求各部门（单位）按照州财政局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加强项目支出绩效管理水平、提升预算管理水平、提升项目管理水平。</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default" w:ascii="Times New Roman" w:hAnsi="Times New Roman" w:eastAsia="仿宋_GB2312" w:cs="仿宋_GB2312"/>
          <w:kern w:val="2"/>
          <w:sz w:val="32"/>
          <w:szCs w:val="32"/>
        </w:rPr>
      </w:pPr>
      <w:r>
        <w:rPr>
          <w:rFonts w:hint="default" w:ascii="楷体_GB2312" w:hAnsi="宋体" w:eastAsia="楷体_GB2312" w:cs="楷体_GB2312"/>
          <w:b/>
          <w:kern w:val="2"/>
          <w:sz w:val="32"/>
          <w:szCs w:val="32"/>
          <w:lang w:val="en-US" w:eastAsia="zh-CN" w:bidi="ar"/>
        </w:rPr>
        <w:t>（二）预设问题及评价重点。</w:t>
      </w:r>
      <w:r>
        <w:rPr>
          <w:rFonts w:hint="default" w:ascii="Times New Roman" w:hAnsi="Times New Roman" w:eastAsia="仿宋_GB2312" w:cs="仿宋_GB2312"/>
          <w:kern w:val="2"/>
          <w:sz w:val="32"/>
          <w:szCs w:val="32"/>
          <w:lang w:val="en-US" w:eastAsia="zh-CN" w:bidi="ar"/>
        </w:rPr>
        <w:t xml:space="preserve"> </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_GB2312" w:hAnsi="Times New Roman" w:eastAsia="仿宋_GB2312" w:cs="仿宋_GB2312"/>
          <w:kern w:val="0"/>
          <w:sz w:val="32"/>
          <w:szCs w:val="32"/>
          <w:lang w:val="zh-CN" w:eastAsia="zh-CN" w:bidi="ar"/>
        </w:rPr>
      </w:pPr>
      <w:r>
        <w:rPr>
          <w:rFonts w:hint="eastAsia" w:ascii="仿宋_GB2312" w:hAnsi="Times New Roman" w:eastAsia="仿宋_GB2312" w:cs="仿宋_GB2312"/>
          <w:kern w:val="0"/>
          <w:sz w:val="32"/>
          <w:szCs w:val="32"/>
          <w:lang w:val="zh-CN" w:eastAsia="zh-CN" w:bidi="ar"/>
        </w:rPr>
        <w:t>1.长效机制建立情况。项目实施单位是否已建立项目实施管理制度等。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_GB2312" w:hAnsi="Times New Roman" w:eastAsia="仿宋_GB2312" w:cs="仿宋_GB2312"/>
          <w:kern w:val="0"/>
          <w:sz w:val="32"/>
          <w:szCs w:val="32"/>
          <w:lang w:val="zh-CN" w:eastAsia="zh-CN" w:bidi="ar"/>
        </w:rPr>
      </w:pPr>
      <w:r>
        <w:rPr>
          <w:rFonts w:hint="eastAsia" w:ascii="仿宋_GB2312" w:hAnsi="Times New Roman" w:eastAsia="仿宋_GB2312" w:cs="仿宋_GB2312"/>
          <w:kern w:val="0"/>
          <w:sz w:val="32"/>
          <w:szCs w:val="32"/>
          <w:lang w:val="zh-CN" w:eastAsia="zh-CN" w:bidi="ar"/>
        </w:rPr>
        <w:t>2.项目实施程序严密性。建设项目的招投标资料是否完整、真实，有无弄虚作假套取财政资金等问题。</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_GB2312" w:hAnsi="Times New Roman" w:eastAsia="仿宋_GB2312" w:cs="仿宋_GB2312"/>
          <w:kern w:val="0"/>
          <w:sz w:val="32"/>
          <w:szCs w:val="32"/>
          <w:lang w:val="zh-CN" w:eastAsia="zh-CN" w:bidi="ar"/>
        </w:rPr>
      </w:pPr>
      <w:r>
        <w:rPr>
          <w:rFonts w:hint="eastAsia" w:ascii="仿宋_GB2312" w:hAnsi="Times New Roman" w:eastAsia="仿宋_GB2312" w:cs="仿宋_GB2312"/>
          <w:kern w:val="0"/>
          <w:sz w:val="32"/>
          <w:szCs w:val="32"/>
          <w:lang w:val="zh-CN" w:eastAsia="zh-CN" w:bidi="ar"/>
        </w:rPr>
        <w:t>3.资金拨付和使用的合规性。是否按国库集中支付规定办理资金拨付手续；是否不按时拨付，造成滞留资金积压；资金是否专款专用，是否随意变更项目内容及地点；是否遵守《现金管理暂行条例》规定；是否有挤古、挪用、截留等违纪违规等问题。</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_GB2312" w:hAnsi="Times New Roman" w:eastAsia="仿宋_GB2312" w:cs="仿宋_GB2312"/>
          <w:kern w:val="0"/>
          <w:sz w:val="32"/>
          <w:szCs w:val="32"/>
          <w:lang w:val="zh-CN" w:eastAsia="zh-CN" w:bidi="ar"/>
        </w:rPr>
      </w:pPr>
      <w:r>
        <w:rPr>
          <w:rFonts w:hint="eastAsia" w:ascii="仿宋_GB2312" w:hAnsi="Times New Roman" w:eastAsia="仿宋_GB2312" w:cs="仿宋_GB2312"/>
          <w:kern w:val="0"/>
          <w:sz w:val="32"/>
          <w:szCs w:val="32"/>
          <w:lang w:val="zh-CN" w:eastAsia="zh-CN" w:bidi="ar"/>
        </w:rPr>
        <w:t>4.信息的公开透明度。项目资金管理单位的公开公示情况。</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_GB2312" w:hAnsi="Times New Roman" w:eastAsia="仿宋_GB2312" w:cs="仿宋_GB2312"/>
          <w:kern w:val="0"/>
          <w:sz w:val="32"/>
          <w:szCs w:val="32"/>
          <w:lang w:val="zh-CN" w:eastAsia="zh-CN" w:bidi="ar"/>
        </w:rPr>
      </w:pPr>
      <w:r>
        <w:rPr>
          <w:rFonts w:hint="eastAsia" w:ascii="仿宋_GB2312" w:hAnsi="Times New Roman" w:eastAsia="仿宋_GB2312" w:cs="仿宋_GB2312"/>
          <w:kern w:val="0"/>
          <w:sz w:val="32"/>
          <w:szCs w:val="32"/>
          <w:lang w:val="zh-CN" w:eastAsia="zh-CN" w:bidi="ar"/>
        </w:rPr>
        <w:t>5.财务管理和会计核算规范性。财务核算是否符合《中华人民共和国会计法》《会计基础工作规范》等要求、是否符合基本建设财务管理和会计制度规定。</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仿宋_GB2312" w:hAnsi="Times New Roman" w:eastAsia="仿宋_GB2312" w:cs="仿宋_GB2312"/>
          <w:kern w:val="0"/>
          <w:sz w:val="32"/>
          <w:szCs w:val="32"/>
          <w:lang w:val="en-US" w:eastAsia="zh-CN" w:bidi="ar"/>
        </w:rPr>
      </w:pPr>
      <w:r>
        <w:rPr>
          <w:rFonts w:hint="eastAsia" w:ascii="仿宋_GB2312" w:hAnsi="Times New Roman" w:eastAsia="仿宋_GB2312" w:cs="仿宋_GB2312"/>
          <w:kern w:val="0"/>
          <w:sz w:val="32"/>
          <w:szCs w:val="32"/>
          <w:lang w:val="zh-CN" w:eastAsia="zh-CN" w:bidi="ar"/>
        </w:rPr>
        <w:t>6.项目实施单位绩效自评情况。项目实施单位是否严格按照预算绩效管理规定开展绩效自评。</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default" w:ascii="Times New Roman" w:hAnsi="Times New Roman" w:eastAsia="仿宋_GB2312" w:cs="仿宋_GB2312"/>
          <w:kern w:val="2"/>
          <w:sz w:val="32"/>
          <w:szCs w:val="32"/>
        </w:rPr>
      </w:pPr>
      <w:r>
        <w:rPr>
          <w:rFonts w:hint="default" w:ascii="楷体_GB2312" w:hAnsi="宋体" w:eastAsia="楷体_GB2312" w:cs="楷体_GB2312"/>
          <w:b/>
          <w:kern w:val="2"/>
          <w:sz w:val="32"/>
          <w:szCs w:val="32"/>
          <w:lang w:val="en-US" w:eastAsia="zh-CN" w:bidi="ar"/>
        </w:rPr>
        <w:t>（三）评价选点。</w:t>
      </w:r>
    </w:p>
    <w:p>
      <w:pPr>
        <w:keepNext w:val="0"/>
        <w:keepLines w:val="0"/>
        <w:widowControl w:val="0"/>
        <w:suppressLineNumbers w:val="0"/>
        <w:spacing w:before="0" w:beforeAutospacing="0" w:after="0" w:afterAutospacing="0" w:line="578" w:lineRule="exact"/>
        <w:ind w:left="0" w:right="0" w:firstLine="640"/>
        <w:jc w:val="both"/>
        <w:rPr>
          <w:rFonts w:hint="eastAsia" w:ascii="仿宋_GB2312" w:hAnsi="Times New Roman" w:eastAsia="仿宋_GB2312" w:cs="仿宋_GB2312"/>
          <w:kern w:val="0"/>
          <w:sz w:val="32"/>
          <w:szCs w:val="32"/>
          <w:lang w:val="en-US" w:eastAsia="zh-CN" w:bidi="ar"/>
        </w:rPr>
      </w:pPr>
      <w:r>
        <w:rPr>
          <w:rFonts w:hint="eastAsia" w:ascii="仿宋_GB2312" w:hAnsi="Times New Roman" w:eastAsia="仿宋_GB2312" w:cs="仿宋_GB2312"/>
          <w:kern w:val="0"/>
          <w:sz w:val="32"/>
          <w:szCs w:val="32"/>
          <w:lang w:val="en-US" w:eastAsia="zh-CN" w:bidi="ar"/>
        </w:rPr>
        <w:t>全乡</w:t>
      </w:r>
    </w:p>
    <w:p>
      <w:pPr>
        <w:keepNext w:val="0"/>
        <w:keepLines w:val="0"/>
        <w:widowControl w:val="0"/>
        <w:suppressLineNumbers w:val="0"/>
        <w:spacing w:before="0" w:beforeAutospacing="0" w:after="0" w:afterAutospacing="0" w:line="578" w:lineRule="exact"/>
        <w:ind w:left="0" w:right="0" w:firstLine="640"/>
        <w:jc w:val="both"/>
        <w:rPr>
          <w:rFonts w:hint="default" w:ascii="Times New Roman" w:hAnsi="Times New Roman" w:eastAsia="仿宋_GB2312" w:cs="仿宋_GB2312"/>
          <w:kern w:val="2"/>
          <w:sz w:val="32"/>
          <w:szCs w:val="32"/>
        </w:rPr>
      </w:pPr>
      <w:r>
        <w:rPr>
          <w:rFonts w:hint="default" w:ascii="楷体_GB2312" w:hAnsi="宋体" w:eastAsia="楷体_GB2312" w:cs="楷体_GB2312"/>
          <w:b/>
          <w:kern w:val="2"/>
          <w:sz w:val="32"/>
          <w:szCs w:val="32"/>
          <w:lang w:val="en-US" w:eastAsia="zh-CN" w:bidi="ar"/>
        </w:rPr>
        <w:t>（四）评价方法。</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仿宋_GB2312"/>
          <w:kern w:val="0"/>
          <w:sz w:val="32"/>
          <w:szCs w:val="32"/>
        </w:rPr>
      </w:pPr>
      <w:r>
        <w:rPr>
          <w:rFonts w:hint="default" w:ascii="仿宋_GB2312" w:hAnsi="Times New Roman" w:eastAsia="仿宋_GB2312" w:cs="仿宋_GB2312"/>
          <w:kern w:val="0"/>
          <w:sz w:val="32"/>
          <w:szCs w:val="32"/>
          <w:lang w:val="en-US" w:eastAsia="zh-CN" w:bidi="ar"/>
        </w:rPr>
        <w:t>采用先进的绩效评价方法和科学的数据分析是取得正确客观评价结论的重要保障，评价组从以下方法中择优组织，对项目实施评价，通过定量和定性分析得出评价结论。</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仿宋_GB2312"/>
          <w:kern w:val="0"/>
          <w:sz w:val="32"/>
          <w:szCs w:val="32"/>
        </w:rPr>
      </w:pPr>
      <w:r>
        <w:rPr>
          <w:rFonts w:hint="default" w:ascii="Times New Roman" w:hAnsi="Times New Roman" w:eastAsia="仿宋_GB2312" w:cs="仿宋_GB2312"/>
          <w:kern w:val="0"/>
          <w:sz w:val="32"/>
          <w:szCs w:val="32"/>
          <w:lang w:val="en-US" w:eastAsia="zh-CN" w:bidi="ar"/>
        </w:rPr>
        <w:t>1.</w:t>
      </w:r>
      <w:r>
        <w:rPr>
          <w:rFonts w:hint="default" w:ascii="仿宋_GB2312" w:hAnsi="Times New Roman" w:eastAsia="仿宋_GB2312" w:cs="仿宋_GB2312"/>
          <w:kern w:val="0"/>
          <w:sz w:val="32"/>
          <w:szCs w:val="32"/>
          <w:lang w:val="en-US" w:eastAsia="zh-CN" w:bidi="ar"/>
        </w:rPr>
        <w:t>比较分析法。是指通过对绩效目标与实施效果、历史与当期情况、不同部门和地区同类支出的比较，综合分析绩效目标实现程度。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仿宋_GB2312"/>
          <w:kern w:val="0"/>
          <w:sz w:val="32"/>
          <w:szCs w:val="32"/>
        </w:rPr>
      </w:pPr>
      <w:r>
        <w:rPr>
          <w:rFonts w:hint="default" w:ascii="Times New Roman" w:hAnsi="Times New Roman" w:eastAsia="仿宋_GB2312" w:cs="仿宋_GB2312"/>
          <w:kern w:val="0"/>
          <w:sz w:val="32"/>
          <w:szCs w:val="32"/>
          <w:lang w:val="en-US" w:eastAsia="zh-CN" w:bidi="ar"/>
        </w:rPr>
        <w:t>2.</w:t>
      </w:r>
      <w:r>
        <w:rPr>
          <w:rFonts w:hint="default" w:ascii="仿宋_GB2312" w:hAnsi="Times New Roman" w:eastAsia="仿宋_GB2312" w:cs="仿宋_GB2312"/>
          <w:kern w:val="0"/>
          <w:sz w:val="32"/>
          <w:szCs w:val="32"/>
          <w:lang w:val="en-US" w:eastAsia="zh-CN" w:bidi="ar"/>
        </w:rPr>
        <w:t>因素分析法。是指通过综合分析影响绩效目标实现、实施效果的内外因素，评价绩效目标实现程度。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仿宋_GB2312"/>
          <w:kern w:val="0"/>
          <w:sz w:val="32"/>
          <w:szCs w:val="32"/>
        </w:rPr>
      </w:pPr>
      <w:r>
        <w:rPr>
          <w:rFonts w:hint="default" w:ascii="Times New Roman" w:hAnsi="Times New Roman" w:eastAsia="仿宋_GB2312" w:cs="仿宋_GB2312"/>
          <w:kern w:val="0"/>
          <w:sz w:val="32"/>
          <w:szCs w:val="32"/>
          <w:lang w:val="en-US" w:eastAsia="zh-CN" w:bidi="ar"/>
        </w:rPr>
        <w:t>3.</w:t>
      </w:r>
      <w:r>
        <w:rPr>
          <w:rFonts w:hint="default" w:ascii="仿宋_GB2312" w:hAnsi="Times New Roman" w:eastAsia="仿宋_GB2312" w:cs="仿宋_GB2312"/>
          <w:kern w:val="0"/>
          <w:sz w:val="32"/>
          <w:szCs w:val="32"/>
          <w:lang w:val="en-US" w:eastAsia="zh-CN" w:bidi="ar"/>
        </w:rPr>
        <w:t>最低成本分析法。是指对效益确定却不易计量的多个同类对象的实施成本进行比较，评价绩效目标实现程度。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仿宋_GB2312"/>
          <w:kern w:val="0"/>
          <w:sz w:val="32"/>
          <w:szCs w:val="32"/>
        </w:rPr>
      </w:pPr>
      <w:r>
        <w:rPr>
          <w:rFonts w:hint="default" w:ascii="Times New Roman" w:hAnsi="Times New Roman" w:eastAsia="仿宋_GB2312" w:cs="仿宋_GB2312"/>
          <w:kern w:val="0"/>
          <w:sz w:val="32"/>
          <w:szCs w:val="32"/>
          <w:lang w:val="en-US" w:eastAsia="zh-CN" w:bidi="ar"/>
        </w:rPr>
        <w:t>4.</w:t>
      </w:r>
      <w:r>
        <w:rPr>
          <w:rFonts w:hint="default" w:ascii="仿宋_GB2312" w:hAnsi="Times New Roman" w:eastAsia="仿宋_GB2312" w:cs="仿宋_GB2312"/>
          <w:kern w:val="0"/>
          <w:sz w:val="32"/>
          <w:szCs w:val="32"/>
          <w:lang w:val="en-US" w:eastAsia="zh-CN" w:bidi="ar"/>
        </w:rPr>
        <w:t>双重交叉分析法。通过对项目建设前后的比较，根据成效等方面去寻找和分析政策产生的影响。</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仿宋_GB2312" w:cs="仿宋_GB2312"/>
          <w:kern w:val="0"/>
          <w:sz w:val="32"/>
          <w:szCs w:val="32"/>
          <w:lang w:val="en-US" w:eastAsia="zh-CN" w:bidi="ar"/>
        </w:rPr>
        <w:t>5.</w:t>
      </w:r>
      <w:r>
        <w:rPr>
          <w:rFonts w:hint="default" w:ascii="仿宋_GB2312" w:hAnsi="Times New Roman" w:eastAsia="仿宋_GB2312" w:cs="仿宋_GB2312"/>
          <w:kern w:val="0"/>
          <w:sz w:val="32"/>
          <w:szCs w:val="32"/>
          <w:lang w:val="en-US" w:eastAsia="zh-CN" w:bidi="ar"/>
        </w:rPr>
        <w:t>随机访谈法。针对部分项目负责人及实施主体进行了询问和访谈，如项目实施情况的必要性、可行性和满意度等进行随机访谈。</w:t>
      </w:r>
    </w:p>
    <w:p>
      <w:pPr>
        <w:keepNext w:val="0"/>
        <w:keepLines w:val="0"/>
        <w:widowControl w:val="0"/>
        <w:suppressLineNumbers w:val="0"/>
        <w:spacing w:before="0" w:beforeAutospacing="0" w:after="0" w:afterAutospacing="0" w:line="578" w:lineRule="exact"/>
        <w:ind w:left="0" w:right="0" w:firstLine="640"/>
        <w:jc w:val="both"/>
        <w:rPr>
          <w:rFonts w:hint="default" w:ascii="Times New Roman" w:hAnsi="Times New Roman" w:eastAsia="仿宋_GB2312" w:cs="仿宋_GB2312"/>
          <w:kern w:val="2"/>
          <w:sz w:val="32"/>
          <w:szCs w:val="32"/>
        </w:rPr>
      </w:pPr>
      <w:r>
        <w:rPr>
          <w:rFonts w:hint="default" w:ascii="楷体_GB2312" w:hAnsi="宋体" w:eastAsia="楷体_GB2312" w:cs="楷体_GB2312"/>
          <w:b/>
          <w:kern w:val="2"/>
          <w:sz w:val="32"/>
          <w:szCs w:val="32"/>
          <w:lang w:val="en-US" w:eastAsia="zh-CN" w:bidi="ar"/>
        </w:rPr>
        <w:t>（五）评价组织。</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仿宋_GB2312" w:cs="仿宋_GB2312"/>
          <w:kern w:val="0"/>
          <w:sz w:val="32"/>
          <w:szCs w:val="32"/>
          <w:lang w:val="en-US" w:eastAsia="zh-CN" w:bidi="ar"/>
        </w:rPr>
        <w:t>1.</w:t>
      </w:r>
      <w:r>
        <w:rPr>
          <w:rFonts w:hint="default" w:ascii="仿宋_GB2312" w:hAnsi="Times New Roman" w:eastAsia="仿宋_GB2312" w:cs="仿宋_GB2312"/>
          <w:kern w:val="0"/>
          <w:sz w:val="32"/>
          <w:szCs w:val="32"/>
          <w:lang w:val="en-US" w:eastAsia="zh-CN" w:bidi="ar"/>
        </w:rPr>
        <w:t>领导小组职责：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1</w:t>
      </w:r>
      <w:r>
        <w:rPr>
          <w:rFonts w:hint="default" w:ascii="仿宋_GB2312" w:hAnsi="Times New Roman" w:eastAsia="仿宋_GB2312" w:cs="仿宋_GB2312"/>
          <w:kern w:val="0"/>
          <w:sz w:val="32"/>
          <w:szCs w:val="32"/>
          <w:lang w:val="en-US" w:eastAsia="zh-CN" w:bidi="ar"/>
        </w:rPr>
        <w:t>）研究和决定同级政府公共事业管理绩效评价中的重大问题。</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2</w:t>
      </w:r>
      <w:r>
        <w:rPr>
          <w:rFonts w:hint="default" w:ascii="仿宋_GB2312" w:hAnsi="Times New Roman" w:eastAsia="仿宋_GB2312" w:cs="仿宋_GB2312"/>
          <w:kern w:val="0"/>
          <w:sz w:val="32"/>
          <w:szCs w:val="32"/>
          <w:lang w:val="en-US" w:eastAsia="zh-CN" w:bidi="ar"/>
        </w:rPr>
        <w:t>）组织协调绩效评价工作，确保评价的顺利进行。</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3</w:t>
      </w:r>
      <w:r>
        <w:rPr>
          <w:rFonts w:hint="default" w:ascii="仿宋_GB2312" w:hAnsi="Times New Roman" w:eastAsia="仿宋_GB2312" w:cs="仿宋_GB2312"/>
          <w:kern w:val="0"/>
          <w:sz w:val="32"/>
          <w:szCs w:val="32"/>
          <w:lang w:val="en-US" w:eastAsia="zh-CN" w:bidi="ar"/>
        </w:rPr>
        <w:t>）对各单位的工作目标、绩效考核结果和等次、奖惩方案进行审核，并报同级党委和政府审定。</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仿宋_GB2312" w:cs="仿宋_GB2312"/>
          <w:kern w:val="0"/>
          <w:sz w:val="32"/>
          <w:szCs w:val="32"/>
          <w:lang w:val="en-US" w:eastAsia="zh-CN" w:bidi="ar"/>
        </w:rPr>
        <w:t>2.</w:t>
      </w:r>
      <w:r>
        <w:rPr>
          <w:rFonts w:hint="default" w:ascii="仿宋_GB2312" w:hAnsi="Times New Roman" w:eastAsia="仿宋_GB2312" w:cs="仿宋_GB2312"/>
          <w:kern w:val="0"/>
          <w:sz w:val="32"/>
          <w:szCs w:val="32"/>
          <w:lang w:val="en-US" w:eastAsia="zh-CN" w:bidi="ar"/>
        </w:rPr>
        <w:t>办公室职责：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1</w:t>
      </w:r>
      <w:r>
        <w:rPr>
          <w:rFonts w:hint="default" w:ascii="仿宋_GB2312" w:hAnsi="Times New Roman" w:eastAsia="仿宋_GB2312" w:cs="仿宋_GB2312"/>
          <w:kern w:val="0"/>
          <w:sz w:val="32"/>
          <w:szCs w:val="32"/>
          <w:lang w:val="en-US" w:eastAsia="zh-CN" w:bidi="ar"/>
        </w:rPr>
        <w:t>）提出全省（市、县）政府公共事业管理绩效评价的工作方案，并负责具体组织实施。</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2</w:t>
      </w:r>
      <w:r>
        <w:rPr>
          <w:rFonts w:hint="default" w:ascii="仿宋_GB2312" w:hAnsi="Times New Roman" w:eastAsia="仿宋_GB2312" w:cs="仿宋_GB2312"/>
          <w:kern w:val="0"/>
          <w:sz w:val="32"/>
          <w:szCs w:val="32"/>
          <w:lang w:val="en-US" w:eastAsia="zh-CN" w:bidi="ar"/>
        </w:rPr>
        <w:t>）综合评价信息，提出评价结果等次认定方案及奖惩方案等。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3</w:t>
      </w:r>
      <w:r>
        <w:rPr>
          <w:rFonts w:hint="default" w:ascii="仿宋_GB2312" w:hAnsi="Times New Roman" w:eastAsia="仿宋_GB2312" w:cs="仿宋_GB2312"/>
          <w:kern w:val="0"/>
          <w:sz w:val="32"/>
          <w:szCs w:val="32"/>
          <w:lang w:val="en-US" w:eastAsia="zh-CN" w:bidi="ar"/>
        </w:rPr>
        <w:t>）负责绩效评价的日常工作，包括宣传、沟通、协调等。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4</w:t>
      </w:r>
      <w:r>
        <w:rPr>
          <w:rFonts w:hint="default" w:ascii="仿宋_GB2312" w:hAnsi="Times New Roman" w:eastAsia="仿宋_GB2312" w:cs="仿宋_GB2312"/>
          <w:kern w:val="0"/>
          <w:sz w:val="32"/>
          <w:szCs w:val="32"/>
          <w:lang w:val="en-US" w:eastAsia="zh-CN" w:bidi="ar"/>
        </w:rPr>
        <w:t>）根据评价结果撰写绩效评价报告，并递交给领导小组。</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仿宋_GB2312" w:cs="仿宋_GB2312"/>
          <w:kern w:val="0"/>
          <w:sz w:val="32"/>
          <w:szCs w:val="32"/>
          <w:lang w:val="en-US" w:eastAsia="zh-CN" w:bidi="ar"/>
        </w:rPr>
        <w:t>3.</w:t>
      </w:r>
      <w:r>
        <w:rPr>
          <w:rFonts w:hint="default" w:ascii="仿宋_GB2312" w:hAnsi="Times New Roman" w:eastAsia="仿宋_GB2312" w:cs="仿宋_GB2312"/>
          <w:kern w:val="0"/>
          <w:sz w:val="32"/>
          <w:szCs w:val="32"/>
          <w:lang w:val="en-US" w:eastAsia="zh-CN" w:bidi="ar"/>
        </w:rPr>
        <w:t>具体执行人员职责：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1</w:t>
      </w:r>
      <w:r>
        <w:rPr>
          <w:rFonts w:hint="default" w:ascii="仿宋_GB2312" w:hAnsi="Times New Roman" w:eastAsia="仿宋_GB2312" w:cs="仿宋_GB2312"/>
          <w:kern w:val="0"/>
          <w:sz w:val="32"/>
          <w:szCs w:val="32"/>
          <w:lang w:val="en-US" w:eastAsia="zh-CN" w:bidi="ar"/>
        </w:rPr>
        <w:t>）组长：审批绩效自评方案，监督、检查、核实绩效自评结果。</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2</w:t>
      </w:r>
      <w:r>
        <w:rPr>
          <w:rFonts w:hint="default" w:ascii="仿宋_GB2312" w:hAnsi="Times New Roman" w:eastAsia="仿宋_GB2312" w:cs="仿宋_GB2312"/>
          <w:kern w:val="0"/>
          <w:sz w:val="32"/>
          <w:szCs w:val="32"/>
          <w:lang w:val="en-US" w:eastAsia="zh-CN" w:bidi="ar"/>
        </w:rPr>
        <w:t>）副组长：审核修改拟定的绩效自评方案，并提交考评工作组会议讨论通过；监督、部署、确认绩效自评过程及反馈意见的处理。</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3</w:t>
      </w:r>
      <w:r>
        <w:rPr>
          <w:rFonts w:hint="default" w:ascii="仿宋_GB2312" w:hAnsi="Times New Roman" w:eastAsia="仿宋_GB2312" w:cs="仿宋_GB2312"/>
          <w:kern w:val="0"/>
          <w:sz w:val="32"/>
          <w:szCs w:val="32"/>
          <w:lang w:val="en-US" w:eastAsia="zh-CN" w:bidi="ar"/>
        </w:rPr>
        <w:t>）小组成员：起草和修改绩效考评方案报自评领导工作组会议讨论通过，实施执行绩效自评方案；牵头组织并实施年度绩效自评，根据组长、副组长指示，对考评结果进行复核，完成绩效自核工作组安排的其他工作。</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仿宋_GB2312" w:hAnsi="宋体" w:eastAsia="仿宋_GB2312" w:cs="仿宋_GB2312"/>
          <w:kern w:val="2"/>
          <w:sz w:val="32"/>
          <w:szCs w:val="32"/>
        </w:rPr>
      </w:pPr>
      <w:r>
        <w:rPr>
          <w:rFonts w:hint="eastAsia" w:ascii="黑体" w:hAnsi="宋体" w:eastAsia="黑体" w:cs="黑体"/>
          <w:kern w:val="2"/>
          <w:sz w:val="32"/>
          <w:szCs w:val="32"/>
          <w:lang w:val="en-US" w:eastAsia="zh-CN" w:bidi="ar"/>
        </w:rPr>
        <w:t>三、绩效分析</w:t>
      </w:r>
      <w:r>
        <w:rPr>
          <w:rFonts w:hint="default" w:ascii="仿宋_GB2312" w:hAnsi="宋体" w:eastAsia="仿宋_GB2312" w:cs="仿宋_GB2312"/>
          <w:kern w:val="2"/>
          <w:sz w:val="32"/>
          <w:szCs w:val="32"/>
          <w:lang w:val="en-US" w:eastAsia="zh-CN" w:bidi="ar"/>
        </w:rPr>
        <w:tab/>
      </w:r>
    </w:p>
    <w:p>
      <w:pPr>
        <w:spacing w:beforeLines="0" w:afterLines="0" w:line="578" w:lineRule="exact"/>
        <w:ind w:firstLine="640"/>
        <w:rPr>
          <w:rFonts w:hint="eastAsia" w:ascii="楷体_GB2312" w:hAnsi="宋体" w:eastAsia="楷体_GB2312"/>
          <w:b/>
          <w:color w:val="auto"/>
          <w:sz w:val="32"/>
        </w:rPr>
      </w:pPr>
      <w:r>
        <w:rPr>
          <w:rFonts w:hint="eastAsia" w:ascii="楷体_GB2312" w:hAnsi="宋体" w:eastAsia="楷体_GB2312"/>
          <w:b/>
          <w:color w:val="auto"/>
          <w:sz w:val="32"/>
          <w:lang w:val="zh-CN"/>
        </w:rPr>
        <w:t>（一）</w:t>
      </w:r>
      <w:r>
        <w:rPr>
          <w:rFonts w:hint="eastAsia" w:ascii="楷体_GB2312" w:hAnsi="宋体" w:eastAsia="楷体_GB2312"/>
          <w:b/>
          <w:color w:val="auto"/>
          <w:sz w:val="32"/>
        </w:rPr>
        <w:t>通用指标</w:t>
      </w:r>
      <w:r>
        <w:rPr>
          <w:rFonts w:hint="eastAsia" w:eastAsia="楷体_GB2312"/>
          <w:b/>
          <w:color w:val="000000"/>
          <w:kern w:val="0"/>
          <w:sz w:val="32"/>
          <w:shd w:val="clear" w:color="auto" w:fill="FFFFFF"/>
          <w:lang w:val="zh-CN"/>
        </w:rPr>
        <w:t>绩效分析。指标分值</w:t>
      </w:r>
      <w:r>
        <w:rPr>
          <w:rFonts w:hint="eastAsia" w:eastAsia="楷体_GB2312"/>
          <w:b/>
          <w:color w:val="000000"/>
          <w:kern w:val="0"/>
          <w:sz w:val="32"/>
          <w:shd w:val="clear" w:color="auto" w:fill="FFFFFF"/>
        </w:rPr>
        <w:t>54</w:t>
      </w:r>
      <w:r>
        <w:rPr>
          <w:rFonts w:hint="eastAsia" w:eastAsia="楷体_GB2312"/>
          <w:b/>
          <w:color w:val="000000"/>
          <w:kern w:val="0"/>
          <w:sz w:val="32"/>
          <w:shd w:val="clear" w:color="auto" w:fill="FFFFFF"/>
          <w:lang w:val="zh-CN"/>
        </w:rPr>
        <w:t>分，自评得分</w:t>
      </w:r>
      <w:r>
        <w:rPr>
          <w:rFonts w:hint="eastAsia" w:eastAsia="楷体_GB2312"/>
          <w:b/>
          <w:color w:val="000000"/>
          <w:kern w:val="0"/>
          <w:sz w:val="32"/>
          <w:shd w:val="clear" w:color="auto" w:fill="FFFFFF"/>
        </w:rPr>
        <w:t>54</w:t>
      </w:r>
      <w:r>
        <w:rPr>
          <w:rFonts w:hint="eastAsia" w:eastAsia="楷体_GB2312"/>
          <w:b/>
          <w:color w:val="000000"/>
          <w:kern w:val="0"/>
          <w:sz w:val="32"/>
          <w:shd w:val="clear" w:color="auto" w:fill="FFFFFF"/>
          <w:lang w:val="zh-CN"/>
        </w:rPr>
        <w:t>分</w:t>
      </w:r>
    </w:p>
    <w:p>
      <w:pPr>
        <w:spacing w:beforeLines="0" w:afterLines="0" w:line="578" w:lineRule="exact"/>
        <w:ind w:left="420" w:leftChars="200"/>
        <w:rPr>
          <w:rFonts w:hint="eastAsia" w:ascii="楷体_GB2312" w:hAnsi="楷体_GB2312" w:eastAsia="楷体_GB2312"/>
          <w:color w:val="auto"/>
          <w:sz w:val="32"/>
        </w:rPr>
      </w:pPr>
      <w:r>
        <w:rPr>
          <w:rFonts w:hint="eastAsia" w:ascii="楷体_GB2312" w:hAnsi="楷体_GB2312" w:eastAsia="楷体_GB2312"/>
          <w:color w:val="auto"/>
          <w:sz w:val="32"/>
        </w:rPr>
        <w:t>1.项目决策。指标分值18分，自评得分18分</w:t>
      </w:r>
    </w:p>
    <w:p>
      <w:pPr>
        <w:spacing w:beforeLines="0" w:afterLines="0" w:line="578" w:lineRule="exact"/>
        <w:ind w:firstLine="640" w:firstLineChars="200"/>
        <w:rPr>
          <w:rFonts w:hint="default"/>
          <w:color w:val="auto"/>
          <w:sz w:val="32"/>
        </w:rPr>
      </w:pPr>
      <w:r>
        <w:rPr>
          <w:rFonts w:hint="eastAsia"/>
          <w:color w:val="auto"/>
          <w:sz w:val="32"/>
        </w:rPr>
        <w:t>决策程序：项目设立、调整延续等方面符合资金管理基本规范和决策程序要求。指标分值6分，自评得分6分。</w:t>
      </w:r>
    </w:p>
    <w:p>
      <w:pPr>
        <w:spacing w:beforeLines="0" w:afterLines="0" w:line="578" w:lineRule="exact"/>
        <w:ind w:firstLine="640" w:firstLineChars="200"/>
        <w:rPr>
          <w:rFonts w:hint="default"/>
          <w:color w:val="auto"/>
          <w:sz w:val="32"/>
        </w:rPr>
      </w:pPr>
      <w:r>
        <w:rPr>
          <w:rFonts w:hint="eastAsia"/>
          <w:color w:val="auto"/>
          <w:sz w:val="32"/>
        </w:rPr>
        <w:t>规划论证：项目规划论证符合中</w:t>
      </w:r>
      <w:r>
        <w:rPr>
          <w:rFonts w:hint="default"/>
          <w:color w:val="auto"/>
          <w:sz w:val="32"/>
        </w:rPr>
        <w:t>央、省委</w:t>
      </w:r>
      <w:bookmarkStart w:id="0" w:name="_GoBack"/>
      <w:bookmarkEnd w:id="0"/>
      <w:r>
        <w:rPr>
          <w:rFonts w:hint="eastAsia"/>
          <w:color w:val="auto"/>
          <w:sz w:val="32"/>
        </w:rPr>
        <w:t>要求，项目绩效目标设置科学合理，项目资金与项目总体规划、相关行业事业发展相匹配，聚焦重大任务、重点领域、重点环节和重点项目。指标分值6分，自评得分6分。</w:t>
      </w:r>
    </w:p>
    <w:p>
      <w:pPr>
        <w:spacing w:beforeLines="0" w:afterLines="0" w:line="578" w:lineRule="exact"/>
        <w:ind w:firstLine="640" w:firstLineChars="200"/>
        <w:rPr>
          <w:rFonts w:hint="eastAsia"/>
          <w:color w:val="auto"/>
          <w:sz w:val="32"/>
        </w:rPr>
      </w:pPr>
      <w:r>
        <w:rPr>
          <w:rFonts w:hint="eastAsia"/>
          <w:color w:val="auto"/>
          <w:sz w:val="32"/>
        </w:rPr>
        <w:t>资金投向：项目资金是与项目总体规划、相关行业事业发展相匹配，聚焦重大任务、重点领域、重点环节和重点项目。体现“集中财力办大事”原则，避免“撒胡椒面”。指标分值6分，自评得分6分。</w:t>
      </w:r>
    </w:p>
    <w:p>
      <w:pPr>
        <w:numPr>
          <w:ilvl w:val="0"/>
          <w:numId w:val="0"/>
        </w:numPr>
        <w:spacing w:beforeLines="0" w:afterLines="0" w:line="578" w:lineRule="exact"/>
        <w:ind w:firstLine="640" w:firstLineChars="200"/>
        <w:rPr>
          <w:rFonts w:hint="eastAsia" w:ascii="楷体_GB2312" w:hAnsi="楷体_GB2312" w:eastAsia="楷体_GB2312"/>
          <w:color w:val="auto"/>
          <w:sz w:val="32"/>
        </w:rPr>
      </w:pPr>
      <w:r>
        <w:rPr>
          <w:rFonts w:hint="eastAsia" w:ascii="楷体_GB2312" w:hAnsi="楷体_GB2312" w:eastAsia="楷体_GB2312"/>
          <w:color w:val="auto"/>
          <w:sz w:val="32"/>
        </w:rPr>
        <w:t>2.项目管理。指标分值18分，自评得分</w:t>
      </w:r>
      <w:r>
        <w:rPr>
          <w:rFonts w:hint="eastAsia" w:ascii="楷体_GB2312" w:hAnsi="楷体_GB2312" w:eastAsia="楷体_GB2312"/>
          <w:color w:val="auto"/>
          <w:sz w:val="32"/>
          <w:lang w:val="en-US" w:eastAsia="zh-CN"/>
        </w:rPr>
        <w:t>18</w:t>
      </w:r>
      <w:r>
        <w:rPr>
          <w:rFonts w:hint="eastAsia" w:ascii="楷体_GB2312" w:hAnsi="楷体_GB2312" w:eastAsia="楷体_GB2312"/>
          <w:color w:val="auto"/>
          <w:sz w:val="32"/>
        </w:rPr>
        <w:t>分</w:t>
      </w:r>
    </w:p>
    <w:p>
      <w:pPr>
        <w:spacing w:beforeLines="0" w:afterLines="0" w:line="578" w:lineRule="exact"/>
        <w:ind w:firstLine="640" w:firstLineChars="200"/>
        <w:rPr>
          <w:rFonts w:hint="eastAsia"/>
          <w:color w:val="auto"/>
          <w:sz w:val="32"/>
        </w:rPr>
      </w:pPr>
      <w:r>
        <w:rPr>
          <w:rFonts w:hint="eastAsia"/>
          <w:color w:val="auto"/>
          <w:sz w:val="32"/>
        </w:rPr>
        <w:t>制度办法：项目制度办法体系健全、要素完备。资金管理办法等管理制度体系健全完善，不存在管理制度缺失、管理办法过期情况。指标分值2分，自评得分2分。</w:t>
      </w:r>
    </w:p>
    <w:p>
      <w:pPr>
        <w:spacing w:beforeLines="0" w:afterLines="0" w:line="578" w:lineRule="exact"/>
        <w:ind w:firstLine="640" w:firstLineChars="200"/>
        <w:rPr>
          <w:rFonts w:hint="eastAsia"/>
          <w:color w:val="auto"/>
          <w:sz w:val="32"/>
        </w:rPr>
      </w:pPr>
      <w:r>
        <w:rPr>
          <w:rFonts w:hint="eastAsia"/>
          <w:color w:val="auto"/>
          <w:sz w:val="32"/>
        </w:rPr>
        <w:t>分配管理：项目资金分配因素选取、权重设置、区域分布，项目管理、审批符合管理要求，管资金、</w:t>
      </w:r>
      <w:r>
        <w:rPr>
          <w:rFonts w:hint="default"/>
          <w:color w:val="auto"/>
          <w:sz w:val="32"/>
        </w:rPr>
        <w:t>管</w:t>
      </w:r>
      <w:r>
        <w:rPr>
          <w:rFonts w:hint="eastAsia"/>
          <w:color w:val="auto"/>
          <w:sz w:val="32"/>
        </w:rPr>
        <w:t>项目、政策管绩效，项目绩效监管按要求开展，对下指导有力有效。指标分值10分，自评得分</w:t>
      </w:r>
      <w:r>
        <w:rPr>
          <w:rFonts w:hint="eastAsia"/>
          <w:color w:val="auto"/>
          <w:sz w:val="32"/>
          <w:lang w:val="en-US" w:eastAsia="zh-CN"/>
        </w:rPr>
        <w:t>10</w:t>
      </w:r>
      <w:r>
        <w:rPr>
          <w:rFonts w:hint="eastAsia"/>
          <w:color w:val="auto"/>
          <w:sz w:val="32"/>
        </w:rPr>
        <w:t>分。</w:t>
      </w:r>
    </w:p>
    <w:p>
      <w:pPr>
        <w:spacing w:beforeLines="0" w:afterLines="0" w:line="578" w:lineRule="exact"/>
        <w:ind w:firstLine="640" w:firstLineChars="200"/>
        <w:rPr>
          <w:rFonts w:hint="eastAsia" w:ascii="楷体_GB2312" w:hAnsi="楷体_GB2312" w:eastAsia="楷体_GB2312"/>
          <w:color w:val="auto"/>
          <w:sz w:val="32"/>
        </w:rPr>
      </w:pPr>
      <w:r>
        <w:rPr>
          <w:rFonts w:hint="eastAsia" w:ascii="楷体_GB2312" w:hAnsi="楷体_GB2312" w:eastAsia="楷体_GB2312"/>
          <w:color w:val="auto"/>
          <w:sz w:val="32"/>
        </w:rPr>
        <w:t>绩效监管:</w:t>
      </w:r>
      <w:r>
        <w:rPr>
          <w:rFonts w:hint="eastAsia"/>
          <w:color w:val="auto"/>
          <w:sz w:val="32"/>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指标分值6分，自评得分6分。</w:t>
      </w:r>
    </w:p>
    <w:p>
      <w:pPr>
        <w:numPr>
          <w:ilvl w:val="0"/>
          <w:numId w:val="0"/>
        </w:numPr>
        <w:spacing w:beforeLines="0" w:afterLines="0" w:line="578" w:lineRule="exact"/>
        <w:ind w:firstLine="640" w:firstLineChars="200"/>
        <w:rPr>
          <w:rFonts w:hint="eastAsia" w:ascii="楷体_GB2312" w:hAnsi="楷体_GB2312" w:eastAsia="楷体_GB2312"/>
          <w:color w:val="auto"/>
          <w:sz w:val="32"/>
        </w:rPr>
      </w:pPr>
      <w:r>
        <w:rPr>
          <w:rFonts w:hint="eastAsia" w:ascii="楷体_GB2312" w:hAnsi="楷体_GB2312" w:eastAsia="楷体_GB2312"/>
          <w:color w:val="auto"/>
          <w:sz w:val="32"/>
        </w:rPr>
        <w:t>3.项目实施。指标分值9分，自评得分8分</w:t>
      </w:r>
    </w:p>
    <w:p>
      <w:pPr>
        <w:spacing w:beforeLines="0" w:afterLines="0" w:line="578" w:lineRule="exact"/>
        <w:ind w:firstLine="640" w:firstLineChars="200"/>
        <w:rPr>
          <w:rFonts w:hint="eastAsia" w:ascii="楷体_GB2312" w:hAnsi="楷体_GB2312" w:eastAsia="楷体_GB2312"/>
          <w:color w:val="auto"/>
          <w:sz w:val="32"/>
        </w:rPr>
      </w:pPr>
      <w:r>
        <w:rPr>
          <w:rFonts w:hint="eastAsia"/>
          <w:color w:val="auto"/>
          <w:sz w:val="32"/>
        </w:rPr>
        <w:t>预算执行:项目预算资金35.92万元，支付35.92万元。指标分值6分，自评得分5分。</w:t>
      </w:r>
    </w:p>
    <w:p>
      <w:pPr>
        <w:spacing w:beforeLines="0" w:afterLines="0" w:line="578" w:lineRule="exact"/>
        <w:ind w:firstLine="640" w:firstLineChars="200"/>
        <w:rPr>
          <w:rFonts w:hint="default"/>
          <w:color w:val="auto"/>
          <w:sz w:val="32"/>
        </w:rPr>
      </w:pPr>
      <w:r>
        <w:rPr>
          <w:rFonts w:hint="eastAsia" w:ascii="楷体_GB2312" w:hAnsi="楷体_GB2312" w:eastAsia="楷体_GB2312"/>
          <w:color w:val="auto"/>
          <w:sz w:val="32"/>
        </w:rPr>
        <w:t>资金使用:项</w:t>
      </w:r>
      <w:r>
        <w:rPr>
          <w:rFonts w:hint="eastAsia"/>
          <w:color w:val="auto"/>
          <w:sz w:val="32"/>
        </w:rPr>
        <w:t>目资金使用、拨付符合国家财经法规、财务管理制度及有关专项资金管理制度办法规定和审批程序，不存在超范围、超标准、超进度使用专项资金，不存在资金损失浪费、长期沉淀、截留、挤占、挪用、虚列支出等情况。指标分值3分，自评得分3分。</w:t>
      </w:r>
    </w:p>
    <w:p>
      <w:pPr>
        <w:numPr>
          <w:ilvl w:val="0"/>
          <w:numId w:val="0"/>
        </w:numPr>
        <w:spacing w:beforeLines="0" w:afterLines="0" w:line="578" w:lineRule="exact"/>
        <w:ind w:firstLine="640" w:firstLineChars="200"/>
        <w:rPr>
          <w:rFonts w:hint="eastAsia" w:ascii="楷体_GB2312" w:hAnsi="楷体_GB2312" w:eastAsia="楷体_GB2312"/>
          <w:color w:val="auto"/>
          <w:sz w:val="32"/>
        </w:rPr>
      </w:pPr>
      <w:r>
        <w:rPr>
          <w:rFonts w:hint="eastAsia" w:ascii="楷体_GB2312" w:hAnsi="楷体_GB2312" w:eastAsia="楷体_GB2312"/>
          <w:color w:val="auto"/>
          <w:sz w:val="32"/>
        </w:rPr>
        <w:t>4.项目结果。指标分值9分，自评得分9分</w:t>
      </w:r>
    </w:p>
    <w:p>
      <w:pPr>
        <w:spacing w:beforeLines="0" w:afterLines="0" w:line="578" w:lineRule="exact"/>
        <w:ind w:firstLine="640" w:firstLineChars="200"/>
        <w:rPr>
          <w:rFonts w:hint="eastAsia"/>
          <w:color w:val="auto"/>
          <w:sz w:val="32"/>
        </w:rPr>
      </w:pPr>
      <w:r>
        <w:rPr>
          <w:rFonts w:hint="eastAsia"/>
          <w:color w:val="auto"/>
          <w:sz w:val="32"/>
        </w:rPr>
        <w:t>目标完成：资金项目内容与具体实施内容相符的、申报目标是合理可行。项目运行成本、管理效率、履职效能、社会效应、可持续发展能力和服务对象满意度等方面均取得良好成果，预算绩效实现全覆盖。截止2023年底完成项目资金拨付。指标分值6分，自评得分6分。</w:t>
      </w:r>
    </w:p>
    <w:p>
      <w:pPr>
        <w:spacing w:beforeLines="0" w:afterLines="0" w:line="578" w:lineRule="exact"/>
        <w:ind w:firstLine="640" w:firstLineChars="200"/>
        <w:rPr>
          <w:rFonts w:hint="default"/>
          <w:color w:val="auto"/>
          <w:sz w:val="32"/>
        </w:rPr>
      </w:pPr>
      <w:r>
        <w:rPr>
          <w:rFonts w:hint="eastAsia"/>
          <w:color w:val="auto"/>
          <w:sz w:val="32"/>
        </w:rPr>
        <w:t>完成时效：资金项目按照目标任务已于2023年底完成。指标分值3分，自评得分3分。</w:t>
      </w:r>
    </w:p>
    <w:p>
      <w:pPr>
        <w:spacing w:beforeLines="0" w:afterLines="0" w:line="578" w:lineRule="exact"/>
        <w:ind w:firstLine="642" w:firstLineChars="200"/>
        <w:rPr>
          <w:rFonts w:hint="eastAsia" w:ascii="楷体_GB2312" w:hAnsi="楷体_GB2312" w:eastAsia="楷体_GB2312"/>
          <w:color w:val="auto"/>
          <w:sz w:val="32"/>
          <w:lang w:val="zh-CN"/>
        </w:rPr>
      </w:pPr>
      <w:r>
        <w:rPr>
          <w:rFonts w:hint="eastAsia" w:ascii="楷体_GB2312" w:hAnsi="宋体" w:eastAsia="楷体_GB2312"/>
          <w:b/>
          <w:color w:val="auto"/>
          <w:sz w:val="32"/>
          <w:lang w:val="zh-CN"/>
        </w:rPr>
        <w:t>（二）</w:t>
      </w:r>
      <w:r>
        <w:rPr>
          <w:rFonts w:hint="eastAsia" w:ascii="楷体_GB2312" w:hAnsi="宋体" w:eastAsia="楷体_GB2312"/>
          <w:b/>
          <w:color w:val="auto"/>
          <w:sz w:val="32"/>
        </w:rPr>
        <w:t>专用指标</w:t>
      </w:r>
      <w:r>
        <w:rPr>
          <w:rFonts w:hint="eastAsia" w:eastAsia="楷体_GB2312"/>
          <w:b/>
          <w:color w:val="000000"/>
          <w:kern w:val="0"/>
          <w:sz w:val="32"/>
          <w:shd w:val="clear" w:color="auto" w:fill="FFFFFF"/>
          <w:lang w:val="zh-CN"/>
        </w:rPr>
        <w:t>绩效分析。指标分值</w:t>
      </w:r>
      <w:r>
        <w:rPr>
          <w:rFonts w:hint="eastAsia" w:eastAsia="楷体_GB2312"/>
          <w:b/>
          <w:color w:val="000000"/>
          <w:kern w:val="0"/>
          <w:sz w:val="32"/>
          <w:shd w:val="clear" w:color="auto" w:fill="FFFFFF"/>
        </w:rPr>
        <w:t>30</w:t>
      </w:r>
      <w:r>
        <w:rPr>
          <w:rFonts w:hint="eastAsia" w:eastAsia="楷体_GB2312"/>
          <w:b/>
          <w:color w:val="000000"/>
          <w:kern w:val="0"/>
          <w:sz w:val="32"/>
          <w:shd w:val="clear" w:color="auto" w:fill="FFFFFF"/>
          <w:lang w:val="zh-CN"/>
        </w:rPr>
        <w:t>分，自评得分</w:t>
      </w:r>
      <w:r>
        <w:rPr>
          <w:rFonts w:hint="eastAsia" w:eastAsia="楷体_GB2312"/>
          <w:b/>
          <w:color w:val="000000"/>
          <w:kern w:val="0"/>
          <w:sz w:val="32"/>
          <w:shd w:val="clear" w:color="auto" w:fill="FFFFFF"/>
        </w:rPr>
        <w:t>30</w:t>
      </w:r>
      <w:r>
        <w:rPr>
          <w:rFonts w:hint="eastAsia" w:eastAsia="楷体_GB2312"/>
          <w:b/>
          <w:color w:val="000000"/>
          <w:kern w:val="0"/>
          <w:sz w:val="32"/>
          <w:shd w:val="clear" w:color="auto" w:fill="FFFFFF"/>
          <w:lang w:val="zh-CN"/>
        </w:rPr>
        <w:t>分</w:t>
      </w:r>
    </w:p>
    <w:p>
      <w:pPr>
        <w:spacing w:beforeLines="0" w:afterLines="0" w:line="578" w:lineRule="exact"/>
        <w:ind w:firstLine="640" w:firstLineChars="200"/>
        <w:rPr>
          <w:rFonts w:hint="eastAsia"/>
          <w:color w:val="auto"/>
          <w:sz w:val="32"/>
        </w:rPr>
      </w:pPr>
      <w:r>
        <w:rPr>
          <w:rFonts w:hint="eastAsia"/>
          <w:color w:val="auto"/>
          <w:sz w:val="32"/>
        </w:rPr>
        <w:t>项目验收：该项目已完成项目验收，出具项目验收报告。指标分值10分，自评得分10分。</w:t>
      </w:r>
    </w:p>
    <w:p>
      <w:pPr>
        <w:spacing w:beforeLines="0" w:afterLines="0" w:line="578" w:lineRule="exact"/>
        <w:ind w:firstLine="640" w:firstLineChars="200"/>
        <w:rPr>
          <w:rFonts w:hint="eastAsia"/>
          <w:color w:val="auto"/>
          <w:sz w:val="32"/>
          <w:lang w:val="zh-CN"/>
        </w:rPr>
      </w:pPr>
      <w:r>
        <w:rPr>
          <w:rFonts w:hint="eastAsia"/>
          <w:color w:val="auto"/>
          <w:sz w:val="32"/>
        </w:rPr>
        <w:t>项</w:t>
      </w:r>
      <w:r>
        <w:rPr>
          <w:rFonts w:hint="default"/>
          <w:color w:val="auto"/>
          <w:sz w:val="32"/>
        </w:rPr>
        <w:t>目</w:t>
      </w:r>
      <w:r>
        <w:rPr>
          <w:rFonts w:hint="eastAsia"/>
          <w:color w:val="auto"/>
          <w:sz w:val="32"/>
        </w:rPr>
        <w:t>功能实现：</w:t>
      </w:r>
      <w:r>
        <w:rPr>
          <w:rFonts w:hint="default"/>
          <w:color w:val="auto"/>
          <w:sz w:val="32"/>
        </w:rPr>
        <w:t>项</w:t>
      </w:r>
      <w:r>
        <w:rPr>
          <w:rFonts w:hint="eastAsia"/>
          <w:color w:val="auto"/>
          <w:sz w:val="32"/>
        </w:rPr>
        <w:t>目资金分配均衡公平，资金实际支持对象符合管理要求，符合支持对象范围，资金实际补贴标准符合资金管理办法规定的补助标准，及时按标准兑现，资金涉及服务对象满意度不低于90%，</w:t>
      </w:r>
      <w:r>
        <w:rPr>
          <w:rFonts w:hint="eastAsia"/>
          <w:color w:val="auto"/>
          <w:sz w:val="32"/>
          <w:lang w:val="zh-CN"/>
        </w:rPr>
        <w:t>项目用途合规性、程序合规性、标准合规性。</w:t>
      </w:r>
      <w:r>
        <w:rPr>
          <w:rFonts w:hint="eastAsia"/>
          <w:color w:val="auto"/>
          <w:sz w:val="32"/>
        </w:rPr>
        <w:t>指标分值10分，自评得分10分。</w:t>
      </w:r>
    </w:p>
    <w:p>
      <w:pPr>
        <w:spacing w:beforeLines="0" w:afterLines="0" w:line="578" w:lineRule="exact"/>
        <w:ind w:firstLine="640" w:firstLineChars="200"/>
        <w:rPr>
          <w:rFonts w:hint="default"/>
          <w:color w:val="auto"/>
          <w:sz w:val="32"/>
        </w:rPr>
      </w:pPr>
      <w:r>
        <w:rPr>
          <w:rFonts w:hint="eastAsia"/>
          <w:color w:val="auto"/>
          <w:sz w:val="32"/>
        </w:rPr>
        <w:t>后续管护:建立明确的责任制度，确保每个环节都有专人负责。通过宣传和教育活动提高公众对项目管护的认识和参与度,以提高管理效率和质量。确保项目的长期效益和持续运行，提高项目的整体价值和社会的整体福利。指标分值10分，自评得分10分。</w:t>
      </w:r>
    </w:p>
    <w:p>
      <w:pPr>
        <w:numPr>
          <w:ilvl w:val="0"/>
          <w:numId w:val="2"/>
        </w:numPr>
        <w:spacing w:beforeLines="0" w:afterLines="0" w:line="578" w:lineRule="exact"/>
        <w:ind w:firstLine="642" w:firstLineChars="200"/>
        <w:rPr>
          <w:rFonts w:hint="default" w:eastAsia="楷体_GB2312"/>
          <w:b/>
          <w:color w:val="000000"/>
          <w:kern w:val="0"/>
          <w:sz w:val="32"/>
          <w:shd w:val="clear" w:color="auto" w:fill="FFFFFF"/>
          <w:lang w:val="zh-CN"/>
        </w:rPr>
      </w:pPr>
      <w:r>
        <w:rPr>
          <w:rFonts w:hint="eastAsia" w:ascii="楷体_GB2312" w:hAnsi="宋体" w:eastAsia="楷体_GB2312"/>
          <w:b/>
          <w:color w:val="auto"/>
          <w:sz w:val="32"/>
        </w:rPr>
        <w:t>个性指标</w:t>
      </w:r>
      <w:r>
        <w:rPr>
          <w:rFonts w:hint="eastAsia" w:eastAsia="楷体_GB2312"/>
          <w:b/>
          <w:color w:val="000000"/>
          <w:kern w:val="0"/>
          <w:sz w:val="32"/>
          <w:shd w:val="clear" w:color="auto" w:fill="FFFFFF"/>
          <w:lang w:val="zh-CN"/>
        </w:rPr>
        <w:t>绩效分析。指标分值</w:t>
      </w:r>
      <w:r>
        <w:rPr>
          <w:rFonts w:hint="eastAsia" w:eastAsia="楷体_GB2312"/>
          <w:b/>
          <w:color w:val="000000"/>
          <w:kern w:val="0"/>
          <w:sz w:val="32"/>
          <w:shd w:val="clear" w:color="auto" w:fill="FFFFFF"/>
        </w:rPr>
        <w:t>16</w:t>
      </w:r>
      <w:r>
        <w:rPr>
          <w:rFonts w:hint="eastAsia" w:eastAsia="楷体_GB2312"/>
          <w:b/>
          <w:color w:val="000000"/>
          <w:kern w:val="0"/>
          <w:sz w:val="32"/>
          <w:shd w:val="clear" w:color="auto" w:fill="FFFFFF"/>
          <w:lang w:val="zh-CN"/>
        </w:rPr>
        <w:t>分，自评得分</w:t>
      </w:r>
      <w:r>
        <w:rPr>
          <w:rFonts w:hint="eastAsia" w:eastAsia="楷体_GB2312"/>
          <w:b/>
          <w:color w:val="000000"/>
          <w:kern w:val="0"/>
          <w:sz w:val="32"/>
          <w:shd w:val="clear" w:color="auto" w:fill="FFFFFF"/>
        </w:rPr>
        <w:t>16</w:t>
      </w:r>
      <w:r>
        <w:rPr>
          <w:rFonts w:hint="eastAsia" w:eastAsia="楷体_GB2312"/>
          <w:b/>
          <w:color w:val="000000"/>
          <w:kern w:val="0"/>
          <w:sz w:val="32"/>
          <w:shd w:val="clear" w:color="auto" w:fill="FFFFFF"/>
          <w:lang w:val="zh-CN"/>
        </w:rPr>
        <w:t>分</w:t>
      </w:r>
    </w:p>
    <w:p>
      <w:pPr>
        <w:spacing w:beforeLines="0" w:afterLines="0" w:line="578" w:lineRule="exact"/>
        <w:ind w:firstLine="640" w:firstLineChars="200"/>
        <w:rPr>
          <w:rFonts w:hint="eastAsia"/>
          <w:color w:val="auto"/>
          <w:sz w:val="32"/>
        </w:rPr>
      </w:pPr>
      <w:r>
        <w:rPr>
          <w:rFonts w:hint="eastAsia"/>
          <w:color w:val="auto"/>
          <w:sz w:val="32"/>
        </w:rPr>
        <w:t>我单位在规定内做好村级公共运行维护费个性化绩效评价指标具有特定的针对性，能够更好地反映其特定业务领域的表现，可以增强村干部工作的积极性和工作热情。提高部门的整体绩效水平。</w:t>
      </w:r>
    </w:p>
    <w:p>
      <w:pPr>
        <w:spacing w:beforeLines="0" w:afterLines="0" w:line="578" w:lineRule="exact"/>
        <w:ind w:firstLine="640" w:firstLineChars="200"/>
        <w:rPr>
          <w:rFonts w:hint="eastAsia"/>
          <w:color w:val="auto"/>
          <w:sz w:val="32"/>
        </w:rPr>
      </w:pPr>
      <w:r>
        <w:rPr>
          <w:rFonts w:hint="eastAsia"/>
          <w:color w:val="auto"/>
          <w:sz w:val="32"/>
        </w:rPr>
        <w:t>改善各村生活环境:通过项目实施,进一步改善各村生活环境。提升村民幸福指数。指标分值5分，自评得分5分。</w:t>
      </w:r>
    </w:p>
    <w:p>
      <w:pPr>
        <w:spacing w:beforeLines="0" w:afterLines="0" w:line="578" w:lineRule="exact"/>
        <w:ind w:firstLine="640" w:firstLineChars="200"/>
        <w:rPr>
          <w:rFonts w:hint="eastAsia"/>
          <w:color w:val="auto"/>
          <w:sz w:val="32"/>
        </w:rPr>
      </w:pPr>
      <w:r>
        <w:rPr>
          <w:rFonts w:hint="eastAsia"/>
          <w:color w:val="auto"/>
          <w:sz w:val="32"/>
        </w:rPr>
        <w:t>项目公示:按照公开要求，在门户网站中决算公开内容进行公示。指标分值5分，自评得分5分。</w:t>
      </w:r>
    </w:p>
    <w:p>
      <w:pPr>
        <w:spacing w:beforeLines="0" w:afterLines="0" w:line="578" w:lineRule="exact"/>
        <w:ind w:firstLine="640" w:firstLineChars="200"/>
        <w:rPr>
          <w:rFonts w:hint="eastAsia"/>
          <w:color w:val="auto"/>
          <w:sz w:val="32"/>
        </w:rPr>
      </w:pPr>
      <w:r>
        <w:rPr>
          <w:rFonts w:hint="eastAsia"/>
          <w:color w:val="auto"/>
          <w:sz w:val="32"/>
        </w:rPr>
        <w:t>保障道路畅通率：通过项目实施，进一步提升村级运行经费的效率。保障各村道路畅通。指标分值6分，自评得分6分。</w:t>
      </w:r>
    </w:p>
    <w:p>
      <w:pPr>
        <w:pStyle w:val="3"/>
        <w:numPr>
          <w:ilvl w:val="0"/>
          <w:numId w:val="0"/>
        </w:numPr>
        <w:tabs>
          <w:tab w:val="left" w:pos="2160"/>
        </w:tabs>
        <w:spacing w:beforeLines="0" w:afterLines="0" w:line="600" w:lineRule="exact"/>
        <w:ind w:firstLine="640" w:firstLineChars="200"/>
        <w:rPr>
          <w:rFonts w:hint="eastAsia" w:ascii="黑体" w:hAnsi="宋体" w:eastAsia="黑体"/>
          <w:color w:val="auto"/>
          <w:sz w:val="32"/>
        </w:rPr>
      </w:pPr>
      <w:r>
        <w:rPr>
          <w:rFonts w:hint="eastAsia" w:ascii="黑体" w:hAnsi="宋体" w:eastAsia="黑体"/>
          <w:color w:val="auto"/>
          <w:sz w:val="32"/>
          <w:lang w:eastAsia="zh-CN"/>
        </w:rPr>
        <w:t>四</w:t>
      </w:r>
      <w:r>
        <w:rPr>
          <w:rFonts w:hint="eastAsia" w:ascii="黑体" w:hAnsi="宋体" w:eastAsia="黑体"/>
          <w:color w:val="auto"/>
          <w:sz w:val="32"/>
        </w:rPr>
        <w:t>、评价结论</w:t>
      </w:r>
    </w:p>
    <w:p>
      <w:pPr>
        <w:pStyle w:val="3"/>
        <w:numPr>
          <w:ilvl w:val="0"/>
          <w:numId w:val="0"/>
        </w:numPr>
        <w:tabs>
          <w:tab w:val="left" w:pos="2160"/>
        </w:tabs>
        <w:spacing w:beforeLines="0" w:afterLines="0" w:line="600" w:lineRule="exact"/>
        <w:ind w:firstLine="640" w:firstLineChars="200"/>
        <w:rPr>
          <w:rFonts w:hint="eastAsia" w:ascii="仿宋_GB2312" w:hAnsi="仿宋_GB2312" w:eastAsia="仿宋_GB2312"/>
          <w:sz w:val="32"/>
          <w:lang w:eastAsia="zh-CN"/>
        </w:rPr>
      </w:pPr>
      <w:r>
        <w:rPr>
          <w:rFonts w:hint="eastAsia" w:ascii="仿宋_GB2312" w:hAnsi="仿宋_GB2312" w:eastAsia="仿宋_GB2312"/>
          <w:sz w:val="32"/>
          <w:lang w:eastAsia="zh-CN"/>
        </w:rPr>
        <w:t>通过汇总、整理、分析村级公共运行维护费项目绩效评价指标体系，绩效目标基本实现，自评得分为99分。</w:t>
      </w:r>
    </w:p>
    <w:p>
      <w:pPr>
        <w:pStyle w:val="6"/>
        <w:keepNext w:val="0"/>
        <w:keepLines w:val="0"/>
        <w:widowControl/>
        <w:suppressLineNumbers w:val="0"/>
        <w:spacing w:before="0" w:beforeAutospacing="0" w:after="0" w:afterAutospacing="0" w:line="600" w:lineRule="exact"/>
        <w:ind w:left="0" w:right="0" w:firstLine="640" w:firstLineChars="200"/>
        <w:jc w:val="left"/>
        <w:rPr>
          <w:rFonts w:hint="eastAsia" w:ascii="黑体" w:hAnsi="宋体" w:eastAsia="黑体" w:cs="黑体"/>
          <w:kern w:val="0"/>
          <w:position w:val="3"/>
          <w:sz w:val="32"/>
          <w:szCs w:val="32"/>
        </w:rPr>
      </w:pPr>
      <w:r>
        <w:rPr>
          <w:rFonts w:hint="eastAsia" w:ascii="黑体" w:hAnsi="宋体" w:eastAsia="黑体" w:cs="黑体"/>
          <w:kern w:val="0"/>
          <w:position w:val="3"/>
          <w:sz w:val="32"/>
          <w:szCs w:val="32"/>
          <w:lang w:val="en-US" w:eastAsia="zh-CN" w:bidi="ar"/>
        </w:rPr>
        <w:t>五、存在主要问题</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ind w:leftChars="0" w:firstLine="640" w:firstLineChars="200"/>
        <w:textAlignment w:val="auto"/>
        <w:rPr>
          <w:rFonts w:hint="eastAsia" w:ascii="仿宋" w:hAnsi="Calibri" w:eastAsia="仿宋" w:cs="仿宋"/>
          <w:kern w:val="2"/>
          <w:sz w:val="32"/>
          <w:szCs w:val="32"/>
          <w:lang w:val="en-US" w:eastAsia="zh-CN" w:bidi="ar-SA"/>
        </w:rPr>
      </w:pPr>
      <w:r>
        <w:rPr>
          <w:rFonts w:hint="eastAsia" w:ascii="仿宋" w:hAnsi="Calibri" w:eastAsia="仿宋" w:cs="仿宋"/>
          <w:kern w:val="2"/>
          <w:sz w:val="32"/>
          <w:szCs w:val="32"/>
          <w:lang w:val="en-US" w:eastAsia="zh-CN" w:bidi="ar-SA"/>
        </w:rPr>
        <w:t>1、内部管理上较为粗糙。</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ind w:leftChars="0" w:firstLine="640" w:firstLineChars="200"/>
        <w:textAlignment w:val="auto"/>
        <w:rPr>
          <w:rFonts w:hint="eastAsia" w:ascii="仿宋" w:hAnsi="Calibri" w:eastAsia="仿宋" w:cs="仿宋"/>
          <w:kern w:val="2"/>
          <w:sz w:val="32"/>
          <w:szCs w:val="32"/>
          <w:lang w:val="en-US" w:eastAsia="zh-CN" w:bidi="ar-SA"/>
        </w:rPr>
      </w:pPr>
      <w:r>
        <w:rPr>
          <w:rFonts w:hint="eastAsia" w:ascii="仿宋" w:hAnsi="Calibri" w:eastAsia="仿宋" w:cs="仿宋"/>
          <w:kern w:val="2"/>
          <w:sz w:val="32"/>
          <w:szCs w:val="32"/>
          <w:lang w:val="en-US" w:eastAsia="zh-CN" w:bidi="ar-SA"/>
        </w:rPr>
        <w:t>2、预算执行力度不够。</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ind w:leftChars="0" w:firstLine="640" w:firstLineChars="200"/>
        <w:textAlignment w:val="auto"/>
        <w:rPr>
          <w:rFonts w:hint="eastAsia" w:ascii="仿宋" w:hAnsi="Calibri" w:eastAsia="仿宋" w:cs="仿宋"/>
          <w:kern w:val="2"/>
          <w:sz w:val="32"/>
          <w:szCs w:val="32"/>
          <w:lang w:val="en-US" w:eastAsia="zh-CN" w:bidi="ar-SA"/>
        </w:rPr>
      </w:pPr>
      <w:r>
        <w:rPr>
          <w:rFonts w:hint="eastAsia" w:ascii="仿宋" w:hAnsi="Calibri" w:eastAsia="仿宋" w:cs="仿宋"/>
          <w:kern w:val="2"/>
          <w:sz w:val="32"/>
          <w:szCs w:val="32"/>
          <w:lang w:val="en-US" w:eastAsia="zh-CN" w:bidi="ar-SA"/>
        </w:rPr>
        <w:t>3、预算编制的前瞻性不够,导致预算和实际支出存在调整。</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ind w:leftChars="0" w:firstLine="640" w:firstLineChars="200"/>
        <w:textAlignment w:val="auto"/>
        <w:rPr>
          <w:rFonts w:hint="eastAsia" w:ascii="黑体" w:hAnsi="宋体" w:eastAsia="黑体" w:cs="黑体"/>
          <w:kern w:val="0"/>
          <w:position w:val="3"/>
          <w:sz w:val="32"/>
          <w:szCs w:val="32"/>
        </w:rPr>
      </w:pPr>
      <w:r>
        <w:rPr>
          <w:rFonts w:hint="eastAsia" w:ascii="黑体" w:hAnsi="宋体" w:eastAsia="黑体" w:cs="黑体"/>
          <w:kern w:val="0"/>
          <w:position w:val="3"/>
          <w:sz w:val="32"/>
          <w:szCs w:val="32"/>
          <w:lang w:val="en-US" w:eastAsia="zh-CN" w:bidi="ar"/>
        </w:rPr>
        <w:t>六、改进建议</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ind w:leftChars="0" w:firstLine="640" w:firstLineChars="200"/>
        <w:textAlignment w:val="auto"/>
        <w:rPr>
          <w:rFonts w:hint="eastAsia" w:ascii="仿宋" w:hAnsi="Calibri" w:eastAsia="仿宋" w:cs="仿宋"/>
          <w:kern w:val="2"/>
          <w:sz w:val="32"/>
          <w:szCs w:val="32"/>
          <w:lang w:val="en-US" w:eastAsia="zh-CN" w:bidi="ar-SA"/>
        </w:rPr>
      </w:pPr>
      <w:r>
        <w:rPr>
          <w:rFonts w:hint="eastAsia" w:ascii="仿宋" w:eastAsia="仿宋" w:cs="仿宋"/>
          <w:kern w:val="2"/>
          <w:sz w:val="32"/>
          <w:szCs w:val="32"/>
          <w:lang w:val="en-US" w:eastAsia="zh-CN" w:bidi="ar-SA"/>
        </w:rPr>
        <w:t>1、</w:t>
      </w:r>
      <w:r>
        <w:rPr>
          <w:rFonts w:hint="eastAsia" w:ascii="仿宋" w:hAnsi="Calibri" w:eastAsia="仿宋" w:cs="仿宋"/>
          <w:kern w:val="2"/>
          <w:sz w:val="32"/>
          <w:szCs w:val="32"/>
          <w:lang w:val="en-US" w:eastAsia="zh-CN" w:bidi="ar-SA"/>
        </w:rPr>
        <w:t>建议加强对</w:t>
      </w:r>
      <w:r>
        <w:rPr>
          <w:rFonts w:hint="eastAsia" w:ascii="仿宋" w:hAnsi="仿宋" w:eastAsia="仿宋" w:cs="仿宋"/>
          <w:sz w:val="32"/>
          <w:szCs w:val="32"/>
        </w:rPr>
        <w:t>项目</w:t>
      </w:r>
      <w:r>
        <w:rPr>
          <w:rFonts w:hint="eastAsia" w:ascii="仿宋" w:hAnsi="Calibri" w:eastAsia="仿宋" w:cs="仿宋"/>
          <w:kern w:val="2"/>
          <w:sz w:val="32"/>
          <w:szCs w:val="32"/>
          <w:lang w:val="en-US" w:eastAsia="zh-CN" w:bidi="ar-SA"/>
        </w:rPr>
        <w:t>工作的培训和指导，进一步优化项目专项</w:t>
      </w:r>
      <w:r>
        <w:rPr>
          <w:rFonts w:hint="eastAsia" w:ascii="仿宋" w:hAnsi="仿宋" w:eastAsia="仿宋" w:cs="仿宋"/>
          <w:sz w:val="32"/>
          <w:szCs w:val="32"/>
        </w:rPr>
        <w:t>预算项目支出绩效</w:t>
      </w:r>
      <w:r>
        <w:rPr>
          <w:rFonts w:hint="eastAsia" w:ascii="仿宋" w:hAnsi="仿宋" w:eastAsia="仿宋" w:cs="仿宋"/>
          <w:sz w:val="32"/>
          <w:szCs w:val="32"/>
          <w:lang w:val="en-US" w:eastAsia="zh-CN"/>
        </w:rPr>
        <w:t>，</w:t>
      </w:r>
      <w:r>
        <w:rPr>
          <w:rFonts w:hint="eastAsia" w:ascii="仿宋" w:hAnsi="Calibri" w:eastAsia="仿宋" w:cs="仿宋"/>
          <w:kern w:val="2"/>
          <w:sz w:val="32"/>
          <w:szCs w:val="32"/>
          <w:lang w:val="en-US" w:eastAsia="zh-CN" w:bidi="ar-SA"/>
        </w:rPr>
        <w:t>做到合理性与可操作性的有机统一。</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ind w:leftChars="0" w:firstLine="640" w:firstLineChars="200"/>
        <w:textAlignment w:val="auto"/>
        <w:rPr>
          <w:rFonts w:hint="default" w:ascii="Times New Roman" w:hAnsi="Times New Roman" w:eastAsia="仿宋_GB2312" w:cs="仿宋_GB2312"/>
          <w:color w:val="000000"/>
          <w:kern w:val="0"/>
          <w:sz w:val="32"/>
          <w:szCs w:val="32"/>
          <w:shd w:val="clear" w:fill="FFFFFF"/>
        </w:rPr>
      </w:pPr>
      <w:r>
        <w:rPr>
          <w:rFonts w:hint="eastAsia" w:ascii="仿宋" w:hAnsi="Calibri" w:eastAsia="仿宋" w:cs="仿宋"/>
          <w:kern w:val="2"/>
          <w:sz w:val="32"/>
          <w:szCs w:val="32"/>
          <w:lang w:val="en-US" w:eastAsia="zh-CN" w:bidi="ar-SA"/>
        </w:rPr>
        <w:t>2、细化预算编制工作，加强单位内部机构的预算管理意识，科学规划，提高财政资金使用效率，减少预算资金的调整、结转和结余的情形</w:t>
      </w:r>
      <w:r>
        <w:rPr>
          <w:rFonts w:hint="eastAsia" w:ascii="仿宋" w:eastAsia="仿宋" w:cs="仿宋"/>
          <w:kern w:val="2"/>
          <w:sz w:val="32"/>
          <w:szCs w:val="32"/>
          <w:lang w:val="en-US" w:eastAsia="zh-CN" w:bidi="ar-SA"/>
        </w:rPr>
        <w:t>。</w:t>
      </w:r>
      <w:r>
        <w:rPr>
          <w:rFonts w:hint="default" w:ascii="Times New Roman" w:hAnsi="Times New Roman" w:eastAsia="仿宋_GB2312" w:cs="仿宋_GB2312"/>
          <w:color w:val="000000"/>
          <w:kern w:val="0"/>
          <w:sz w:val="32"/>
          <w:szCs w:val="32"/>
          <w:shd w:val="clear" w:fill="FFFFFF"/>
          <w:lang w:val="en-US" w:eastAsia="zh-CN" w:bidi="ar"/>
        </w:rPr>
        <w:t xml:space="preserve"> </w:t>
      </w: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hint="default" w:ascii="仿宋_GB2312" w:hAnsi="Times New Roman" w:eastAsia="仿宋_GB2312" w:cs="仿宋_GB2312"/>
          <w:color w:val="000000"/>
          <w:kern w:val="0"/>
          <w:sz w:val="32"/>
          <w:szCs w:val="32"/>
          <w:shd w:val="clear" w:fill="FFFFFF"/>
          <w:lang w:val="en-US" w:eastAsia="zh-CN" w:bidi="ar"/>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hint="default" w:ascii="仿宋_GB2312" w:hAnsi="Times New Roman" w:eastAsia="仿宋_GB2312" w:cs="仿宋_GB2312"/>
          <w:color w:val="000000"/>
          <w:kern w:val="0"/>
          <w:sz w:val="32"/>
          <w:szCs w:val="32"/>
          <w:shd w:val="clear" w:fill="FFFFFF"/>
          <w:lang w:val="en-US" w:eastAsia="zh-CN" w:bidi="ar"/>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hint="default" w:ascii="仿宋_GB2312" w:hAnsi="Times New Roman" w:eastAsia="仿宋_GB2312" w:cs="仿宋_GB2312"/>
          <w:color w:val="000000"/>
          <w:kern w:val="0"/>
          <w:sz w:val="32"/>
          <w:szCs w:val="32"/>
          <w:shd w:val="clear" w:fill="FFFFFF"/>
          <w:lang w:val="en-US" w:eastAsia="zh-CN" w:bidi="ar"/>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hint="default" w:ascii="仿宋_GB2312" w:hAnsi="Times New Roman" w:eastAsia="仿宋_GB2312" w:cs="仿宋_GB2312"/>
          <w:color w:val="000000"/>
          <w:kern w:val="0"/>
          <w:sz w:val="32"/>
          <w:szCs w:val="32"/>
          <w:shd w:val="clear" w:fill="FFFFFF"/>
          <w:lang w:val="en-US" w:eastAsia="zh-CN" w:bidi="ar"/>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hint="default" w:ascii="仿宋_GB2312" w:hAnsi="Times New Roman" w:eastAsia="仿宋_GB2312" w:cs="仿宋_GB2312"/>
          <w:color w:val="000000"/>
          <w:kern w:val="0"/>
          <w:sz w:val="32"/>
          <w:szCs w:val="32"/>
          <w:shd w:val="clear" w:fill="FFFFFF"/>
          <w:lang w:val="en-US" w:eastAsia="zh-CN" w:bidi="ar"/>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hint="default" w:ascii="仿宋_GB2312" w:hAnsi="Times New Roman" w:eastAsia="仿宋_GB2312" w:cs="仿宋_GB2312"/>
          <w:color w:val="000000"/>
          <w:kern w:val="0"/>
          <w:sz w:val="32"/>
          <w:szCs w:val="32"/>
          <w:shd w:val="clear" w:fill="FFFFFF"/>
          <w:lang w:val="en-US" w:eastAsia="zh-CN" w:bidi="ar"/>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hint="default" w:ascii="仿宋_GB2312" w:hAnsi="Times New Roman" w:eastAsia="仿宋_GB2312" w:cs="仿宋_GB2312"/>
          <w:color w:val="000000"/>
          <w:kern w:val="0"/>
          <w:sz w:val="32"/>
          <w:szCs w:val="32"/>
          <w:shd w:val="clear" w:fill="FFFFFF"/>
          <w:lang w:val="en-US" w:eastAsia="zh-CN" w:bidi="ar"/>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hint="default" w:ascii="仿宋_GB2312" w:hAnsi="Times New Roman" w:eastAsia="仿宋_GB2312" w:cs="仿宋_GB2312"/>
          <w:color w:val="000000"/>
          <w:kern w:val="0"/>
          <w:sz w:val="32"/>
          <w:szCs w:val="32"/>
          <w:shd w:val="clear" w:fill="FFFFFF"/>
          <w:lang w:val="en-US" w:eastAsia="zh-CN" w:bidi="ar"/>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hint="default" w:ascii="Times New Roman" w:hAnsi="Times New Roman" w:eastAsia="仿宋_GB2312" w:cs="仿宋_GB2312"/>
          <w:color w:val="000000"/>
          <w:kern w:val="0"/>
          <w:sz w:val="32"/>
          <w:szCs w:val="32"/>
          <w:shd w:val="clear" w:fill="FFFFFF"/>
        </w:rPr>
      </w:pPr>
      <w:r>
        <w:rPr>
          <w:rFonts w:hint="default" w:ascii="仿宋_GB2312" w:hAnsi="Times New Roman" w:eastAsia="仿宋_GB2312" w:cs="仿宋_GB2312"/>
          <w:color w:val="000000"/>
          <w:kern w:val="0"/>
          <w:sz w:val="32"/>
          <w:szCs w:val="32"/>
          <w:shd w:val="clear" w:fill="FFFFFF"/>
          <w:lang w:val="en-US" w:eastAsia="zh-CN" w:bidi="ar"/>
        </w:rPr>
        <w:t>附表：</w:t>
      </w:r>
      <w:r>
        <w:rPr>
          <w:rFonts w:hint="default" w:ascii="Times New Roman" w:hAnsi="Times New Roman" w:eastAsia="仿宋_GB2312" w:cs="仿宋_GB2312"/>
          <w:color w:val="000000"/>
          <w:kern w:val="0"/>
          <w:sz w:val="32"/>
          <w:szCs w:val="32"/>
          <w:shd w:val="clear" w:fill="FFFFFF"/>
          <w:lang w:val="en-US" w:eastAsia="zh-CN" w:bidi="ar"/>
        </w:rPr>
        <w:t>1.</w:t>
      </w:r>
      <w:r>
        <w:rPr>
          <w:rFonts w:hint="default" w:ascii="仿宋_GB2312" w:hAnsi="Times New Roman" w:eastAsia="仿宋_GB2312" w:cs="仿宋_GB2312"/>
          <w:color w:val="000000"/>
          <w:kern w:val="0"/>
          <w:sz w:val="32"/>
          <w:szCs w:val="32"/>
          <w:shd w:val="clear" w:fill="FFFFFF"/>
          <w:lang w:val="en-US" w:eastAsia="zh-CN" w:bidi="ar"/>
        </w:rPr>
        <w:t>项目资金分配涉及所有点位自评得分情况表</w:t>
      </w:r>
    </w:p>
    <w:p>
      <w:pPr>
        <w:keepNext w:val="0"/>
        <w:keepLines w:val="0"/>
        <w:widowControl w:val="0"/>
        <w:suppressLineNumbers w:val="0"/>
        <w:snapToGrid w:val="0"/>
        <w:spacing w:before="0" w:beforeAutospacing="0" w:after="0" w:afterAutospacing="0" w:line="578" w:lineRule="exact"/>
        <w:ind w:left="0" w:right="0" w:firstLine="1600" w:firstLineChars="500"/>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仿宋_GB2312"/>
          <w:color w:val="000000"/>
          <w:kern w:val="0"/>
          <w:sz w:val="32"/>
          <w:szCs w:val="32"/>
          <w:shd w:val="clear" w:fill="FFFFFF"/>
          <w:lang w:val="en-US" w:eastAsia="zh-CN" w:bidi="ar"/>
        </w:rPr>
        <w:t>2.</w:t>
      </w:r>
      <w:r>
        <w:rPr>
          <w:rFonts w:hint="default" w:ascii="仿宋_GB2312" w:hAnsi="Times New Roman" w:eastAsia="仿宋_GB2312" w:cs="仿宋_GB2312"/>
          <w:color w:val="000000"/>
          <w:kern w:val="0"/>
          <w:sz w:val="32"/>
          <w:szCs w:val="32"/>
          <w:shd w:val="clear" w:fill="FFFFFF"/>
          <w:lang w:val="en-US" w:eastAsia="zh-CN" w:bidi="ar"/>
        </w:rPr>
        <w:t>专项预算项目绩效目标完成情况自评表</w:t>
      </w: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outlineLvl w:val="9"/>
        <w:rPr>
          <w:rFonts w:hint="eastAsia" w:ascii="仿宋_GB2312" w:hAnsi="仿宋_GB2312" w:eastAsia="仿宋_GB2312" w:cs="仿宋_GB2312"/>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outlineLvl w:val="9"/>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 xml:space="preserve"> 黑水县龙坝乡人民政府</w:t>
      </w:r>
    </w:p>
    <w:p>
      <w:pPr>
        <w:pStyle w:val="11"/>
        <w:jc w:val="right"/>
        <w:rPr>
          <w:rFonts w:hint="eastAsia" w:ascii="仿宋_GB2312" w:hAnsi="仿宋_GB2312" w:eastAsia="仿宋_GB2312" w:cs="仿宋_GB2312"/>
          <w:bCs/>
          <w:sz w:val="32"/>
          <w:szCs w:val="32"/>
          <w:lang w:val="en-US" w:eastAsia="zh-CN"/>
        </w:rPr>
      </w:pPr>
      <w:r>
        <w:rPr>
          <w:rFonts w:hint="eastAsia" w:ascii="方正小标宋简体" w:hAnsi="方正小标宋简体" w:eastAsia="方正小标宋简体" w:cs="方正小标宋简体"/>
          <w:bCs/>
          <w:sz w:val="44"/>
          <w:szCs w:val="44"/>
          <w:lang w:val="en-US" w:eastAsia="zh-CN"/>
        </w:rPr>
        <w:t xml:space="preserve">                        </w:t>
      </w:r>
      <w:r>
        <w:rPr>
          <w:rFonts w:hint="eastAsia" w:ascii="仿宋_GB2312" w:hAnsi="仿宋_GB2312" w:eastAsia="仿宋_GB2312" w:cs="仿宋_GB2312"/>
          <w:bCs/>
          <w:sz w:val="32"/>
          <w:szCs w:val="32"/>
          <w:lang w:val="en-US" w:eastAsia="zh-CN"/>
        </w:rPr>
        <w:t>202</w:t>
      </w:r>
      <w:r>
        <w:rPr>
          <w:rFonts w:hint="eastAsia" w:ascii="仿宋_GB2312" w:hAnsi="仿宋_GB2312" w:cs="仿宋_GB2312"/>
          <w:bCs/>
          <w:sz w:val="32"/>
          <w:szCs w:val="32"/>
          <w:lang w:val="en-US" w:eastAsia="zh-CN"/>
        </w:rPr>
        <w:t>4</w:t>
      </w:r>
      <w:r>
        <w:rPr>
          <w:rFonts w:hint="eastAsia" w:ascii="仿宋_GB2312" w:hAnsi="仿宋_GB2312" w:eastAsia="仿宋_GB2312" w:cs="仿宋_GB2312"/>
          <w:bCs/>
          <w:sz w:val="32"/>
          <w:szCs w:val="32"/>
          <w:lang w:val="en-US" w:eastAsia="zh-CN"/>
        </w:rPr>
        <w:t>年</w:t>
      </w:r>
      <w:r>
        <w:rPr>
          <w:rFonts w:hint="eastAsia" w:ascii="仿宋_GB2312" w:hAnsi="仿宋_GB2312" w:cs="仿宋_GB2312"/>
          <w:bCs/>
          <w:sz w:val="32"/>
          <w:szCs w:val="32"/>
          <w:lang w:val="en-US" w:eastAsia="zh-CN"/>
        </w:rPr>
        <w:t xml:space="preserve"> 9</w:t>
      </w:r>
      <w:r>
        <w:rPr>
          <w:rFonts w:hint="eastAsia" w:ascii="仿宋_GB2312" w:hAnsi="仿宋_GB2312" w:eastAsia="仿宋_GB2312" w:cs="仿宋_GB2312"/>
          <w:bCs/>
          <w:sz w:val="32"/>
          <w:szCs w:val="32"/>
          <w:lang w:val="en-US" w:eastAsia="zh-CN"/>
        </w:rPr>
        <w:t>月</w:t>
      </w:r>
      <w:r>
        <w:rPr>
          <w:rFonts w:hint="eastAsia" w:ascii="仿宋_GB2312" w:hAnsi="仿宋_GB2312" w:cs="仿宋_GB2312"/>
          <w:bCs/>
          <w:sz w:val="32"/>
          <w:szCs w:val="32"/>
          <w:lang w:val="en-US" w:eastAsia="zh-CN"/>
        </w:rPr>
        <w:t xml:space="preserve"> 26</w:t>
      </w:r>
      <w:r>
        <w:rPr>
          <w:rFonts w:hint="eastAsia" w:ascii="仿宋_GB2312" w:hAnsi="仿宋_GB2312" w:eastAsia="仿宋_GB2312" w:cs="仿宋_GB2312"/>
          <w:bCs/>
          <w:sz w:val="32"/>
          <w:szCs w:val="32"/>
          <w:lang w:val="en-US" w:eastAsia="zh-CN"/>
        </w:rPr>
        <w:t>日</w:t>
      </w:r>
    </w:p>
    <w:p>
      <w:pPr>
        <w:pStyle w:val="8"/>
        <w:ind w:left="0" w:leftChars="0" w:firstLine="0" w:firstLineChars="0"/>
        <w:rPr>
          <w:rFonts w:hint="eastAsia" w:ascii="黑体" w:hAnsi="黑体" w:eastAsia="黑体" w:cs="黑体"/>
          <w:kern w:val="2"/>
          <w:sz w:val="32"/>
          <w:szCs w:val="32"/>
          <w:lang w:val="en-US" w:eastAsia="zh-CN" w:bidi="ar-SA"/>
        </w:rPr>
      </w:pPr>
    </w:p>
    <w:p>
      <w:pPr>
        <w:pStyle w:val="8"/>
        <w:ind w:left="0" w:leftChars="0" w:firstLine="0" w:firstLineChars="0"/>
        <w:rPr>
          <w:rFonts w:hint="eastAsia" w:ascii="黑体" w:hAnsi="黑体" w:eastAsia="黑体" w:cs="黑体"/>
          <w:kern w:val="2"/>
          <w:sz w:val="32"/>
          <w:szCs w:val="32"/>
          <w:lang w:val="en-US" w:eastAsia="zh-CN" w:bidi="ar-SA"/>
        </w:rPr>
      </w:pPr>
    </w:p>
    <w:p>
      <w:pPr>
        <w:keepNext w:val="0"/>
        <w:keepLines w:val="0"/>
        <w:widowControl w:val="0"/>
        <w:suppressLineNumbers w:val="0"/>
        <w:snapToGrid w:val="0"/>
        <w:spacing w:before="0" w:beforeAutospacing="0" w:after="0" w:afterAutospacing="0" w:line="578" w:lineRule="exact"/>
        <w:ind w:left="0" w:right="0"/>
        <w:jc w:val="both"/>
        <w:rPr>
          <w:rFonts w:hint="eastAsia" w:ascii="黑体" w:hAnsi="宋体" w:eastAsia="黑体" w:cs="黑体"/>
          <w:kern w:val="0"/>
          <w:sz w:val="32"/>
          <w:szCs w:val="32"/>
          <w:shd w:val="clear" w:fill="FFFFFF"/>
        </w:rPr>
      </w:pPr>
      <w:r>
        <w:rPr>
          <w:rFonts w:hint="default" w:ascii="Times New Roman" w:hAnsi="Times New Roman" w:eastAsia="仿宋_GB2312" w:cs="仿宋_GB2312"/>
          <w:color w:val="000000"/>
          <w:kern w:val="0"/>
          <w:sz w:val="32"/>
          <w:szCs w:val="32"/>
          <w:shd w:val="clear" w:fill="FFFFFF"/>
          <w:lang w:val="en-US" w:eastAsia="zh-CN" w:bidi="ar"/>
        </w:rPr>
        <w:br w:type="page"/>
      </w:r>
      <w:r>
        <w:rPr>
          <w:rFonts w:hint="default" w:ascii="仿宋_GB2312" w:hAnsi="Times New Roman" w:eastAsia="仿宋_GB2312" w:cs="仿宋_GB2312"/>
          <w:kern w:val="0"/>
          <w:sz w:val="32"/>
          <w:szCs w:val="32"/>
          <w:lang w:val="en-US" w:eastAsia="zh-CN" w:bidi="ar"/>
        </w:rPr>
        <w:t>附表1</w:t>
      </w:r>
    </w:p>
    <w:p>
      <w:pPr>
        <w:keepNext w:val="0"/>
        <w:keepLines w:val="0"/>
        <w:widowControl w:val="0"/>
        <w:suppressLineNumbers w:val="0"/>
        <w:spacing w:before="0" w:beforeAutospacing="0" w:after="0" w:afterAutospacing="0" w:line="578" w:lineRule="exact"/>
        <w:ind w:left="0" w:right="0"/>
        <w:jc w:val="center"/>
        <w:rPr>
          <w:rFonts w:hint="default" w:ascii="方正小标宋_GBK" w:hAnsi="方正小标宋_GBK" w:eastAsia="方正小标宋_GBK" w:cs="方正小标宋_GBK"/>
          <w:kern w:val="2"/>
          <w:sz w:val="40"/>
          <w:szCs w:val="40"/>
        </w:rPr>
      </w:pPr>
      <w:r>
        <w:rPr>
          <w:rFonts w:hint="default" w:ascii="方正小标宋_GBK" w:hAnsi="方正小标宋_GBK" w:eastAsia="方正小标宋_GBK" w:cs="方正小标宋_GBK"/>
          <w:kern w:val="2"/>
          <w:sz w:val="40"/>
          <w:szCs w:val="40"/>
          <w:lang w:val="en-US" w:eastAsia="zh-CN" w:bidi="ar"/>
        </w:rPr>
        <w:t xml:space="preserve"> </w:t>
      </w:r>
    </w:p>
    <w:p>
      <w:pPr>
        <w:keepNext w:val="0"/>
        <w:keepLines w:val="0"/>
        <w:widowControl w:val="0"/>
        <w:suppressLineNumbers w:val="0"/>
        <w:spacing w:before="0" w:beforeAutospacing="0" w:after="0" w:afterAutospacing="0" w:line="578" w:lineRule="exact"/>
        <w:ind w:left="0" w:right="0"/>
        <w:jc w:val="center"/>
        <w:rPr>
          <w:rFonts w:hint="default" w:ascii="方正小标宋_GBK" w:hAnsi="方正小标宋_GBK" w:eastAsia="方正小标宋_GBK" w:cs="方正小标宋_GBK"/>
          <w:kern w:val="2"/>
          <w:sz w:val="40"/>
          <w:szCs w:val="40"/>
        </w:rPr>
      </w:pPr>
      <w:r>
        <w:rPr>
          <w:rFonts w:hint="default" w:ascii="方正小标宋_GBK" w:hAnsi="方正小标宋_GBK" w:eastAsia="方正小标宋_GBK" w:cs="方正小标宋_GBK"/>
          <w:kern w:val="2"/>
          <w:sz w:val="40"/>
          <w:szCs w:val="40"/>
          <w:lang w:val="en-US" w:eastAsia="zh-CN" w:bidi="ar"/>
        </w:rPr>
        <w:t>项目资金分配涉及所有点位自评得分情况表</w:t>
      </w:r>
    </w:p>
    <w:tbl>
      <w:tblPr>
        <w:tblStyle w:val="9"/>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1123"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300" w:lineRule="exact"/>
              <w:ind w:left="0" w:right="0"/>
              <w:jc w:val="center"/>
              <w:rPr>
                <w:rFonts w:hint="eastAsia" w:ascii="黑体" w:hAnsi="宋体" w:eastAsia="黑体" w:cs="黑体"/>
                <w:kern w:val="2"/>
                <w:sz w:val="24"/>
                <w:szCs w:val="24"/>
              </w:rPr>
            </w:pPr>
            <w:r>
              <w:rPr>
                <w:rFonts w:hint="eastAsia" w:ascii="黑体" w:hAnsi="宋体" w:eastAsia="黑体" w:cs="黑体"/>
                <w:kern w:val="2"/>
                <w:sz w:val="24"/>
                <w:szCs w:val="24"/>
                <w:lang w:val="en-US" w:eastAsia="zh-CN" w:bidi="ar"/>
              </w:rPr>
              <w:t>序号</w:t>
            </w:r>
          </w:p>
        </w:tc>
        <w:tc>
          <w:tcPr>
            <w:tcW w:w="3843"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300" w:lineRule="exact"/>
              <w:ind w:left="0" w:right="0"/>
              <w:jc w:val="center"/>
              <w:rPr>
                <w:rFonts w:hint="eastAsia" w:ascii="黑体" w:hAnsi="宋体" w:eastAsia="黑体" w:cs="黑体"/>
                <w:kern w:val="2"/>
                <w:sz w:val="24"/>
                <w:szCs w:val="24"/>
              </w:rPr>
            </w:pPr>
            <w:r>
              <w:rPr>
                <w:rFonts w:hint="eastAsia" w:ascii="黑体" w:hAnsi="宋体" w:eastAsia="黑体" w:cs="黑体"/>
                <w:kern w:val="2"/>
                <w:sz w:val="24"/>
                <w:szCs w:val="24"/>
                <w:lang w:val="en-US" w:eastAsia="zh-CN" w:bidi="ar"/>
              </w:rPr>
              <w:t>项目资金末端分配点位</w:t>
            </w:r>
          </w:p>
        </w:tc>
        <w:tc>
          <w:tcPr>
            <w:tcW w:w="2861"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300" w:lineRule="exact"/>
              <w:ind w:left="0" w:right="0"/>
              <w:jc w:val="center"/>
              <w:rPr>
                <w:rFonts w:hint="eastAsia" w:ascii="黑体" w:hAnsi="宋体" w:eastAsia="黑体" w:cs="黑体"/>
                <w:kern w:val="2"/>
                <w:sz w:val="24"/>
                <w:szCs w:val="24"/>
              </w:rPr>
            </w:pPr>
            <w:r>
              <w:rPr>
                <w:rFonts w:hint="eastAsia" w:ascii="黑体" w:hAnsi="宋体" w:eastAsia="黑体" w:cs="黑体"/>
                <w:kern w:val="2"/>
                <w:sz w:val="24"/>
                <w:szCs w:val="24"/>
                <w:lang w:val="en-US" w:eastAsia="zh-CN" w:bidi="ar"/>
              </w:rPr>
              <w:t>自评得分（百分制）</w:t>
            </w:r>
          </w:p>
        </w:tc>
        <w:tc>
          <w:tcPr>
            <w:tcW w:w="993"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300" w:lineRule="exact"/>
              <w:ind w:left="0" w:right="0"/>
              <w:jc w:val="center"/>
              <w:rPr>
                <w:rFonts w:hint="eastAsia" w:ascii="黑体" w:hAnsi="宋体" w:eastAsia="黑体" w:cs="黑体"/>
                <w:kern w:val="2"/>
                <w:sz w:val="24"/>
                <w:szCs w:val="24"/>
              </w:rPr>
            </w:pPr>
            <w:r>
              <w:rPr>
                <w:rFonts w:hint="eastAsia" w:ascii="黑体" w:hAnsi="宋体" w:eastAsia="黑体" w:cs="黑体"/>
                <w:kern w:val="2"/>
                <w:sz w:val="24"/>
                <w:szCs w:val="24"/>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1123"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300" w:lineRule="exact"/>
              <w:ind w:left="0" w:right="0"/>
              <w:jc w:val="center"/>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w:t>
            </w:r>
          </w:p>
        </w:tc>
        <w:tc>
          <w:tcPr>
            <w:tcW w:w="3843"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300" w:lineRule="exact"/>
              <w:ind w:left="0" w:right="0"/>
              <w:jc w:val="both"/>
              <w:rPr>
                <w:rFonts w:hint="default" w:ascii="宋体" w:hAnsi="宋体" w:eastAsia="仿宋_GB2312" w:cs="宋体"/>
                <w:kern w:val="2"/>
                <w:sz w:val="24"/>
                <w:szCs w:val="24"/>
                <w:lang w:val="en-US"/>
              </w:rPr>
            </w:pPr>
            <w:r>
              <w:rPr>
                <w:rFonts w:hint="eastAsia" w:ascii="宋体" w:hAnsi="宋体" w:eastAsia="仿宋_GB2312" w:cs="宋体"/>
                <w:kern w:val="2"/>
                <w:sz w:val="24"/>
                <w:szCs w:val="24"/>
                <w:lang w:val="en-US" w:eastAsia="zh-CN" w:bidi="ar"/>
              </w:rPr>
              <w:t>龙坝乡人民政府</w:t>
            </w:r>
          </w:p>
        </w:tc>
        <w:tc>
          <w:tcPr>
            <w:tcW w:w="2861"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300" w:lineRule="exact"/>
              <w:ind w:left="0" w:right="0"/>
              <w:jc w:val="both"/>
              <w:rPr>
                <w:rFonts w:hint="eastAsia" w:ascii="宋体" w:hAnsi="宋体" w:eastAsia="仿宋_GB2312" w:cs="宋体"/>
                <w:kern w:val="2"/>
                <w:sz w:val="24"/>
                <w:szCs w:val="24"/>
              </w:rPr>
            </w:pPr>
            <w:r>
              <w:rPr>
                <w:rFonts w:hint="default" w:ascii="宋体" w:hAnsi="宋体" w:eastAsia="仿宋_GB2312" w:cs="宋体"/>
                <w:kern w:val="2"/>
                <w:sz w:val="24"/>
                <w:szCs w:val="24"/>
                <w:lang w:val="en-US" w:eastAsia="zh-CN" w:bidi="ar"/>
              </w:rPr>
              <w:t>9</w:t>
            </w:r>
            <w:r>
              <w:rPr>
                <w:rFonts w:hint="eastAsia" w:ascii="宋体" w:hAnsi="宋体" w:eastAsia="仿宋_GB2312" w:cs="宋体"/>
                <w:kern w:val="2"/>
                <w:sz w:val="24"/>
                <w:szCs w:val="24"/>
                <w:lang w:val="en-US" w:eastAsia="zh-CN" w:bidi="ar"/>
              </w:rPr>
              <w:t>9</w:t>
            </w:r>
          </w:p>
        </w:tc>
        <w:tc>
          <w:tcPr>
            <w:tcW w:w="993"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300" w:lineRule="exact"/>
              <w:ind w:left="0" w:right="0"/>
              <w:jc w:val="both"/>
              <w:rPr>
                <w:rFonts w:hint="default" w:ascii="宋体" w:hAnsi="宋体" w:eastAsia="仿宋_GB2312" w:cs="宋体"/>
                <w:kern w:val="2"/>
                <w:sz w:val="24"/>
                <w:szCs w:val="24"/>
              </w:rPr>
            </w:pPr>
          </w:p>
        </w:tc>
      </w:tr>
    </w:tbl>
    <w:p>
      <w:pPr>
        <w:keepNext w:val="0"/>
        <w:keepLines w:val="0"/>
        <w:widowControl w:val="0"/>
        <w:suppressLineNumbers w:val="0"/>
        <w:spacing w:before="0" w:beforeAutospacing="0" w:after="0" w:afterAutospacing="0" w:line="400" w:lineRule="exact"/>
        <w:ind w:left="0" w:right="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备注：1.项目资金末端分配点位包括市（州）本级、县（市、区）、省级部门下属单位及一次性单位等。</w:t>
      </w:r>
    </w:p>
    <w:p>
      <w:pPr>
        <w:keepNext w:val="0"/>
        <w:keepLines w:val="0"/>
        <w:widowControl w:val="0"/>
        <w:suppressLineNumbers w:val="0"/>
        <w:spacing w:before="0" w:beforeAutospacing="0" w:after="0" w:afterAutospacing="0" w:line="400" w:lineRule="exact"/>
        <w:ind w:left="0" w:right="0" w:firstLine="630" w:firstLineChars="30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2.自评得分（百分制）从高到低划分为优、良、中、差四个档次，各个档次数量占比分别为20%、20%、55%、5%，且不同档次间得分分值应体现差异化，同档次得分分值相同的比例不超过该档次总数量的10%。</w:t>
      </w:r>
    </w:p>
    <w:p>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0"/>
          <w:sz w:val="32"/>
          <w:szCs w:val="32"/>
        </w:rPr>
      </w:pPr>
      <w:r>
        <w:rPr>
          <w:rFonts w:hint="default" w:ascii="Times New Roman" w:hAnsi="Times New Roman" w:eastAsia="仿宋_GB2312" w:cs="仿宋_GB2312"/>
          <w:kern w:val="2"/>
          <w:sz w:val="32"/>
          <w:szCs w:val="32"/>
          <w:lang w:val="en-US" w:eastAsia="zh-CN" w:bidi="ar"/>
        </w:rPr>
        <w:br w:type="page"/>
      </w:r>
      <w:r>
        <w:rPr>
          <w:rFonts w:hint="default" w:ascii="仿宋_GB2312" w:hAnsi="Times New Roman" w:eastAsia="仿宋_GB2312" w:cs="仿宋_GB2312"/>
          <w:kern w:val="0"/>
          <w:sz w:val="32"/>
          <w:szCs w:val="32"/>
          <w:lang w:val="en-US" w:eastAsia="zh-CN" w:bidi="ar"/>
        </w:rPr>
        <w:t>附表2</w:t>
      </w:r>
    </w:p>
    <w:tbl>
      <w:tblPr>
        <w:tblStyle w:val="9"/>
        <w:tblW w:w="10233" w:type="dxa"/>
        <w:jc w:val="center"/>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CellMar>
            <w:top w:w="15" w:type="dxa"/>
            <w:left w:w="15" w:type="dxa"/>
            <w:bottom w:w="15" w:type="dxa"/>
            <w:right w:w="15" w:type="dxa"/>
          </w:tblCellMar>
        </w:tblPrEx>
        <w:trPr>
          <w:trHeight w:val="576" w:hRule="atLeast"/>
          <w:jc w:val="center"/>
        </w:trPr>
        <w:tc>
          <w:tcPr>
            <w:tcW w:w="10233" w:type="dxa"/>
            <w:gridSpan w:val="9"/>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line="600" w:lineRule="exact"/>
              <w:ind w:left="0" w:right="0"/>
              <w:jc w:val="center"/>
              <w:textAlignment w:val="center"/>
              <w:rPr>
                <w:rFonts w:hint="eastAsia" w:ascii="黑体" w:hAnsi="宋体" w:eastAsia="黑体" w:cs="黑体"/>
                <w:color w:val="000000"/>
                <w:kern w:val="2"/>
                <w:sz w:val="30"/>
                <w:szCs w:val="30"/>
              </w:rPr>
            </w:pPr>
            <w:r>
              <w:rPr>
                <w:rFonts w:hint="default" w:ascii="方正小标宋简体" w:hAnsi="方正小标宋简体" w:eastAsia="方正小标宋简体" w:cs="方正小标宋简体"/>
                <w:color w:val="000000"/>
                <w:kern w:val="0"/>
                <w:sz w:val="40"/>
                <w:szCs w:val="40"/>
                <w:lang w:val="en-US" w:eastAsia="zh-CN" w:bidi="ar"/>
              </w:rPr>
              <w:t>专项预算项目绩效目标完成情况自评表</w:t>
            </w:r>
          </w:p>
        </w:tc>
      </w:tr>
      <w:tr>
        <w:tblPrEx>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项目名称</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default" w:ascii="宋体" w:hAnsi="宋体" w:eastAsia="宋体" w:cs="宋体"/>
                <w:color w:val="000000"/>
                <w:kern w:val="0"/>
                <w:sz w:val="24"/>
                <w:szCs w:val="24"/>
                <w:lang w:val="en-US"/>
              </w:rPr>
            </w:pPr>
            <w:r>
              <w:rPr>
                <w:rFonts w:hint="eastAsia" w:ascii="宋体" w:hAnsi="宋体" w:eastAsia="宋体" w:cs="宋体"/>
                <w:color w:val="000000"/>
                <w:kern w:val="0"/>
                <w:sz w:val="24"/>
                <w:szCs w:val="24"/>
                <w:lang w:val="en-US" w:eastAsia="zh-CN" w:bidi="ar"/>
              </w:rPr>
              <w:t>龙坝乡</w:t>
            </w:r>
            <w:r>
              <w:rPr>
                <w:rFonts w:hint="eastAsia" w:ascii="宋体" w:hAnsi="宋体" w:cs="宋体"/>
                <w:color w:val="000000"/>
                <w:kern w:val="0"/>
                <w:sz w:val="24"/>
                <w:szCs w:val="24"/>
                <w:lang w:val="en-US" w:eastAsia="zh-CN" w:bidi="ar"/>
              </w:rPr>
              <w:t>村级公共运行维护</w:t>
            </w:r>
            <w:r>
              <w:rPr>
                <w:rFonts w:hint="eastAsia" w:ascii="宋体" w:hAnsi="宋体" w:eastAsia="宋体" w:cs="宋体"/>
                <w:color w:val="000000"/>
                <w:kern w:val="0"/>
                <w:sz w:val="24"/>
                <w:szCs w:val="24"/>
                <w:lang w:val="en-US" w:eastAsia="zh-CN" w:bidi="ar"/>
              </w:rPr>
              <w:t>经费</w:t>
            </w:r>
          </w:p>
        </w:tc>
      </w:tr>
      <w:tr>
        <w:tblPrEx>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预算单位</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黑水县龙坝乡</w:t>
            </w:r>
          </w:p>
        </w:tc>
      </w:tr>
      <w:tr>
        <w:tblPrEx>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项目类型</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default" w:ascii="Times New Roman" w:hAnsi="Times New Roman" w:eastAsia="仿宋_GB2312" w:cs="仿宋_GB2312"/>
                <w:kern w:val="2"/>
                <w:sz w:val="32"/>
                <w:szCs w:val="32"/>
              </w:rPr>
            </w:pPr>
            <w:r>
              <w:rPr>
                <w:rFonts w:hint="eastAsia" w:ascii="宋体" w:hAnsi="宋体" w:eastAsia="宋体" w:cs="宋体"/>
                <w:color w:val="000000"/>
                <w:kern w:val="0"/>
                <w:sz w:val="24"/>
                <w:szCs w:val="24"/>
                <w:lang w:val="en-US" w:eastAsia="zh-CN" w:bidi="ar"/>
              </w:rPr>
              <w:t>经常性项目</w:t>
            </w:r>
          </w:p>
        </w:tc>
      </w:tr>
      <w:tr>
        <w:tblPrEx>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项目 概况</w:t>
            </w:r>
          </w:p>
        </w:tc>
        <w:tc>
          <w:tcPr>
            <w:tcW w:w="3643"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中长期规划（名称、文号，仅指</w:t>
            </w:r>
          </w:p>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常年项目）</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line="300" w:lineRule="exact"/>
              <w:ind w:left="0" w:right="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无</w:t>
            </w:r>
          </w:p>
        </w:tc>
      </w:tr>
      <w:tr>
        <w:tblPrEx>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643"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资金管理办法（名称、文号）</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line="300" w:lineRule="exact"/>
              <w:ind w:left="0" w:right="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无</w:t>
            </w:r>
          </w:p>
        </w:tc>
      </w:tr>
      <w:tr>
        <w:tblPrEx>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643"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绩效分配方式</w:t>
            </w:r>
          </w:p>
        </w:tc>
        <w:tc>
          <w:tcPr>
            <w:tcW w:w="112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default" w:ascii="Wingdings 2" w:hAnsi="Wingdings 2" w:eastAsia="Wingdings 2" w:cs="Wingdings 2"/>
                <w:color w:val="000000"/>
                <w:kern w:val="2"/>
                <w:sz w:val="24"/>
                <w:szCs w:val="24"/>
              </w:rPr>
            </w:pPr>
            <w:r>
              <w:rPr>
                <w:rFonts w:hint="default" w:ascii="Wingdings 2" w:hAnsi="Wingdings 2" w:eastAsia="Wingdings 2" w:cs="Wingdings 2"/>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因素法</w:t>
            </w:r>
          </w:p>
        </w:tc>
        <w:tc>
          <w:tcPr>
            <w:tcW w:w="2032"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default" w:ascii="Wingdings 2" w:hAnsi="Wingdings 2" w:eastAsia="Wingdings 2" w:cs="Wingdings 2"/>
                <w:color w:val="000000"/>
                <w:kern w:val="2"/>
                <w:sz w:val="24"/>
                <w:szCs w:val="24"/>
              </w:rPr>
            </w:pPr>
            <w:r>
              <w:rPr>
                <w:rFonts w:hint="default" w:ascii="Wingdings 2" w:hAnsi="Wingdings 2" w:eastAsia="Wingdings 2" w:cs="Wingdings 2"/>
                <w:color w:val="000000"/>
                <w:kern w:val="0"/>
                <w:sz w:val="24"/>
                <w:szCs w:val="24"/>
                <w:lang w:val="en-US" w:eastAsia="zh-CN" w:bidi="ar"/>
              </w:rPr>
              <w:t>£项目法</w:t>
            </w:r>
          </w:p>
        </w:tc>
        <w:tc>
          <w:tcPr>
            <w:tcW w:w="93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default" w:ascii="Wingdings 2" w:hAnsi="Wingdings 2" w:eastAsia="Wingdings 2" w:cs="Wingdings 2"/>
                <w:color w:val="000000"/>
                <w:kern w:val="2"/>
                <w:sz w:val="24"/>
                <w:szCs w:val="24"/>
              </w:rPr>
            </w:pPr>
            <w:r>
              <w:rPr>
                <w:rFonts w:hint="default" w:ascii="Wingdings 2" w:hAnsi="Wingdings 2" w:eastAsia="Wingdings 2" w:cs="Wingdings 2"/>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据实据效</w:t>
            </w:r>
          </w:p>
        </w:tc>
        <w:tc>
          <w:tcPr>
            <w:tcW w:w="184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default" w:ascii="Wingdings 2" w:hAnsi="Wingdings 2" w:eastAsia="Wingdings 2" w:cs="Wingdings 2"/>
                <w:color w:val="000000"/>
                <w:kern w:val="2"/>
                <w:sz w:val="24"/>
                <w:szCs w:val="24"/>
              </w:rPr>
            </w:pPr>
            <w:r>
              <w:rPr>
                <w:rFonts w:hint="default" w:ascii="Arial" w:hAnsi="Arial" w:eastAsia="宋体" w:cs="Arial"/>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因素法与项目法相结合</w:t>
            </w:r>
          </w:p>
        </w:tc>
      </w:tr>
      <w:tr>
        <w:tblPrEx>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643"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立项依据</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基层组织活动和公共服务运行补助经费（以下简称基层活动和运行经费），从2016年起，将基层组织活动经费、农村公共运行维护经费和村办公经费加以统筹整合，是指省、州、县三级政府在本级财政年度预算中安排给基层组织，用于开展基层组织活动、党组织标准化规范化建设、农村公共服务运行维护和村级日常办公运转的一般性转移支付资金。</w:t>
            </w:r>
          </w:p>
        </w:tc>
      </w:tr>
      <w:tr>
        <w:tblPrEx>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643"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使用范围</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default" w:ascii="宋体" w:hAnsi="宋体" w:eastAsia="宋体" w:cs="宋体"/>
                <w:color w:val="000000"/>
                <w:kern w:val="0"/>
                <w:sz w:val="24"/>
                <w:szCs w:val="24"/>
                <w:lang w:val="en-US"/>
              </w:rPr>
            </w:pPr>
            <w:r>
              <w:rPr>
                <w:rFonts w:hint="eastAsia" w:ascii="宋体" w:hAnsi="宋体" w:eastAsia="宋体" w:cs="宋体"/>
                <w:color w:val="000000"/>
                <w:kern w:val="0"/>
                <w:sz w:val="24"/>
                <w:szCs w:val="24"/>
                <w:lang w:val="en-US" w:eastAsia="zh-CN" w:bidi="ar"/>
              </w:rPr>
              <w:t>该项目资金主要用于</w:t>
            </w:r>
            <w:r>
              <w:rPr>
                <w:rFonts w:hint="eastAsia" w:ascii="宋体" w:hAnsi="宋体" w:cs="宋体"/>
                <w:color w:val="000000"/>
                <w:kern w:val="0"/>
                <w:sz w:val="24"/>
                <w:szCs w:val="24"/>
                <w:lang w:val="en-US" w:eastAsia="zh-CN" w:bidi="ar"/>
              </w:rPr>
              <w:t>村办公经费、维修维护费等</w:t>
            </w:r>
          </w:p>
        </w:tc>
      </w:tr>
      <w:tr>
        <w:tblPrEx>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643"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申报（补助）条件</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line="300" w:lineRule="exact"/>
              <w:ind w:left="0" w:right="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无。</w:t>
            </w:r>
          </w:p>
        </w:tc>
      </w:tr>
      <w:tr>
        <w:tblPrEx>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643"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项目起止年限</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0"/>
                <w:sz w:val="24"/>
                <w:szCs w:val="24"/>
              </w:rPr>
            </w:pPr>
            <w:r>
              <w:rPr>
                <w:rFonts w:hint="eastAsia" w:ascii="Times New Roman" w:hAnsi="Times New Roman" w:eastAsia="宋体" w:cs="宋体"/>
                <w:color w:val="000000"/>
                <w:kern w:val="0"/>
                <w:sz w:val="24"/>
                <w:szCs w:val="24"/>
                <w:lang w:val="en-US" w:eastAsia="zh-CN" w:bidi="ar"/>
              </w:rPr>
              <w:t>2023</w:t>
            </w:r>
            <w:r>
              <w:rPr>
                <w:rFonts w:hint="eastAsia" w:ascii="宋体" w:hAnsi="宋体" w:eastAsia="宋体" w:cs="宋体"/>
                <w:color w:val="000000"/>
                <w:kern w:val="0"/>
                <w:sz w:val="24"/>
                <w:szCs w:val="24"/>
                <w:lang w:val="en-US" w:eastAsia="zh-CN" w:bidi="ar"/>
              </w:rPr>
              <w:t>年</w:t>
            </w:r>
            <w:r>
              <w:rPr>
                <w:rFonts w:hint="eastAsia" w:ascii="Times New Roman" w:hAnsi="Times New Roman" w:eastAsia="宋体" w:cs="宋体"/>
                <w:color w:val="000000"/>
                <w:kern w:val="0"/>
                <w:sz w:val="24"/>
                <w:szCs w:val="24"/>
                <w:lang w:val="en-US" w:eastAsia="zh-CN" w:bidi="ar"/>
              </w:rPr>
              <w:t>1月至</w:t>
            </w:r>
            <w:r>
              <w:rPr>
                <w:rFonts w:hint="default" w:ascii="Times New Roman" w:hAnsi="Times New Roman" w:eastAsia="宋体" w:cs="Times New Roman"/>
                <w:color w:val="000000"/>
                <w:kern w:val="0"/>
                <w:sz w:val="24"/>
                <w:szCs w:val="24"/>
                <w:lang w:val="en-US" w:eastAsia="zh-CN" w:bidi="ar"/>
              </w:rPr>
              <w:t>2023</w:t>
            </w:r>
            <w:r>
              <w:rPr>
                <w:rFonts w:hint="eastAsia" w:ascii="Times New Roman" w:hAnsi="Times New Roman" w:eastAsia="宋体" w:cs="宋体"/>
                <w:color w:val="000000"/>
                <w:kern w:val="0"/>
                <w:sz w:val="24"/>
                <w:szCs w:val="24"/>
                <w:lang w:val="en-US" w:eastAsia="zh-CN" w:bidi="ar"/>
              </w:rPr>
              <w:t>年</w:t>
            </w:r>
            <w:r>
              <w:rPr>
                <w:rFonts w:hint="default" w:ascii="Times New Roman" w:hAnsi="Times New Roman" w:eastAsia="宋体" w:cs="Times New Roman"/>
                <w:color w:val="000000"/>
                <w:kern w:val="0"/>
                <w:sz w:val="24"/>
                <w:szCs w:val="24"/>
                <w:lang w:val="en-US" w:eastAsia="zh-CN" w:bidi="ar"/>
              </w:rPr>
              <w:t>1</w:t>
            </w:r>
            <w:r>
              <w:rPr>
                <w:rFonts w:hint="eastAsia" w:ascii="Times New Roman" w:hAnsi="Times New Roman" w:eastAsia="宋体" w:cs="宋体"/>
                <w:color w:val="000000"/>
                <w:kern w:val="0"/>
                <w:sz w:val="24"/>
                <w:szCs w:val="24"/>
                <w:lang w:val="en-US" w:eastAsia="zh-CN" w:bidi="ar"/>
              </w:rPr>
              <w:t>2月</w:t>
            </w:r>
          </w:p>
        </w:tc>
      </w:tr>
      <w:tr>
        <w:tblPrEx>
          <w:shd w:val="clear" w:color="auto" w:fill="auto"/>
          <w:tblCellMar>
            <w:top w:w="15" w:type="dxa"/>
            <w:left w:w="15" w:type="dxa"/>
            <w:bottom w:w="15" w:type="dxa"/>
            <w:right w:w="15" w:type="dxa"/>
          </w:tblCellMar>
        </w:tblPrEx>
        <w:trPr>
          <w:trHeight w:val="23" w:hRule="atLeast"/>
          <w:jc w:val="center"/>
        </w:trPr>
        <w:tc>
          <w:tcPr>
            <w:tcW w:w="1733" w:type="dxa"/>
            <w:gridSpan w:val="2"/>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项目资金</w:t>
            </w:r>
          </w:p>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（万元）</w:t>
            </w:r>
          </w:p>
        </w:tc>
        <w:tc>
          <w:tcPr>
            <w:tcW w:w="2562"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 xml:space="preserve">  年度资金总额：</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default" w:ascii="Times New Roman" w:hAnsi="Times New Roman" w:eastAsia="宋体" w:cs="Times New Roman"/>
                <w:color w:val="000000"/>
                <w:kern w:val="0"/>
                <w:sz w:val="24"/>
                <w:szCs w:val="24"/>
                <w:lang w:val="en-US"/>
              </w:rPr>
            </w:pPr>
            <w:r>
              <w:rPr>
                <w:rFonts w:hint="eastAsia" w:ascii="Times New Roman" w:hAnsi="Times New Roman" w:cs="Times New Roman"/>
                <w:color w:val="000000"/>
                <w:kern w:val="0"/>
                <w:sz w:val="24"/>
                <w:szCs w:val="24"/>
                <w:lang w:val="en-US" w:eastAsia="zh-CN" w:bidi="ar"/>
              </w:rPr>
              <w:t>28</w:t>
            </w:r>
          </w:p>
        </w:tc>
      </w:tr>
      <w:tr>
        <w:tblPrEx>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2562"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 xml:space="preserve">      其中：财政拨款</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default" w:ascii="Times New Roman" w:hAnsi="Times New Roman" w:eastAsia="宋体" w:cs="Times New Roman"/>
                <w:color w:val="000000"/>
                <w:kern w:val="0"/>
                <w:sz w:val="24"/>
                <w:szCs w:val="24"/>
                <w:lang w:val="en-US"/>
              </w:rPr>
            </w:pPr>
            <w:r>
              <w:rPr>
                <w:rFonts w:hint="eastAsia" w:ascii="Times New Roman" w:hAnsi="Times New Roman" w:cs="Times New Roman"/>
                <w:color w:val="000000"/>
                <w:kern w:val="0"/>
                <w:sz w:val="24"/>
                <w:szCs w:val="24"/>
                <w:lang w:val="en-US" w:eastAsia="zh-CN" w:bidi="ar"/>
              </w:rPr>
              <w:t>28</w:t>
            </w:r>
          </w:p>
        </w:tc>
      </w:tr>
      <w:tr>
        <w:tblPrEx>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2562"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 xml:space="preserve">            其他资金</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lang w:val="en-US" w:eastAsia="zh-CN" w:bidi="ar"/>
              </w:rPr>
              <w:t>0</w:t>
            </w:r>
          </w:p>
        </w:tc>
      </w:tr>
      <w:tr>
        <w:tblPrEx>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总体 目标</w:t>
            </w:r>
          </w:p>
        </w:tc>
        <w:tc>
          <w:tcPr>
            <w:tcW w:w="9581" w:type="dxa"/>
            <w:gridSpan w:val="8"/>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年度目标</w:t>
            </w:r>
          </w:p>
        </w:tc>
      </w:tr>
      <w:tr>
        <w:tblPrEx>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9581" w:type="dxa"/>
            <w:gridSpan w:val="8"/>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基层组织活动和公共服务运行补助经费（以下简称基层活动和运行经费），从2016年起，将基层组织活动经费、农村公共运行维护经费和村办公经费加以统筹整合，是指省、州、县三级政府在本级财政年度预算中安排给基层组织，用于开展基层组织活动、党组织标准化规范化建设、农村公共服务运行维护和村级日常办公运转的一般性转移支付资金。</w:t>
            </w:r>
          </w:p>
        </w:tc>
      </w:tr>
      <w:tr>
        <w:tblPrEx>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nil"/>
              <w:left w:val="single" w:color="000000" w:sz="4" w:space="0"/>
              <w:bottom w:val="single" w:color="000000" w:sz="4" w:space="0"/>
              <w:right w:val="nil"/>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一级指标</w:t>
            </w:r>
          </w:p>
        </w:tc>
        <w:tc>
          <w:tcPr>
            <w:tcW w:w="125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二级指标</w:t>
            </w:r>
          </w:p>
        </w:tc>
        <w:tc>
          <w:tcPr>
            <w:tcW w:w="131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三级指标</w:t>
            </w:r>
          </w:p>
        </w:tc>
        <w:tc>
          <w:tcPr>
            <w:tcW w:w="112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指标性质</w:t>
            </w:r>
          </w:p>
        </w:tc>
        <w:tc>
          <w:tcPr>
            <w:tcW w:w="97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指标值</w:t>
            </w:r>
          </w:p>
        </w:tc>
        <w:tc>
          <w:tcPr>
            <w:tcW w:w="106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度量单位</w:t>
            </w:r>
          </w:p>
        </w:tc>
        <w:tc>
          <w:tcPr>
            <w:tcW w:w="93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权重</w:t>
            </w:r>
          </w:p>
        </w:tc>
        <w:tc>
          <w:tcPr>
            <w:tcW w:w="184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实际完成指标值</w:t>
            </w:r>
          </w:p>
        </w:tc>
      </w:tr>
      <w:tr>
        <w:tblPrEx>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nil"/>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081"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24"/>
                <w:szCs w:val="24"/>
              </w:rPr>
            </w:pPr>
            <w:r>
              <w:rPr>
                <w:rFonts w:hint="eastAsia" w:ascii="等线" w:hAnsi="等线" w:eastAsia="等线" w:cs="等线"/>
                <w:i w:val="0"/>
                <w:color w:val="000000"/>
                <w:kern w:val="0"/>
                <w:sz w:val="18"/>
                <w:szCs w:val="18"/>
                <w:u w:val="none"/>
                <w:lang w:val="en-US" w:eastAsia="zh-CN" w:bidi="ar"/>
              </w:rPr>
              <w:t>产出指标</w:t>
            </w:r>
          </w:p>
        </w:tc>
        <w:tc>
          <w:tcPr>
            <w:tcW w:w="1250" w:type="dxa"/>
            <w:tcBorders>
              <w:top w:val="nil"/>
              <w:left w:val="nil"/>
              <w:bottom w:val="nil"/>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rPr>
            </w:pPr>
            <w:r>
              <w:rPr>
                <w:rFonts w:hint="eastAsia" w:ascii="等线" w:hAnsi="等线" w:eastAsia="等线" w:cs="等线"/>
                <w:i w:val="0"/>
                <w:color w:val="000000"/>
                <w:kern w:val="0"/>
                <w:sz w:val="18"/>
                <w:szCs w:val="18"/>
                <w:u w:val="none"/>
                <w:lang w:val="en-US" w:eastAsia="zh-CN" w:bidi="ar"/>
              </w:rPr>
              <w:t>数量指标</w:t>
            </w:r>
          </w:p>
        </w:tc>
        <w:tc>
          <w:tcPr>
            <w:tcW w:w="131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rPr>
            </w:pPr>
            <w:r>
              <w:rPr>
                <w:rFonts w:hint="eastAsia" w:ascii="等线" w:hAnsi="等线" w:eastAsia="等线" w:cs="等线"/>
                <w:i w:val="0"/>
                <w:color w:val="000000"/>
                <w:kern w:val="0"/>
                <w:sz w:val="18"/>
                <w:szCs w:val="18"/>
                <w:u w:val="none"/>
                <w:lang w:val="en-US" w:eastAsia="zh-CN" w:bidi="ar"/>
              </w:rPr>
              <w:t>数量</w:t>
            </w:r>
          </w:p>
        </w:tc>
        <w:tc>
          <w:tcPr>
            <w:tcW w:w="112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4"/>
                <w:szCs w:val="24"/>
              </w:rPr>
            </w:pPr>
            <w:r>
              <w:rPr>
                <w:rFonts w:hint="eastAsia" w:ascii="等线" w:hAnsi="等线" w:eastAsia="等线" w:cs="等线"/>
                <w:i w:val="0"/>
                <w:color w:val="000000"/>
                <w:kern w:val="0"/>
                <w:sz w:val="18"/>
                <w:szCs w:val="18"/>
                <w:u w:val="none"/>
                <w:lang w:val="en-US" w:eastAsia="zh-CN" w:bidi="ar"/>
              </w:rPr>
              <w:t>≥</w:t>
            </w:r>
          </w:p>
        </w:tc>
        <w:tc>
          <w:tcPr>
            <w:tcW w:w="97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eastAsia" w:ascii="宋体" w:hAnsi="宋体" w:eastAsia="宋体" w:cs="宋体"/>
                <w:color w:val="000000"/>
                <w:kern w:val="0"/>
                <w:sz w:val="24"/>
                <w:szCs w:val="24"/>
              </w:rPr>
            </w:pPr>
          </w:p>
        </w:tc>
        <w:tc>
          <w:tcPr>
            <w:tcW w:w="106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4"/>
                <w:szCs w:val="24"/>
              </w:rPr>
            </w:pPr>
            <w:r>
              <w:rPr>
                <w:rFonts w:hint="eastAsia" w:ascii="等线" w:hAnsi="等线" w:eastAsia="等线" w:cs="等线"/>
                <w:i w:val="0"/>
                <w:color w:val="000000"/>
                <w:kern w:val="0"/>
                <w:sz w:val="18"/>
                <w:szCs w:val="18"/>
                <w:u w:val="none"/>
                <w:lang w:val="en-US" w:eastAsia="zh-CN" w:bidi="ar"/>
              </w:rPr>
              <w:t>100</w:t>
            </w:r>
          </w:p>
        </w:tc>
        <w:tc>
          <w:tcPr>
            <w:tcW w:w="93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4"/>
                <w:szCs w:val="24"/>
              </w:rPr>
            </w:pPr>
            <w:r>
              <w:rPr>
                <w:rFonts w:hint="eastAsia" w:ascii="等线" w:hAnsi="等线" w:eastAsia="等线" w:cs="等线"/>
                <w:i w:val="0"/>
                <w:color w:val="000000"/>
                <w:kern w:val="0"/>
                <w:sz w:val="18"/>
                <w:szCs w:val="18"/>
                <w:u w:val="none"/>
                <w:lang w:val="en-US" w:eastAsia="zh-CN" w:bidi="ar"/>
              </w:rPr>
              <w:t>%</w:t>
            </w:r>
          </w:p>
        </w:tc>
        <w:tc>
          <w:tcPr>
            <w:tcW w:w="184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4"/>
                <w:szCs w:val="24"/>
              </w:rPr>
            </w:pPr>
            <w:r>
              <w:rPr>
                <w:rFonts w:hint="eastAsia" w:ascii="等线" w:hAnsi="等线" w:eastAsia="等线" w:cs="等线"/>
                <w:i w:val="0"/>
                <w:color w:val="000000"/>
                <w:kern w:val="0"/>
                <w:sz w:val="18"/>
                <w:szCs w:val="18"/>
                <w:u w:val="none"/>
                <w:lang w:val="en-US" w:eastAsia="zh-CN" w:bidi="ar"/>
              </w:rPr>
              <w:t>50</w:t>
            </w:r>
          </w:p>
        </w:tc>
      </w:tr>
      <w:tr>
        <w:tblPrEx>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nil"/>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081"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w:hAnsi="Times New Roman" w:cs="Times New Roman"/>
                <w:sz w:val="20"/>
                <w:szCs w:val="20"/>
              </w:rPr>
            </w:pPr>
            <w:r>
              <w:rPr>
                <w:rFonts w:hint="eastAsia" w:ascii="等线" w:hAnsi="等线" w:eastAsia="等线" w:cs="等线"/>
                <w:i w:val="0"/>
                <w:color w:val="000000"/>
                <w:kern w:val="0"/>
                <w:sz w:val="18"/>
                <w:szCs w:val="18"/>
                <w:u w:val="none"/>
                <w:lang w:val="en-US" w:eastAsia="zh-CN" w:bidi="ar"/>
              </w:rPr>
              <w:t>效益指标</w:t>
            </w:r>
          </w:p>
        </w:tc>
        <w:tc>
          <w:tcPr>
            <w:tcW w:w="1250" w:type="dxa"/>
            <w:tcBorders>
              <w:top w:val="nil"/>
              <w:left w:val="nil"/>
              <w:bottom w:val="nil"/>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sz w:val="20"/>
                <w:szCs w:val="20"/>
              </w:rPr>
            </w:pPr>
            <w:r>
              <w:rPr>
                <w:rFonts w:hint="eastAsia" w:ascii="等线" w:hAnsi="等线" w:eastAsia="等线" w:cs="等线"/>
                <w:i w:val="0"/>
                <w:color w:val="000000"/>
                <w:kern w:val="0"/>
                <w:sz w:val="18"/>
                <w:szCs w:val="18"/>
                <w:u w:val="none"/>
                <w:lang w:val="en-US" w:eastAsia="zh-CN" w:bidi="ar"/>
              </w:rPr>
              <w:t>经济效益指标</w:t>
            </w:r>
          </w:p>
        </w:tc>
        <w:tc>
          <w:tcPr>
            <w:tcW w:w="131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rPr>
            </w:pPr>
            <w:r>
              <w:rPr>
                <w:rFonts w:hint="eastAsia" w:ascii="等线" w:hAnsi="等线" w:eastAsia="等线" w:cs="等线"/>
                <w:i w:val="0"/>
                <w:color w:val="000000"/>
                <w:kern w:val="0"/>
                <w:sz w:val="18"/>
                <w:szCs w:val="18"/>
                <w:u w:val="none"/>
                <w:lang w:val="en-US" w:eastAsia="zh-CN" w:bidi="ar"/>
              </w:rPr>
              <w:t>效益</w:t>
            </w:r>
          </w:p>
        </w:tc>
        <w:tc>
          <w:tcPr>
            <w:tcW w:w="112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4"/>
                <w:szCs w:val="24"/>
              </w:rPr>
            </w:pPr>
            <w:r>
              <w:rPr>
                <w:rFonts w:hint="eastAsia" w:ascii="等线" w:hAnsi="等线" w:eastAsia="等线" w:cs="等线"/>
                <w:i w:val="0"/>
                <w:color w:val="000000"/>
                <w:kern w:val="0"/>
                <w:sz w:val="18"/>
                <w:szCs w:val="18"/>
                <w:u w:val="none"/>
                <w:lang w:val="en-US" w:eastAsia="zh-CN" w:bidi="ar"/>
              </w:rPr>
              <w:t>≥</w:t>
            </w:r>
          </w:p>
        </w:tc>
        <w:tc>
          <w:tcPr>
            <w:tcW w:w="97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eastAsia" w:ascii="宋体" w:hAnsi="宋体" w:eastAsia="宋体" w:cs="宋体"/>
                <w:color w:val="000000"/>
                <w:kern w:val="0"/>
                <w:sz w:val="24"/>
                <w:szCs w:val="24"/>
              </w:rPr>
            </w:pPr>
          </w:p>
        </w:tc>
        <w:tc>
          <w:tcPr>
            <w:tcW w:w="106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4"/>
                <w:szCs w:val="24"/>
              </w:rPr>
            </w:pPr>
            <w:r>
              <w:rPr>
                <w:rFonts w:hint="eastAsia" w:ascii="等线" w:hAnsi="等线" w:eastAsia="等线" w:cs="等线"/>
                <w:i w:val="0"/>
                <w:color w:val="000000"/>
                <w:kern w:val="0"/>
                <w:sz w:val="18"/>
                <w:szCs w:val="18"/>
                <w:u w:val="none"/>
                <w:lang w:val="en-US" w:eastAsia="zh-CN" w:bidi="ar"/>
              </w:rPr>
              <w:t>100</w:t>
            </w:r>
          </w:p>
        </w:tc>
        <w:tc>
          <w:tcPr>
            <w:tcW w:w="93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4"/>
                <w:szCs w:val="24"/>
              </w:rPr>
            </w:pPr>
            <w:r>
              <w:rPr>
                <w:rFonts w:hint="eastAsia" w:ascii="等线" w:hAnsi="等线" w:eastAsia="等线" w:cs="等线"/>
                <w:i w:val="0"/>
                <w:color w:val="000000"/>
                <w:kern w:val="0"/>
                <w:sz w:val="18"/>
                <w:szCs w:val="18"/>
                <w:u w:val="none"/>
                <w:lang w:val="en-US" w:eastAsia="zh-CN" w:bidi="ar"/>
              </w:rPr>
              <w:t>%</w:t>
            </w:r>
          </w:p>
        </w:tc>
        <w:tc>
          <w:tcPr>
            <w:tcW w:w="184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4"/>
                <w:szCs w:val="24"/>
              </w:rPr>
            </w:pPr>
            <w:r>
              <w:rPr>
                <w:rFonts w:hint="eastAsia" w:ascii="等线" w:hAnsi="等线" w:eastAsia="等线" w:cs="等线"/>
                <w:i w:val="0"/>
                <w:color w:val="000000"/>
                <w:kern w:val="0"/>
                <w:sz w:val="18"/>
                <w:szCs w:val="18"/>
                <w:u w:val="none"/>
                <w:lang w:val="en-US" w:eastAsia="zh-CN" w:bidi="ar"/>
              </w:rPr>
              <w:t>40</w:t>
            </w:r>
          </w:p>
        </w:tc>
      </w:tr>
    </w:tbl>
    <w:p>
      <w:pPr>
        <w:pStyle w:val="3"/>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方正小标宋_GBK"/>
    <w:panose1 w:val="02000000000000000000"/>
    <w:charset w:val="86"/>
    <w:family w:val="script"/>
    <w:pitch w:val="default"/>
    <w:sig w:usb0="00000000" w:usb1="00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Wingdings 2">
    <w:panose1 w:val="05020102010507070707"/>
    <w:charset w:val="02"/>
    <w:family w:val="roman"/>
    <w:pitch w:val="default"/>
    <w:sig w:usb0="00000000" w:usb1="00000000" w:usb2="00000000" w:usb3="00000000" w:csb0="80000000" w:csb1="00000000"/>
  </w:font>
  <w:font w:name="等线">
    <w:altName w:val="仿宋_GB2312"/>
    <w:panose1 w:val="02010600030101010101"/>
    <w:charset w:val="86"/>
    <w:family w:val="auto"/>
    <w:pitch w:val="default"/>
    <w:sig w:usb0="00000000" w:usb1="00000000" w:usb2="00000016" w:usb3="00000000" w:csb0="0004000F" w:csb1="00000000"/>
  </w:font>
  <w:font w:name="方正书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 w:name="AR PL UKai CN">
    <w:panose1 w:val="02000503000000000000"/>
    <w:charset w:val="86"/>
    <w:family w:val="auto"/>
    <w:pitch w:val="default"/>
    <w:sig w:usb0="A00002FF" w:usb1="3ACFFDFF" w:usb2="00000036" w:usb3="00000000" w:csb0="2016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F1FE72"/>
    <w:multiLevelType w:val="multilevel"/>
    <w:tmpl w:val="C0F1FE72"/>
    <w:lvl w:ilvl="0" w:tentative="0">
      <w:start w:val="2"/>
      <w:numFmt w:val="chineseCounting"/>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1">
    <w:nsid w:val="C96F349F"/>
    <w:multiLevelType w:val="singleLevel"/>
    <w:tmpl w:val="C96F349F"/>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hkOTAyNTNiN2RjZTVmYzdkNmJkZjc0ZTg5ZTc3YWIifQ=="/>
  </w:docVars>
  <w:rsids>
    <w:rsidRoot w:val="00172A27"/>
    <w:rsid w:val="07235B8A"/>
    <w:rsid w:val="0E16063C"/>
    <w:rsid w:val="0F62578A"/>
    <w:rsid w:val="159119A5"/>
    <w:rsid w:val="18AC26C9"/>
    <w:rsid w:val="1F0D1040"/>
    <w:rsid w:val="1F4B4D4C"/>
    <w:rsid w:val="25987D07"/>
    <w:rsid w:val="28F155C8"/>
    <w:rsid w:val="2A7E5452"/>
    <w:rsid w:val="2BD02EFB"/>
    <w:rsid w:val="2D1155F0"/>
    <w:rsid w:val="3DE2598D"/>
    <w:rsid w:val="412F731A"/>
    <w:rsid w:val="4A221AAC"/>
    <w:rsid w:val="4BCA41C3"/>
    <w:rsid w:val="4CA57577"/>
    <w:rsid w:val="4FFB9339"/>
    <w:rsid w:val="51FC6DA4"/>
    <w:rsid w:val="553D2C50"/>
    <w:rsid w:val="5C961BA3"/>
    <w:rsid w:val="5D405FBA"/>
    <w:rsid w:val="722A5A0B"/>
    <w:rsid w:val="75553F53"/>
    <w:rsid w:val="798E5FEA"/>
    <w:rsid w:val="7C0208C0"/>
    <w:rsid w:val="7D307A98"/>
    <w:rsid w:val="FFFF38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0">
    <w:name w:val="Default Paragraph Font"/>
    <w:qFormat/>
    <w:uiPriority w:val="0"/>
  </w:style>
  <w:style w:type="table" w:default="1" w:styleId="9">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Body Text"/>
    <w:basedOn w:val="1"/>
    <w:unhideWhenUsed/>
    <w:qFormat/>
    <w:uiPriority w:val="99"/>
    <w:pPr>
      <w:spacing w:before="100" w:beforeAutospacing="1" w:after="120"/>
    </w:pPr>
  </w:style>
  <w:style w:type="paragraph" w:styleId="4">
    <w:name w:val="Body Text Indent"/>
    <w:basedOn w:val="1"/>
    <w:qFormat/>
    <w:uiPriority w:val="0"/>
    <w:pPr>
      <w:spacing w:line="500" w:lineRule="exact"/>
      <w:ind w:firstLine="720" w:firstLineChars="240"/>
    </w:pPr>
    <w:rPr>
      <w:rFonts w:ascii="仿宋_GB2312"/>
      <w:b/>
      <w:sz w:val="30"/>
      <w:szCs w:val="24"/>
    </w:rPr>
  </w:style>
  <w:style w:type="paragraph" w:styleId="5">
    <w:name w:val="footer"/>
    <w:basedOn w:val="1"/>
    <w:unhideWhenUsed/>
    <w:qFormat/>
    <w:uiPriority w:val="99"/>
    <w:pPr>
      <w:tabs>
        <w:tab w:val="center" w:pos="4153"/>
        <w:tab w:val="right" w:pos="8306"/>
      </w:tabs>
      <w:snapToGrid w:val="0"/>
      <w:jc w:val="left"/>
    </w:pPr>
    <w:rPr>
      <w:sz w:val="18"/>
      <w:szCs w:val="18"/>
      <w:lang w:val="zh-CN" w:eastAsia="zh-CN"/>
    </w:rPr>
  </w:style>
  <w:style w:type="paragraph" w:styleId="6">
    <w:name w:val="Normal (Web)"/>
    <w:basedOn w:val="1"/>
    <w:qFormat/>
    <w:uiPriority w:val="0"/>
    <w:rPr>
      <w:sz w:val="24"/>
    </w:rPr>
  </w:style>
  <w:style w:type="paragraph" w:styleId="7">
    <w:name w:val="Body Text First Indent"/>
    <w:basedOn w:val="3"/>
    <w:qFormat/>
    <w:uiPriority w:val="0"/>
    <w:pPr>
      <w:ind w:firstLine="420" w:firstLineChars="100"/>
    </w:pPr>
  </w:style>
  <w:style w:type="paragraph" w:styleId="8">
    <w:name w:val="Body Text First Indent 2"/>
    <w:basedOn w:val="4"/>
    <w:unhideWhenUsed/>
    <w:qFormat/>
    <w:uiPriority w:val="99"/>
    <w:pPr>
      <w:keepNext w:val="0"/>
      <w:keepLines w:val="0"/>
      <w:widowControl w:val="0"/>
      <w:suppressLineNumbers w:val="0"/>
      <w:spacing w:before="0" w:beforeAutospacing="0" w:after="120" w:afterAutospacing="0"/>
      <w:ind w:left="420" w:leftChars="200" w:right="0" w:firstLine="420" w:firstLineChars="200"/>
      <w:jc w:val="both"/>
    </w:pPr>
    <w:rPr>
      <w:rFonts w:hint="eastAsia" w:ascii="Times New Roman" w:hAnsi="Times New Roman" w:eastAsia="宋体" w:cs="Times New Roman"/>
      <w:kern w:val="2"/>
      <w:sz w:val="21"/>
      <w:szCs w:val="24"/>
      <w:lang w:val="en-US" w:eastAsia="zh-CN" w:bidi="ar-SA"/>
    </w:rPr>
  </w:style>
  <w:style w:type="paragraph" w:customStyle="1" w:styleId="11">
    <w:name w:val="图表目录1"/>
    <w:basedOn w:val="1"/>
    <w:next w:val="1"/>
    <w:qFormat/>
    <w:uiPriority w:val="0"/>
    <w:pPr>
      <w:ind w:left="200" w:leftChars="200" w:hanging="200" w:hangingChars="200"/>
    </w:pPr>
    <w:rPr>
      <w:rFonts w:ascii="Times New Roman" w:hAnsi="Times New Roman" w:eastAsia="仿宋_GB2312" w:cs="Times New Roman"/>
      <w:sz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1438</Words>
  <Characters>1459</Characters>
  <Lines>1</Lines>
  <Paragraphs>1</Paragraphs>
  <TotalTime>4</TotalTime>
  <ScaleCrop>false</ScaleCrop>
  <LinksUpToDate>false</LinksUpToDate>
  <CharactersWithSpaces>1534</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2023-08-24T23:37:00Z</dcterms:created>
  <dc:creator>两个人的烟火</dc:creator>
  <cp:lastModifiedBy>user</cp:lastModifiedBy>
  <dcterms:modified xsi:type="dcterms:W3CDTF">2024-11-07T10:57:56Z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F458B0F45099434FAC59F0EFC705C38F_13</vt:lpwstr>
  </property>
</Properties>
</file>