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龙坝乡人民政府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9.81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0.06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增长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val="en-US" w:eastAsia="zh-CN"/>
        </w:rPr>
        <w:t>0.62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</w:rPr>
        <w:t>%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val="en-US" w:eastAsia="zh-CN"/>
        </w:rPr>
        <w:t>增长原因是有退款重新支付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其他1辆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9.81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公车燃油费、维修维护费、过路费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龙坝乡人民政府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（行政）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9.81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9.81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BA"/>
    <w:family w:val="auto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0"/>
    <w:pPr>
      <w:spacing w:beforeLines="30" w:before="30"/>
    </w:pPr>
    <w:rPr>
      <w:rFonts w:ascii="仿宋_GB2312" w:eastAsia="仿宋_GB2312"/>
      <w:kern w:val="0"/>
      <w:sz w:val="30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2</Pages>
  <Words>336</Words>
  <Characters>396</Characters>
  <Lines>51</Lines>
  <Paragraphs>26</Paragraphs>
  <CharactersWithSpaces>472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2025-08-27T08:23:22Z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2052-11.1.0.10314</vt:lpwstr>
  </property>
  <property fmtid="{D5CDD505-2E9C-101B-9397-08002B2CF9AE}" pid="3" name="ICV">
    <vt:lpwstr>CD6206FD7CA5494EA3A683B62672B325</vt:lpwstr>
  </property>
</Properties>
</file>