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44"/>
          <w:szCs w:val="44"/>
        </w:rPr>
      </w:pPr>
      <w:bookmarkStart w:id="0" w:name="_Toc15396616"/>
      <w:r>
        <w:rPr>
          <w:rFonts w:hint="eastAsia" w:ascii="仿宋_GB2312" w:hAnsi="黑体" w:cs="方正小标宋简体"/>
          <w:b/>
          <w:sz w:val="44"/>
          <w:szCs w:val="44"/>
          <w:lang w:eastAsia="zh-CN"/>
        </w:rPr>
        <w:t>龙坝乡</w:t>
      </w:r>
      <w:r>
        <w:rPr>
          <w:rFonts w:hint="eastAsia" w:ascii="仿宋_GB2312" w:hAnsi="黑体" w:eastAsia="仿宋_GB2312" w:cs="方正小标宋简体"/>
          <w:b/>
          <w:sz w:val="44"/>
          <w:szCs w:val="44"/>
        </w:rPr>
        <w:t>20</w:t>
      </w:r>
      <w:r>
        <w:rPr>
          <w:rFonts w:hint="eastAsia" w:ascii="仿宋_GB2312" w:hAnsi="黑体" w:eastAsia="仿宋_GB2312" w:cs="方正小标宋简体"/>
          <w:b/>
          <w:sz w:val="44"/>
          <w:szCs w:val="44"/>
          <w:lang w:val="en-US" w:eastAsia="zh-CN"/>
        </w:rPr>
        <w:t>2</w:t>
      </w:r>
      <w:r>
        <w:rPr>
          <w:rFonts w:hint="eastAsia" w:ascii="仿宋_GB2312" w:hAnsi="黑体" w:cs="方正小标宋简体"/>
          <w:b/>
          <w:sz w:val="44"/>
          <w:szCs w:val="44"/>
          <w:lang w:val="en-US" w:eastAsia="zh-CN"/>
        </w:rPr>
        <w:t>4</w:t>
      </w:r>
      <w:r>
        <w:rPr>
          <w:rFonts w:hint="eastAsia" w:ascii="仿宋_GB2312" w:hAnsi="黑体" w:eastAsia="仿宋_GB2312" w:cs="方正小标宋简体"/>
          <w:b/>
          <w:sz w:val="44"/>
          <w:szCs w:val="44"/>
        </w:rPr>
        <w:t>年部门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2208" w:firstLineChars="500"/>
        <w:contextualSpacing/>
        <w:jc w:val="left"/>
        <w:textAlignment w:val="auto"/>
        <w:outlineLvl w:val="9"/>
        <w:rPr>
          <w:rFonts w:hint="eastAsia" w:ascii="仿宋_GB2312" w:hAnsi="黑体" w:eastAsia="仿宋_GB2312" w:cs="方正小标宋简体"/>
          <w:b/>
          <w:sz w:val="44"/>
          <w:szCs w:val="44"/>
        </w:rPr>
      </w:pPr>
      <w:r>
        <w:rPr>
          <w:rFonts w:hint="eastAsia" w:ascii="仿宋_GB2312" w:hAnsi="黑体" w:eastAsia="仿宋_GB2312" w:cs="方正小标宋简体"/>
          <w:b/>
          <w:sz w:val="44"/>
          <w:szCs w:val="44"/>
        </w:rPr>
        <w:t>整体支出绩效评价报告</w:t>
      </w:r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2208" w:firstLineChars="500"/>
        <w:contextualSpacing/>
        <w:jc w:val="left"/>
        <w:textAlignment w:val="auto"/>
        <w:outlineLvl w:val="9"/>
        <w:rPr>
          <w:rFonts w:hint="eastAsia" w:ascii="仿宋_GB2312" w:hAnsi="黑体" w:eastAsia="仿宋_GB2312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ascii="Times New Roman" w:hAnsi="Times New Roman" w:cs="Times New Roman"/>
          <w:szCs w:val="32"/>
        </w:rPr>
      </w:pPr>
      <w:r>
        <w:rPr>
          <w:rFonts w:hint="eastAsia" w:eastAsia="黑体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一、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部门（单位）基本情况</w:t>
      </w:r>
    </w:p>
    <w:p>
      <w:pPr>
        <w:ind w:firstLine="642" w:firstLineChars="200"/>
        <w:jc w:val="left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机构组成。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cs="Times New Roman"/>
          <w:szCs w:val="32"/>
          <w:lang w:val="en-US"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龙坝乡属于乡财县管的乡镇，本单位无下属二级预算单位。全乡共辖4个行政村</w:t>
      </w:r>
      <w:r>
        <w:rPr>
          <w:rFonts w:hint="eastAsia" w:cs="Times New Roman"/>
          <w:szCs w:val="32"/>
          <w:lang w:val="en-US" w:eastAsia="zh-CN"/>
        </w:rPr>
        <w:t>：龙坝村、瓜苏村、西苏村、二巴郎村。</w:t>
      </w:r>
      <w:r>
        <w:rPr>
          <w:rFonts w:hint="eastAsia" w:ascii="Times New Roman" w:hAnsi="Times New Roman" w:cs="Times New Roman"/>
          <w:szCs w:val="32"/>
          <w:lang w:val="en-US" w:eastAsia="zh-CN"/>
        </w:rPr>
        <w:t>龙坝乡下设股级行政机构</w:t>
      </w:r>
      <w:r>
        <w:rPr>
          <w:rFonts w:hint="eastAsia" w:cs="Times New Roman"/>
          <w:szCs w:val="32"/>
          <w:lang w:val="en-US" w:eastAsia="zh-CN"/>
        </w:rPr>
        <w:t>5</w:t>
      </w:r>
      <w:r>
        <w:rPr>
          <w:rFonts w:hint="eastAsia" w:ascii="Times New Roman" w:hAnsi="Times New Roman" w:cs="Times New Roman"/>
          <w:szCs w:val="32"/>
          <w:lang w:val="en-US" w:eastAsia="zh-CN"/>
        </w:rPr>
        <w:t>个：党政综合办公室，党建工作办公室，应急管理和综合行政执法办公室，社会治理事务和村镇管理办公室，生态经济发展和乡村振兴办公室</w:t>
      </w:r>
      <w:r>
        <w:rPr>
          <w:rFonts w:hint="eastAsia" w:cs="Times New Roman"/>
          <w:szCs w:val="32"/>
          <w:lang w:val="en-US" w:eastAsia="zh-CN"/>
        </w:rPr>
        <w:t>；</w:t>
      </w:r>
      <w:r>
        <w:rPr>
          <w:rFonts w:hint="eastAsia" w:ascii="Times New Roman" w:hAnsi="Times New Roman" w:cs="Times New Roman"/>
          <w:szCs w:val="32"/>
          <w:lang w:val="en-US" w:eastAsia="zh-CN"/>
        </w:rPr>
        <w:t>下设事业机构</w:t>
      </w:r>
      <w:r>
        <w:rPr>
          <w:rFonts w:hint="eastAsia" w:cs="Times New Roman"/>
          <w:szCs w:val="32"/>
          <w:lang w:val="en-US" w:eastAsia="zh-CN"/>
        </w:rPr>
        <w:t>2</w:t>
      </w:r>
      <w:r>
        <w:rPr>
          <w:rFonts w:hint="eastAsia" w:ascii="Times New Roman" w:hAnsi="Times New Roman" w:cs="Times New Roman"/>
          <w:szCs w:val="32"/>
          <w:lang w:val="en-US" w:eastAsia="zh-CN"/>
        </w:rPr>
        <w:t>个：黑水县龙坝乡便民和退役军人服务中心，黑水县龙坝乡农业农村和文化旅游服务中心（黑水县龙坝乡新时代文明实践所）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2" w:firstLineChars="200"/>
        <w:contextualSpacing/>
        <w:jc w:val="left"/>
        <w:textAlignment w:val="auto"/>
        <w:outlineLvl w:val="9"/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机构职能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黑水县龙坝乡人民政府是基层国家行政机关，行使本行政区域的政府行政职能，根据有关文件规定，主要职责是：宣传和贯彻执行上级各部门及本乡的各项政策、法规、决议等；讨论决定全乡经济建设和社会发展中的重大问题；加强党委自身建设和以党支部为核心的村级组织建设；按照干部管理权限，负责对本级乡村干部的教育、管理、培训、选拔和监督工作，并实现村级财务统一由乡代管；认真做好全乡社会治安综合治理及计划生育，环境、国土等管理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2" w:firstLineChars="200"/>
        <w:textAlignment w:val="auto"/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人员概况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textAlignment w:val="auto"/>
        <w:rPr>
          <w:rFonts w:ascii="Times New Roman" w:hAnsi="Times New Roman" w:cs="Times New Roman"/>
          <w:szCs w:val="32"/>
        </w:rPr>
      </w:pPr>
      <w:r>
        <w:rPr>
          <w:rFonts w:ascii="Times New Roman" w:hAnsi="Times New Roman" w:cs="Times New Roman"/>
          <w:szCs w:val="32"/>
        </w:rPr>
        <w:t>截至202</w:t>
      </w:r>
      <w:r>
        <w:rPr>
          <w:rFonts w:hint="eastAsia" w:cs="Times New Roman"/>
          <w:szCs w:val="32"/>
          <w:lang w:val="en-US" w:eastAsia="zh-CN"/>
        </w:rPr>
        <w:t>4</w:t>
      </w:r>
      <w:r>
        <w:rPr>
          <w:rFonts w:ascii="Times New Roman" w:hAnsi="Times New Roman" w:cs="Times New Roman"/>
          <w:szCs w:val="32"/>
        </w:rPr>
        <w:t>年末，</w:t>
      </w:r>
      <w:r>
        <w:rPr>
          <w:rFonts w:hint="eastAsia" w:cs="Times New Roman"/>
          <w:szCs w:val="32"/>
          <w:lang w:val="en-US" w:eastAsia="zh-CN"/>
        </w:rPr>
        <w:t>龙坝乡</w:t>
      </w:r>
      <w:r>
        <w:rPr>
          <w:rFonts w:ascii="Times New Roman" w:hAnsi="Times New Roman" w:cs="Times New Roman"/>
          <w:szCs w:val="32"/>
        </w:rPr>
        <w:t>及下属单位编制</w:t>
      </w:r>
      <w:r>
        <w:rPr>
          <w:rFonts w:hint="eastAsia" w:ascii="Times New Roman" w:hAnsi="Times New Roman" w:cs="Times New Roman"/>
          <w:szCs w:val="32"/>
          <w:lang w:eastAsia="zh-CN"/>
        </w:rPr>
        <w:t>情况及</w:t>
      </w:r>
      <w:r>
        <w:rPr>
          <w:rFonts w:ascii="Times New Roman" w:hAnsi="Times New Roman" w:cs="Times New Roman"/>
          <w:szCs w:val="32"/>
        </w:rPr>
        <w:t>年末实有人数</w:t>
      </w:r>
      <w:r>
        <w:rPr>
          <w:rFonts w:hint="eastAsia" w:cs="Times New Roman"/>
          <w:szCs w:val="32"/>
          <w:lang w:eastAsia="zh-CN"/>
        </w:rPr>
        <w:t>：</w:t>
      </w:r>
      <w:r>
        <w:rPr>
          <w:rFonts w:hint="eastAsia" w:cs="Times New Roman"/>
          <w:szCs w:val="32"/>
          <w:lang w:val="en-US" w:eastAsia="zh-CN"/>
        </w:rPr>
        <w:t>在职31名，其中：行政人员17名，事业人员10名，行政工勤2名。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二、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eastAsia="zh-CN"/>
        </w:rPr>
        <w:t>部门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资金收支情况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收入情况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cs="Times New Roman"/>
          <w:szCs w:val="32"/>
          <w:lang w:val="en-US"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我乡202</w:t>
      </w:r>
      <w:r>
        <w:rPr>
          <w:rFonts w:hint="eastAsia" w:cs="Times New Roman"/>
          <w:szCs w:val="32"/>
          <w:lang w:val="en-US" w:eastAsia="zh-CN"/>
        </w:rPr>
        <w:t>4</w:t>
      </w:r>
      <w:r>
        <w:rPr>
          <w:rFonts w:hint="eastAsia" w:ascii="Times New Roman" w:hAnsi="Times New Roman" w:cs="Times New Roman"/>
          <w:szCs w:val="32"/>
          <w:lang w:val="en-US" w:eastAsia="zh-CN"/>
        </w:rPr>
        <w:t>年收入预算</w:t>
      </w:r>
      <w:r>
        <w:rPr>
          <w:rFonts w:hint="eastAsia" w:cs="Times New Roman"/>
          <w:szCs w:val="32"/>
          <w:lang w:val="en-US" w:eastAsia="zh-CN"/>
        </w:rPr>
        <w:t>926.96</w:t>
      </w:r>
      <w:r>
        <w:rPr>
          <w:rFonts w:hint="eastAsia" w:ascii="Times New Roman" w:hAnsi="Times New Roman" w:cs="Times New Roman"/>
          <w:szCs w:val="32"/>
          <w:lang w:val="en-US" w:eastAsia="zh-CN"/>
        </w:rPr>
        <w:t>万元，其中一般公共预算拨款收</w:t>
      </w:r>
      <w:r>
        <w:rPr>
          <w:rFonts w:hint="eastAsia" w:cs="Times New Roman"/>
          <w:szCs w:val="32"/>
          <w:lang w:val="en-US" w:eastAsia="zh-CN"/>
        </w:rPr>
        <w:t>入</w:t>
      </w:r>
      <w:bookmarkStart w:id="2" w:name="_GoBack"/>
      <w:bookmarkEnd w:id="2"/>
      <w:r>
        <w:rPr>
          <w:rFonts w:hint="eastAsia" w:cs="Times New Roman"/>
          <w:szCs w:val="32"/>
          <w:lang w:val="en-US" w:eastAsia="zh-CN"/>
        </w:rPr>
        <w:t>926.96</w:t>
      </w:r>
      <w:r>
        <w:rPr>
          <w:rFonts w:hint="eastAsia" w:ascii="Times New Roman" w:hAnsi="Times New Roman" w:cs="Times New Roman"/>
          <w:szCs w:val="32"/>
          <w:lang w:val="en-US" w:eastAsia="zh-CN"/>
        </w:rPr>
        <w:t>万元，占</w:t>
      </w:r>
      <w:r>
        <w:rPr>
          <w:rFonts w:hint="eastAsia" w:cs="Times New Roman"/>
          <w:szCs w:val="32"/>
          <w:lang w:val="en-US" w:eastAsia="zh-CN"/>
        </w:rPr>
        <w:t>100</w:t>
      </w:r>
      <w:r>
        <w:rPr>
          <w:rFonts w:hint="eastAsia" w:ascii="Times New Roman" w:hAnsi="Times New Roman" w:cs="Times New Roman"/>
          <w:szCs w:val="32"/>
          <w:lang w:val="en-US" w:eastAsia="zh-CN"/>
        </w:rPr>
        <w:t>%。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2" w:firstLineChars="200"/>
        <w:contextualSpacing/>
        <w:jc w:val="left"/>
        <w:textAlignment w:val="auto"/>
        <w:outlineLvl w:val="9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支出情况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cs="Times New Roman"/>
          <w:szCs w:val="32"/>
          <w:lang w:val="en-US"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我乡202</w:t>
      </w:r>
      <w:r>
        <w:rPr>
          <w:rFonts w:hint="eastAsia" w:cs="Times New Roman"/>
          <w:szCs w:val="32"/>
          <w:lang w:val="en-US" w:eastAsia="zh-CN"/>
        </w:rPr>
        <w:t>4</w:t>
      </w:r>
      <w:r>
        <w:rPr>
          <w:rFonts w:hint="eastAsia" w:ascii="Times New Roman" w:hAnsi="Times New Roman" w:cs="Times New Roman"/>
          <w:szCs w:val="32"/>
          <w:lang w:val="en-US" w:eastAsia="zh-CN"/>
        </w:rPr>
        <w:t>年支出</w:t>
      </w:r>
      <w:r>
        <w:rPr>
          <w:rFonts w:hint="eastAsia" w:cs="Times New Roman"/>
          <w:szCs w:val="32"/>
          <w:lang w:val="en-US" w:eastAsia="zh-CN"/>
        </w:rPr>
        <w:t>926.96</w:t>
      </w:r>
      <w:r>
        <w:rPr>
          <w:rFonts w:hint="eastAsia" w:ascii="Times New Roman" w:hAnsi="Times New Roman" w:cs="Times New Roman"/>
          <w:szCs w:val="32"/>
          <w:lang w:val="en-US" w:eastAsia="zh-CN"/>
        </w:rPr>
        <w:t>万元，其中：基本支出705.78万元，占76.14%；项目支出211.28万元，占22.79%。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cs="Times New Roman"/>
          <w:lang w:val="zh-CN" w:eastAsia="zh-CN"/>
        </w:rPr>
      </w:pPr>
      <w:r>
        <w:rPr>
          <w:lang w:val="zh-CN" w:eastAsia="zh-CN"/>
        </w:rPr>
        <w:t>一般公共服务支出</w:t>
      </w:r>
      <w:r>
        <w:rPr>
          <w:rFonts w:hint="eastAsia"/>
          <w:lang w:val="zh-CN" w:eastAsia="zh-CN"/>
        </w:rPr>
        <w:t>377.99万元，占40.78%</w:t>
      </w:r>
      <w:r>
        <w:rPr>
          <w:lang w:val="zh-CN" w:eastAsia="zh-CN"/>
        </w:rPr>
        <w:t>；社会保障和就业支出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zh-CN" w:eastAsia="zh-CN" w:bidi="ar-SA"/>
        </w:rPr>
        <w:t>85.70万元，占9.24%</w:t>
      </w:r>
      <w:r>
        <w:rPr>
          <w:lang w:val="zh-CN" w:eastAsia="zh-CN"/>
        </w:rPr>
        <w:t>；卫生健康支出</w:t>
      </w:r>
      <w:r>
        <w:rPr>
          <w:rFonts w:hint="eastAsia"/>
          <w:lang w:val="zh-CN" w:eastAsia="zh-CN"/>
        </w:rPr>
        <w:t>37.49万元，占4.04</w:t>
      </w:r>
      <w:r>
        <w:rPr>
          <w:lang w:val="zh-CN" w:eastAsia="zh-CN"/>
        </w:rPr>
        <w:t>；农林水支出</w:t>
      </w:r>
      <w:r>
        <w:rPr>
          <w:rFonts w:hint="eastAsia"/>
          <w:lang w:val="zh-CN" w:eastAsia="zh-CN"/>
        </w:rPr>
        <w:t>368.78万元，占39.78%</w:t>
      </w:r>
      <w:r>
        <w:rPr>
          <w:lang w:val="zh-CN" w:eastAsia="zh-CN"/>
        </w:rPr>
        <w:t>；住房保障支出</w:t>
      </w:r>
      <w:r>
        <w:rPr>
          <w:rFonts w:hint="eastAsia"/>
          <w:lang w:val="zh-CN" w:eastAsia="zh-CN"/>
        </w:rPr>
        <w:t>51.69万元，占5.58%；</w:t>
      </w:r>
      <w:r>
        <w:rPr>
          <w:rFonts w:hint="eastAsia" w:ascii="Times New Roman" w:hAnsi="Times New Roman" w:cs="Times New Roman"/>
          <w:lang w:val="zh-CN" w:eastAsia="zh-CN"/>
        </w:rPr>
        <w:t>灾害防治及应急管理支出</w:t>
      </w:r>
      <w:r>
        <w:rPr>
          <w:rFonts w:hint="eastAsia" w:ascii="Times New Roman" w:hAnsi="Times New Roman" w:cs="Times New Roman"/>
          <w:lang w:val="en-US" w:eastAsia="zh-CN"/>
        </w:rPr>
        <w:t>5.31万元，占0.57%。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2" w:firstLineChars="200"/>
        <w:contextualSpacing/>
        <w:jc w:val="left"/>
        <w:textAlignment w:val="auto"/>
        <w:outlineLvl w:val="9"/>
        <w:rPr>
          <w:rFonts w:hint="eastAsia" w:ascii="Times New Roman" w:hAnsi="Times New Roman" w:eastAsia="楷体_GB2312" w:cs="Times New Roman"/>
          <w:b/>
          <w:szCs w:val="32"/>
          <w:lang w:eastAsia="zh-CN"/>
        </w:rPr>
      </w:pPr>
      <w:r>
        <w:rPr>
          <w:rFonts w:ascii="Times New Roman" w:hAnsi="Times New Roman" w:eastAsia="楷体_GB2312" w:cs="Times New Roman"/>
          <w:b/>
          <w:szCs w:val="32"/>
        </w:rPr>
        <w:t>结余分配和结转结余情况</w:t>
      </w:r>
      <w:r>
        <w:rPr>
          <w:rFonts w:hint="eastAsia" w:ascii="Times New Roman" w:hAnsi="Times New Roman" w:eastAsia="楷体_GB2312" w:cs="Times New Roman"/>
          <w:b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640" w:leftChars="200"/>
        <w:contextualSpacing/>
        <w:jc w:val="left"/>
        <w:textAlignment w:val="auto"/>
        <w:outlineLvl w:val="9"/>
        <w:rPr>
          <w:rFonts w:ascii="Times New Roman" w:hAnsi="Times New Roman" w:eastAsia="仿宋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cs="Times New Roman"/>
          <w:szCs w:val="32"/>
          <w:lang w:val="en-US" w:eastAsia="zh-CN"/>
        </w:rPr>
        <w:t>2024年</w:t>
      </w:r>
      <w:r>
        <w:rPr>
          <w:rFonts w:hint="eastAsia" w:ascii="Times New Roman" w:hAnsi="Times New Roman" w:cs="Times New Roman"/>
          <w:szCs w:val="32"/>
          <w:lang w:val="en-US" w:eastAsia="zh-CN"/>
        </w:rPr>
        <w:t>决算报表</w:t>
      </w:r>
      <w:r>
        <w:rPr>
          <w:rFonts w:ascii="Times New Roman" w:hAnsi="Times New Roman" w:eastAsia="仿宋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结转结余</w:t>
      </w:r>
      <w:r>
        <w:rPr>
          <w:rFonts w:hint="eastAsia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0元</w:t>
      </w:r>
      <w:r>
        <w:rPr>
          <w:rFonts w:ascii="Times New Roman" w:hAnsi="Times New Roman" w:eastAsia="仿宋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三、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</w:rPr>
        <w:t>部门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  <w:lang w:eastAsia="zh-CN"/>
        </w:rPr>
        <w:t>预算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</w:rPr>
        <w:t>绩效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  <w:lang w:eastAsia="zh-CN"/>
        </w:rPr>
        <w:t>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2" w:firstLineChars="200"/>
        <w:contextualSpacing/>
        <w:jc w:val="left"/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部门预算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总体绩效分析。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65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63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我乡严格按照县财政局“人员经费按标准，公用经费按定额”的预算原则，对我乡财政预算做出规划。制定适宜我乡乡情的财务管理制度，将经费管理、经费审批、借款管理、现金及支票管理和财务管理五个方面融入进我乡财务管理制度。根据中央八项规定、省委十项规定、州委和县委相关规定，对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“三公”经费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、会议费、公务卡强制接算目录制度等进行了完善，单位领导干部加强对财政预算资金的管理，机关干部、职工遵守财经纪律，按照财务管理制度办事，没有发生违反财经纪律、违反财务管理制度的情况。同时，在开支控制、办公用品采购、大宗印刷管理、车辆租赁等方面严格执行相关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履职效能。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指标分值15分，自评得分15分。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核心职能目标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一：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基本支出，在职人员工资保险。目标完成情况，截止202</w:t>
      </w:r>
      <w:r>
        <w:rPr>
          <w:rFonts w:hint="eastAsia" w:cs="Times New Roman"/>
          <w:color w:val="000000"/>
          <w:kern w:val="0"/>
          <w:szCs w:val="32"/>
          <w:shd w:val="clear" w:color="auto" w:fill="FFFFFF"/>
          <w:lang w:val="en-US" w:eastAsia="zh-CN"/>
        </w:rPr>
        <w:t>4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年底我单位如期完成预算</w:t>
      </w:r>
      <w:r>
        <w:rPr>
          <w:rFonts w:hint="eastAsia" w:cs="Times New Roman"/>
          <w:color w:val="000000"/>
          <w:kern w:val="0"/>
          <w:szCs w:val="32"/>
          <w:shd w:val="clear" w:color="auto" w:fill="FFFFFF"/>
          <w:lang w:val="en-US" w:eastAsia="zh-CN"/>
        </w:rPr>
        <w:t>31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人全年工资保险发放。该资金开支范围、标准及支付进度，支付依据合规合法，资金支付与绩效目标相符。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核心职能目标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二：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项目支出，基础组织运行及公共运行维护费。目标完成情况，截止202</w:t>
      </w:r>
      <w:r>
        <w:rPr>
          <w:rFonts w:hint="eastAsia" w:cs="Times New Roman"/>
          <w:color w:val="000000"/>
          <w:kern w:val="0"/>
          <w:szCs w:val="32"/>
          <w:shd w:val="clear" w:color="auto" w:fill="FFFFFF"/>
          <w:lang w:val="en-US" w:eastAsia="zh-CN"/>
        </w:rPr>
        <w:t>4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年底我单位如期完成4个村日常办公费8万元，维修维护费20万元支付。该资金开支范围、标准及支付进度，支付依据合规合法，资金支付与预算相符。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核心职能目标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三：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项目支出，</w:t>
      </w:r>
      <w:r>
        <w:rPr>
          <w:rFonts w:hint="eastAsia" w:cs="Times New Roman"/>
          <w:color w:val="000000"/>
          <w:kern w:val="0"/>
          <w:szCs w:val="32"/>
          <w:shd w:val="clear" w:color="auto" w:fill="FFFFFF"/>
          <w:lang w:val="zh-CN"/>
        </w:rPr>
        <w:t>龙坝乡</w:t>
      </w:r>
      <w:r>
        <w:rPr>
          <w:rFonts w:hint="eastAsia" w:cs="Times New Roman"/>
          <w:color w:val="000000"/>
          <w:kern w:val="0"/>
          <w:szCs w:val="32"/>
          <w:shd w:val="clear" w:color="auto" w:fill="FFFFFF"/>
          <w:lang w:val="en-US" w:eastAsia="zh-CN"/>
        </w:rPr>
        <w:t>2024年</w:t>
      </w:r>
      <w:r>
        <w:rPr>
          <w:rFonts w:hint="eastAsia" w:cs="Times New Roman"/>
          <w:color w:val="000000"/>
          <w:kern w:val="0"/>
          <w:szCs w:val="32"/>
          <w:shd w:val="clear" w:color="auto" w:fill="FFFFFF"/>
          <w:lang w:val="zh-CN"/>
        </w:rPr>
        <w:t>安全饮水工程</w:t>
      </w:r>
      <w:r>
        <w:rPr>
          <w:rFonts w:hint="eastAsia" w:cs="Times New Roman"/>
          <w:color w:val="000000"/>
          <w:kern w:val="0"/>
          <w:szCs w:val="32"/>
          <w:shd w:val="clear" w:color="auto" w:fill="FFFFFF"/>
          <w:lang w:val="en-US" w:eastAsia="zh-CN"/>
        </w:rPr>
        <w:t>82.83万元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，截止202</w:t>
      </w:r>
      <w:r>
        <w:rPr>
          <w:rFonts w:hint="eastAsia" w:cs="Times New Roman"/>
          <w:color w:val="000000"/>
          <w:kern w:val="0"/>
          <w:szCs w:val="32"/>
          <w:shd w:val="clear" w:color="auto" w:fill="FFFFFF"/>
          <w:lang w:val="en-US" w:eastAsia="zh-CN"/>
        </w:rPr>
        <w:t>4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年底我单位如期完成该项目。该项目资金开支范围、标准及支付进度，支付依据合规合法，资金支付与预算相符。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预算管理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指标分值25分，自评得分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ascii="仿宋_GB2312" w:eastAsia="仿宋_GB2312"/>
          <w:sz w:val="32"/>
          <w:szCs w:val="32"/>
        </w:rPr>
        <w:t>预算编制质量：</w:t>
      </w:r>
      <w:r>
        <w:rPr>
          <w:rFonts w:hint="eastAsia" w:ascii="仿宋_GB2312" w:eastAsia="仿宋_GB2312"/>
          <w:sz w:val="32"/>
          <w:szCs w:val="32"/>
        </w:rPr>
        <w:t>本单位本年度收入调整预算数</w:t>
      </w:r>
      <w:r>
        <w:rPr>
          <w:rFonts w:hint="eastAsia" w:ascii="仿宋_GB2312" w:eastAsia="仿宋_GB2312"/>
          <w:sz w:val="32"/>
          <w:szCs w:val="32"/>
          <w:lang w:eastAsia="zh-CN"/>
        </w:rPr>
        <w:t>为</w:t>
      </w:r>
      <w:r>
        <w:rPr>
          <w:rFonts w:hint="eastAsia" w:ascii="仿宋_GB2312"/>
          <w:sz w:val="32"/>
          <w:szCs w:val="32"/>
          <w:lang w:eastAsia="zh-CN"/>
        </w:rPr>
        <w:t>926.96</w:t>
      </w:r>
      <w:r>
        <w:rPr>
          <w:rFonts w:hint="eastAsia" w:ascii="仿宋_GB2312" w:eastAsia="仿宋_GB2312"/>
          <w:sz w:val="32"/>
          <w:szCs w:val="32"/>
        </w:rPr>
        <w:t>万元，收入决算数为</w:t>
      </w:r>
      <w:r>
        <w:rPr>
          <w:rFonts w:hint="eastAsia" w:ascii="仿宋_GB2312"/>
          <w:sz w:val="32"/>
          <w:szCs w:val="32"/>
          <w:lang w:eastAsia="zh-CN"/>
        </w:rPr>
        <w:t>926.96</w:t>
      </w:r>
      <w:r>
        <w:rPr>
          <w:rFonts w:hint="eastAsia" w:ascii="仿宋_GB2312" w:eastAsia="仿宋_GB2312"/>
          <w:sz w:val="32"/>
          <w:szCs w:val="32"/>
        </w:rPr>
        <w:t>万元，预算完成度为100.00%</w:t>
      </w:r>
      <w:r>
        <w:rPr>
          <w:rFonts w:ascii="仿宋_GB2312" w:eastAsia="仿宋_GB2312"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</w:rPr>
        <w:t>本年度</w:t>
      </w:r>
      <w:r>
        <w:rPr>
          <w:rFonts w:hint="eastAsia" w:ascii="仿宋_GB2312" w:eastAsia="仿宋_GB2312"/>
          <w:sz w:val="32"/>
          <w:szCs w:val="32"/>
          <w:lang w:eastAsia="zh-CN"/>
        </w:rPr>
        <w:t>支出</w:t>
      </w:r>
      <w:r>
        <w:rPr>
          <w:rFonts w:hint="eastAsia" w:ascii="仿宋_GB2312" w:eastAsia="仿宋_GB2312"/>
          <w:sz w:val="32"/>
          <w:szCs w:val="32"/>
        </w:rPr>
        <w:t>调整预算数</w:t>
      </w:r>
      <w:r>
        <w:rPr>
          <w:rFonts w:hint="eastAsia" w:ascii="仿宋_GB2312" w:eastAsia="仿宋_GB2312"/>
          <w:sz w:val="32"/>
          <w:szCs w:val="32"/>
          <w:lang w:eastAsia="zh-CN"/>
        </w:rPr>
        <w:t>为</w:t>
      </w:r>
      <w:r>
        <w:rPr>
          <w:rFonts w:hint="eastAsia" w:ascii="仿宋_GB2312"/>
          <w:sz w:val="32"/>
          <w:szCs w:val="32"/>
          <w:lang w:eastAsia="zh-CN"/>
        </w:rPr>
        <w:t>926.96</w:t>
      </w:r>
      <w:r>
        <w:rPr>
          <w:rFonts w:hint="eastAsia" w:ascii="仿宋_GB2312" w:eastAsia="仿宋_GB2312"/>
          <w:sz w:val="32"/>
          <w:szCs w:val="32"/>
        </w:rPr>
        <w:t>万元，</w:t>
      </w:r>
      <w:r>
        <w:rPr>
          <w:rFonts w:hint="eastAsia" w:ascii="仿宋_GB2312" w:eastAsia="仿宋_GB2312"/>
          <w:sz w:val="32"/>
          <w:szCs w:val="32"/>
          <w:lang w:eastAsia="zh-CN"/>
        </w:rPr>
        <w:t>支出</w:t>
      </w:r>
      <w:r>
        <w:rPr>
          <w:rFonts w:hint="eastAsia" w:ascii="仿宋_GB2312" w:eastAsia="仿宋_GB2312"/>
          <w:sz w:val="32"/>
          <w:szCs w:val="32"/>
        </w:rPr>
        <w:t>决算数为</w:t>
      </w:r>
      <w:r>
        <w:rPr>
          <w:rFonts w:hint="eastAsia" w:ascii="仿宋_GB2312"/>
          <w:sz w:val="32"/>
          <w:szCs w:val="32"/>
          <w:lang w:eastAsia="zh-CN"/>
        </w:rPr>
        <w:t>926.96</w:t>
      </w:r>
      <w:r>
        <w:rPr>
          <w:rFonts w:hint="eastAsia" w:ascii="仿宋_GB2312" w:eastAsia="仿宋_GB2312"/>
          <w:sz w:val="32"/>
          <w:szCs w:val="32"/>
        </w:rPr>
        <w:t>万元，预算</w:t>
      </w:r>
      <w:r>
        <w:rPr>
          <w:rFonts w:hint="eastAsia" w:ascii="仿宋_GB2312" w:eastAsia="仿宋_GB2312"/>
          <w:sz w:val="32"/>
          <w:szCs w:val="32"/>
          <w:lang w:eastAsia="zh-CN"/>
        </w:rPr>
        <w:t>支出</w:t>
      </w:r>
      <w:r>
        <w:rPr>
          <w:rFonts w:hint="eastAsia" w:ascii="仿宋_GB2312" w:eastAsia="仿宋_GB2312"/>
          <w:sz w:val="32"/>
          <w:szCs w:val="32"/>
        </w:rPr>
        <w:t>完成度为100.00%</w:t>
      </w:r>
      <w:r>
        <w:rPr>
          <w:rFonts w:ascii="仿宋_GB2312" w:eastAsia="仿宋_GB2312"/>
          <w:sz w:val="32"/>
          <w:szCs w:val="32"/>
        </w:rPr>
        <w:t>。截止202</w:t>
      </w:r>
      <w:r>
        <w:rPr>
          <w:rFonts w:hint="eastAsia" w:ascii="仿宋_GB2312"/>
          <w:sz w:val="32"/>
          <w:szCs w:val="32"/>
          <w:lang w:val="en-US" w:eastAsia="zh-CN"/>
        </w:rPr>
        <w:t>4</w:t>
      </w:r>
      <w:r>
        <w:rPr>
          <w:rFonts w:ascii="仿宋_GB2312" w:eastAsia="仿宋_GB2312"/>
          <w:sz w:val="32"/>
          <w:szCs w:val="32"/>
        </w:rPr>
        <w:t>年度我单位资金无结转结余。</w:t>
      </w:r>
      <w:r>
        <w:rPr>
          <w:rFonts w:hint="eastAsia" w:ascii="仿宋_GB2312" w:eastAsia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仿宋_GB2312" w:eastAsia="仿宋_GB2312"/>
          <w:b w:val="0"/>
          <w:sz w:val="32"/>
          <w:szCs w:val="32"/>
          <w:lang w:val="zh-CN"/>
        </w:rPr>
      </w:pP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单位收入统筹</w:t>
      </w:r>
      <w:r>
        <w:rPr>
          <w:rFonts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/>
          <w:b w:val="0"/>
          <w:sz w:val="32"/>
          <w:szCs w:val="32"/>
        </w:rPr>
        <w:t>我单位不涉及该项指标</w:t>
      </w:r>
      <w:r>
        <w:rPr>
          <w:rFonts w:ascii="仿宋_GB2312" w:eastAsia="仿宋_GB2312"/>
          <w:b w:val="0"/>
          <w:sz w:val="32"/>
          <w:szCs w:val="32"/>
        </w:rPr>
        <w:t>。</w:t>
      </w:r>
      <w:r>
        <w:rPr>
          <w:rFonts w:hint="eastAsia" w:ascii="仿宋_GB2312" w:eastAsia="仿宋_GB2312"/>
          <w:b w:val="0"/>
          <w:sz w:val="32"/>
          <w:szCs w:val="32"/>
          <w:lang w:val="zh-CN"/>
        </w:rPr>
        <w:t>指标分值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仿宋_GB2312" w:eastAsia="仿宋_GB2312"/>
          <w:b w:val="0"/>
          <w:color w:val="auto"/>
          <w:sz w:val="32"/>
          <w:szCs w:val="32"/>
          <w:lang w:val="zh-CN" w:eastAsia="zh-CN"/>
        </w:rPr>
      </w:pPr>
      <w:r>
        <w:rPr>
          <w:rFonts w:hint="eastAsia" w:ascii="仿宋_GB2312" w:eastAsia="仿宋_GB2312"/>
          <w:b w:val="0"/>
          <w:sz w:val="32"/>
          <w:szCs w:val="32"/>
        </w:rPr>
        <w:t>支出执行进度</w:t>
      </w:r>
      <w:r>
        <w:rPr>
          <w:rFonts w:ascii="仿宋_GB2312" w:eastAsia="仿宋_GB2312"/>
          <w:b w:val="0"/>
          <w:sz w:val="32"/>
          <w:szCs w:val="32"/>
        </w:rPr>
        <w:t>：</w:t>
      </w:r>
      <w:r>
        <w:rPr>
          <w:rFonts w:hint="eastAsia" w:ascii="仿宋_GB2312" w:eastAsia="仿宋_GB2312"/>
          <w:b w:val="0"/>
          <w:color w:val="auto"/>
          <w:sz w:val="32"/>
          <w:szCs w:val="32"/>
        </w:rPr>
        <w:t>202</w:t>
      </w:r>
      <w:r>
        <w:rPr>
          <w:rFonts w:hint="eastAsia" w:ascii="仿宋_GB2312"/>
          <w:b w:val="0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color w:val="auto"/>
          <w:sz w:val="32"/>
          <w:szCs w:val="32"/>
        </w:rPr>
        <w:t>年1-6月支付情况：预算数据</w:t>
      </w:r>
      <w:r>
        <w:rPr>
          <w:rFonts w:hint="eastAsia" w:ascii="仿宋_GB2312"/>
          <w:b w:val="0"/>
          <w:color w:val="auto"/>
          <w:sz w:val="32"/>
          <w:szCs w:val="32"/>
          <w:lang w:val="en-US" w:eastAsia="zh-CN"/>
        </w:rPr>
        <w:t>942.79</w:t>
      </w:r>
      <w:r>
        <w:rPr>
          <w:rFonts w:hint="eastAsia" w:ascii="仿宋_GB2312" w:eastAsia="仿宋_GB2312"/>
          <w:b w:val="0"/>
          <w:color w:val="auto"/>
          <w:sz w:val="32"/>
          <w:szCs w:val="32"/>
        </w:rPr>
        <w:t>万元，支付数据</w:t>
      </w:r>
      <w:r>
        <w:rPr>
          <w:rFonts w:hint="eastAsia" w:ascii="仿宋_GB2312"/>
          <w:b w:val="0"/>
          <w:color w:val="auto"/>
          <w:sz w:val="32"/>
          <w:szCs w:val="32"/>
          <w:lang w:val="en-US" w:eastAsia="zh-CN"/>
        </w:rPr>
        <w:t>462.83</w:t>
      </w:r>
      <w:r>
        <w:rPr>
          <w:rFonts w:hint="eastAsia" w:ascii="仿宋_GB2312" w:eastAsia="仿宋_GB2312"/>
          <w:b w:val="0"/>
          <w:color w:val="auto"/>
          <w:sz w:val="32"/>
          <w:szCs w:val="32"/>
        </w:rPr>
        <w:t>万元，支付率</w:t>
      </w:r>
      <w:r>
        <w:rPr>
          <w:rFonts w:hint="eastAsia" w:ascii="仿宋_GB2312"/>
          <w:b w:val="0"/>
          <w:color w:val="auto"/>
          <w:sz w:val="32"/>
          <w:szCs w:val="32"/>
          <w:lang w:val="en-US" w:eastAsia="zh-CN"/>
        </w:rPr>
        <w:t>49.09</w:t>
      </w:r>
      <w:r>
        <w:rPr>
          <w:rFonts w:hint="eastAsia" w:ascii="仿宋_GB2312" w:eastAsia="仿宋_GB2312"/>
          <w:b w:val="0"/>
          <w:color w:val="auto"/>
          <w:sz w:val="32"/>
          <w:szCs w:val="32"/>
        </w:rPr>
        <w:t>%。1-12月预算数据</w:t>
      </w:r>
      <w:r>
        <w:rPr>
          <w:rFonts w:hint="eastAsia" w:ascii="仿宋_GB2312"/>
          <w:b w:val="0"/>
          <w:color w:val="auto"/>
          <w:sz w:val="32"/>
          <w:szCs w:val="32"/>
          <w:lang w:val="en-US" w:eastAsia="zh-CN"/>
        </w:rPr>
        <w:t>942.79</w:t>
      </w:r>
      <w:r>
        <w:rPr>
          <w:rFonts w:hint="eastAsia" w:ascii="仿宋_GB2312" w:eastAsia="仿宋_GB2312"/>
          <w:b w:val="0"/>
          <w:color w:val="auto"/>
          <w:sz w:val="32"/>
          <w:szCs w:val="32"/>
        </w:rPr>
        <w:t>万元，支付数据</w:t>
      </w:r>
      <w:r>
        <w:rPr>
          <w:rFonts w:hint="eastAsia" w:ascii="仿宋_GB2312"/>
          <w:b w:val="0"/>
          <w:color w:val="auto"/>
          <w:sz w:val="32"/>
          <w:szCs w:val="32"/>
          <w:lang w:val="en-US" w:eastAsia="zh-CN"/>
        </w:rPr>
        <w:t>942.79</w:t>
      </w:r>
      <w:r>
        <w:rPr>
          <w:rFonts w:hint="eastAsia" w:ascii="仿宋_GB2312" w:eastAsia="仿宋_GB2312"/>
          <w:b w:val="0"/>
          <w:color w:val="auto"/>
          <w:sz w:val="32"/>
          <w:szCs w:val="32"/>
        </w:rPr>
        <w:t>万元，支付率100%</w:t>
      </w:r>
      <w:r>
        <w:rPr>
          <w:rFonts w:ascii="仿宋_GB2312" w:eastAsia="仿宋_GB2312"/>
          <w:b w:val="0"/>
          <w:color w:val="auto"/>
          <w:sz w:val="32"/>
          <w:szCs w:val="32"/>
        </w:rPr>
        <w:t>。</w:t>
      </w:r>
      <w:r>
        <w:rPr>
          <w:rFonts w:hint="eastAsia" w:ascii="仿宋_GB2312" w:eastAsia="仿宋_GB2312"/>
          <w:b w:val="0"/>
          <w:color w:val="auto"/>
          <w:sz w:val="32"/>
          <w:szCs w:val="32"/>
          <w:lang w:val="zh-CN" w:eastAsia="zh-CN"/>
        </w:rPr>
        <w:t>指标分值</w:t>
      </w:r>
      <w:r>
        <w:rPr>
          <w:rFonts w:hint="eastAsia" w:ascii="仿宋_GB2312" w:eastAsia="仿宋_GB2312"/>
          <w:b w:val="0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b w:val="0"/>
          <w:color w:val="auto"/>
          <w:sz w:val="32"/>
          <w:szCs w:val="32"/>
          <w:lang w:val="zh-CN" w:eastAsia="zh-CN"/>
        </w:rPr>
        <w:t>分，自评得分</w:t>
      </w:r>
      <w:r>
        <w:rPr>
          <w:rFonts w:hint="eastAsia" w:ascii="仿宋_GB2312" w:eastAsia="仿宋_GB2312"/>
          <w:b w:val="0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color w:val="auto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仿宋_GB2312" w:eastAsia="仿宋_GB2312"/>
          <w:b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b w:val="0"/>
          <w:kern w:val="2"/>
          <w:sz w:val="32"/>
          <w:szCs w:val="32"/>
          <w:lang w:val="en-US" w:eastAsia="zh-CN" w:bidi="ar-SA"/>
        </w:rPr>
        <w:t>预算年终结余:202</w:t>
      </w:r>
      <w:r>
        <w:rPr>
          <w:rFonts w:hint="eastAsia" w:ascii="仿宋_GB2312" w:cs="Times New Roman"/>
          <w:b w:val="0"/>
          <w:kern w:val="2"/>
          <w:sz w:val="32"/>
          <w:szCs w:val="32"/>
          <w:lang w:val="en-US" w:eastAsia="zh-CN" w:bidi="ar-SA"/>
        </w:rPr>
        <w:t>4</w:t>
      </w:r>
      <w:r>
        <w:rPr>
          <w:rFonts w:hint="eastAsia" w:ascii="仿宋_GB2312" w:eastAsia="仿宋_GB2312" w:cs="Times New Roman"/>
          <w:b w:val="0"/>
          <w:kern w:val="2"/>
          <w:sz w:val="32"/>
          <w:szCs w:val="32"/>
          <w:lang w:val="en-US" w:eastAsia="zh-CN" w:bidi="ar-SA"/>
        </w:rPr>
        <w:t>年无结转结余。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指标分值2分，自评得分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仿宋_GB2312" w:eastAsia="仿宋_GB2312"/>
          <w:b w:val="0"/>
          <w:sz w:val="32"/>
          <w:szCs w:val="32"/>
          <w:lang w:val="en-US" w:eastAsia="zh-CN"/>
        </w:rPr>
      </w:pPr>
      <w:r>
        <w:rPr>
          <w:rFonts w:ascii="仿宋_GB2312" w:eastAsia="仿宋_GB2312"/>
          <w:b w:val="0"/>
          <w:sz w:val="32"/>
          <w:szCs w:val="32"/>
          <w:lang w:val="en-US" w:eastAsia="zh-CN"/>
        </w:rPr>
        <w:t>严控一般性支出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：我单位严控“三公”经费、会议、培训、差旅、办节办展、办公设备购置、信息网络及软件购置更新、课题经费等8项一般性支出。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财务管理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财务管理制度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：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强化制度建设。不断强化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财务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管理制度建设，依据相关法律、法规及管理办法，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制定符合我乡财务制度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，着重从预算绩效管理主要内容和环节，规范操作程序和质量控制要求，构建起工作有指导、实施有方案、内部有规程等相互支撑制度体系。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财务岗位设置：我乡按照财务制度规定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,设立会计、出纳岗位，相互监督。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pacing w:line="360" w:lineRule="auto"/>
        <w:ind w:firstLine="640" w:firstLineChars="200"/>
        <w:rPr>
          <w:rFonts w:eastAsia="仿宋_GB231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t>资金使用规范</w:t>
      </w:r>
      <w:r>
        <w:rPr>
          <w:rFonts w:hint="eastAsia" w:asci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 w:cs="仿宋_GB2312"/>
          <w:sz w:val="32"/>
          <w:szCs w:val="32"/>
        </w:rPr>
        <w:t>本年度收到预算资金</w:t>
      </w:r>
      <w:r>
        <w:rPr>
          <w:rFonts w:hint="eastAsia" w:ascii="仿宋_GB2312"/>
          <w:b w:val="0"/>
          <w:color w:val="auto"/>
          <w:sz w:val="32"/>
          <w:szCs w:val="32"/>
          <w:lang w:val="en-US" w:eastAsia="zh-CN"/>
        </w:rPr>
        <w:t>942.79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万元，实际使用</w:t>
      </w:r>
      <w:r>
        <w:rPr>
          <w:rFonts w:hint="eastAsia" w:ascii="仿宋_GB2312"/>
          <w:b w:val="0"/>
          <w:color w:val="auto"/>
          <w:sz w:val="32"/>
          <w:szCs w:val="32"/>
          <w:lang w:val="en-US" w:eastAsia="zh-CN"/>
        </w:rPr>
        <w:t>942.79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万元。资金使用过程中严格按照</w:t>
      </w:r>
      <w:r>
        <w:rPr>
          <w:rFonts w:hint="eastAsia" w:ascii="仿宋_GB2312" w:eastAsia="仿宋_GB2312" w:cs="仿宋_GB2312"/>
          <w:sz w:val="32"/>
          <w:szCs w:val="32"/>
        </w:rPr>
        <w:t>单位财务管理制度要求执行，提高资金使用的合规性。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napToGrid w:val="0"/>
        <w:spacing w:line="360" w:lineRule="auto"/>
        <w:ind w:left="0" w:firstLine="640" w:firstLineChars="200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4.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资产管理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spacing w:line="360" w:lineRule="auto"/>
        <w:ind w:firstLine="640" w:firstLineChars="200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人均资产变化率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=(期末人均资产-期初人均资产)/期初人均资产*100%。均符合相关规定，低于规定值。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pacing w:line="360" w:lineRule="auto"/>
        <w:ind w:firstLine="640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固定资产在用率。截止</w:t>
      </w:r>
      <w:r>
        <w:rPr>
          <w:rFonts w:ascii="仿宋_GB2312" w:eastAsia="仿宋_GB2312" w:cs="仿宋_GB2312"/>
          <w:sz w:val="32"/>
          <w:szCs w:val="32"/>
        </w:rPr>
        <w:t>202</w:t>
      </w:r>
      <w:r>
        <w:rPr>
          <w:rFonts w:hint="eastAsia" w:asci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t>年</w:t>
      </w:r>
      <w:r>
        <w:rPr>
          <w:rFonts w:ascii="仿宋_GB2312" w:eastAsia="仿宋_GB2312" w:cs="仿宋_GB2312"/>
          <w:sz w:val="32"/>
          <w:szCs w:val="32"/>
        </w:rPr>
        <w:t>12</w:t>
      </w:r>
      <w:r>
        <w:rPr>
          <w:rFonts w:hint="eastAsia" w:ascii="仿宋_GB2312" w:eastAsia="仿宋_GB2312" w:cs="仿宋_GB2312"/>
          <w:sz w:val="32"/>
          <w:szCs w:val="32"/>
        </w:rPr>
        <w:t>月</w:t>
      </w:r>
      <w:r>
        <w:rPr>
          <w:rFonts w:ascii="仿宋_GB2312" w:eastAsia="仿宋_GB2312" w:cs="仿宋_GB2312"/>
          <w:sz w:val="32"/>
          <w:szCs w:val="32"/>
        </w:rPr>
        <w:t>31</w:t>
      </w:r>
      <w:r>
        <w:rPr>
          <w:rFonts w:hint="eastAsia" w:ascii="仿宋_GB2312" w:eastAsia="仿宋_GB2312" w:cs="仿宋_GB2312"/>
          <w:sz w:val="32"/>
          <w:szCs w:val="32"/>
        </w:rPr>
        <w:t>日，固定资产总计</w:t>
      </w:r>
      <w:r>
        <w:rPr>
          <w:rFonts w:hint="eastAsia" w:ascii="仿宋_GB2312" w:cs="仿宋_GB2312"/>
          <w:sz w:val="32"/>
          <w:szCs w:val="32"/>
          <w:lang w:val="en-US" w:eastAsia="zh-CN"/>
        </w:rPr>
        <w:t>173.19</w:t>
      </w:r>
      <w:r>
        <w:rPr>
          <w:rFonts w:hint="eastAsia" w:ascii="仿宋_GB2312" w:eastAsia="仿宋_GB2312" w:cs="仿宋_GB2312"/>
          <w:sz w:val="32"/>
          <w:szCs w:val="32"/>
        </w:rPr>
        <w:t>万元，在用的固定资产总计</w:t>
      </w:r>
      <w:r>
        <w:rPr>
          <w:rFonts w:hint="eastAsia" w:ascii="仿宋_GB2312" w:cs="仿宋_GB2312"/>
          <w:sz w:val="32"/>
          <w:szCs w:val="32"/>
          <w:lang w:val="en-US" w:eastAsia="zh-CN"/>
        </w:rPr>
        <w:t>173.19</w:t>
      </w:r>
      <w:r>
        <w:rPr>
          <w:rFonts w:hint="eastAsia" w:ascii="仿宋_GB2312" w:eastAsia="仿宋_GB2312" w:cs="仿宋_GB2312"/>
          <w:sz w:val="32"/>
          <w:szCs w:val="32"/>
        </w:rPr>
        <w:t>万元，固定资产在用率达</w:t>
      </w:r>
      <w:r>
        <w:rPr>
          <w:rFonts w:ascii="仿宋_GB2312" w:eastAsia="仿宋_GB2312" w:cs="仿宋_GB2312"/>
          <w:sz w:val="32"/>
          <w:szCs w:val="32"/>
        </w:rPr>
        <w:t>100%</w:t>
      </w:r>
      <w:r>
        <w:rPr>
          <w:rFonts w:hint="eastAsia" w:ascii="仿宋_GB2312" w:eastAsia="仿宋_GB2312" w:cs="仿宋_GB2312"/>
          <w:sz w:val="32"/>
          <w:szCs w:val="32"/>
        </w:rPr>
        <w:t>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pacing w:line="360" w:lineRule="auto"/>
        <w:ind w:firstLine="640" w:firstLineChars="200"/>
        <w:rPr>
          <w:rFonts w:hint="eastAsia" w:ascii="仿宋_GB2312" w:cs="仿宋_GB2312"/>
          <w:sz w:val="32"/>
          <w:szCs w:val="32"/>
          <w:lang w:val="en-US" w:eastAsia="zh-CN"/>
        </w:rPr>
      </w:pPr>
      <w:r>
        <w:rPr>
          <w:rFonts w:hint="eastAsia" w:ascii="仿宋_GB2312" w:cs="仿宋_GB2312"/>
          <w:sz w:val="32"/>
          <w:szCs w:val="32"/>
          <w:lang w:eastAsia="zh-CN"/>
        </w:rPr>
        <w:t>资产盘活率。资产闲置</w:t>
      </w:r>
      <w:r>
        <w:rPr>
          <w:rFonts w:hint="eastAsia" w:ascii="仿宋_GB2312" w:cs="仿宋_GB2312"/>
          <w:sz w:val="32"/>
          <w:szCs w:val="32"/>
          <w:lang w:val="en-US" w:eastAsia="zh-CN"/>
        </w:rPr>
        <w:t>0万元，</w:t>
      </w:r>
      <w:r>
        <w:rPr>
          <w:rFonts w:hint="eastAsia" w:ascii="仿宋_GB2312" w:cs="仿宋_GB2312"/>
          <w:sz w:val="32"/>
          <w:szCs w:val="32"/>
          <w:lang w:eastAsia="zh-CN"/>
        </w:rPr>
        <w:t>资产盘活率达</w:t>
      </w:r>
      <w:r>
        <w:rPr>
          <w:rFonts w:hint="eastAsia" w:ascii="仿宋_GB2312" w:cs="仿宋_GB2312"/>
          <w:sz w:val="32"/>
          <w:szCs w:val="32"/>
          <w:lang w:val="en-US" w:eastAsia="zh-CN"/>
        </w:rPr>
        <w:t>100%。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5.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采购管理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spacing w:line="360" w:lineRule="auto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采购执行率</w:t>
      </w:r>
      <w:r>
        <w:rPr>
          <w:rFonts w:hint="eastAsia" w:asci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 w:cs="仿宋_GB2312"/>
          <w:sz w:val="32"/>
          <w:szCs w:val="32"/>
        </w:rPr>
        <w:t>采购</w:t>
      </w:r>
      <w:r>
        <w:rPr>
          <w:rFonts w:hint="eastAsia" w:ascii="仿宋_GB2312" w:cs="仿宋_GB2312"/>
          <w:sz w:val="32"/>
          <w:szCs w:val="32"/>
          <w:lang w:eastAsia="zh-CN"/>
        </w:rPr>
        <w:t>执行</w:t>
      </w:r>
      <w:r>
        <w:rPr>
          <w:rFonts w:hint="eastAsia" w:ascii="仿宋_GB2312" w:eastAsia="仿宋_GB2312" w:cs="仿宋_GB2312"/>
          <w:sz w:val="32"/>
          <w:szCs w:val="32"/>
        </w:rPr>
        <w:t>规范性</w:t>
      </w:r>
      <w:r>
        <w:rPr>
          <w:rFonts w:hint="eastAsia" w:ascii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cs="仿宋_GB2312"/>
          <w:sz w:val="32"/>
          <w:szCs w:val="32"/>
          <w:lang w:val="en-US" w:eastAsia="zh-CN"/>
        </w:rPr>
        <w:t>2024年</w:t>
      </w:r>
      <w:r>
        <w:rPr>
          <w:rFonts w:hint="eastAsia" w:ascii="仿宋_GB2312" w:eastAsia="仿宋_GB2312" w:cs="仿宋_GB2312"/>
          <w:sz w:val="32"/>
          <w:szCs w:val="32"/>
        </w:rPr>
        <w:t>年度政府采购货物</w:t>
      </w:r>
      <w:r>
        <w:rPr>
          <w:rFonts w:hint="eastAsia" w:ascii="仿宋_GB2312" w:cs="仿宋_GB2312"/>
          <w:sz w:val="32"/>
          <w:szCs w:val="32"/>
          <w:lang w:eastAsia="zh-CN"/>
        </w:rPr>
        <w:t>计划</w:t>
      </w:r>
      <w:r>
        <w:rPr>
          <w:rFonts w:hint="eastAsia" w:ascii="仿宋_GB2312" w:cs="仿宋_GB2312"/>
          <w:sz w:val="32"/>
          <w:szCs w:val="32"/>
          <w:lang w:val="en-US" w:eastAsia="zh-CN"/>
        </w:rPr>
        <w:t>10.62万元，</w:t>
      </w:r>
      <w:r>
        <w:rPr>
          <w:rFonts w:hint="eastAsia" w:ascii="仿宋_GB2312" w:eastAsia="仿宋_GB2312" w:cs="仿宋_GB2312"/>
          <w:sz w:val="32"/>
          <w:szCs w:val="32"/>
        </w:rPr>
        <w:t>支出</w:t>
      </w:r>
      <w:r>
        <w:rPr>
          <w:rFonts w:hint="eastAsia" w:ascii="仿宋_GB2312" w:cs="仿宋_GB2312"/>
          <w:sz w:val="32"/>
          <w:szCs w:val="32"/>
          <w:lang w:val="en-US" w:eastAsia="zh-CN"/>
        </w:rPr>
        <w:t>10.62</w:t>
      </w:r>
      <w:r>
        <w:rPr>
          <w:rFonts w:hint="eastAsia" w:ascii="仿宋_GB2312" w:eastAsia="仿宋_GB2312" w:cs="仿宋_GB2312"/>
          <w:sz w:val="32"/>
          <w:szCs w:val="32"/>
        </w:rPr>
        <w:t>万元，政府采购</w:t>
      </w:r>
      <w:r>
        <w:rPr>
          <w:rFonts w:hint="eastAsia" w:ascii="仿宋_GB2312" w:cs="仿宋_GB2312"/>
          <w:sz w:val="32"/>
          <w:szCs w:val="32"/>
          <w:lang w:val="en-US" w:eastAsia="zh-CN"/>
        </w:rPr>
        <w:t>货物</w:t>
      </w:r>
      <w:r>
        <w:rPr>
          <w:rFonts w:hint="eastAsia" w:ascii="仿宋_GB2312" w:eastAsia="仿宋_GB2312" w:cs="仿宋_GB2312"/>
          <w:sz w:val="32"/>
          <w:szCs w:val="32"/>
        </w:rPr>
        <w:t>支出</w:t>
      </w:r>
      <w:r>
        <w:rPr>
          <w:rFonts w:hint="eastAsia" w:ascii="仿宋_GB2312" w:cs="仿宋_GB2312"/>
          <w:sz w:val="32"/>
          <w:szCs w:val="32"/>
          <w:lang w:val="en-US" w:eastAsia="zh-CN"/>
        </w:rPr>
        <w:t>10.62万元</w:t>
      </w:r>
      <w:r>
        <w:rPr>
          <w:rFonts w:hint="eastAsia" w:ascii="仿宋_GB2312" w:eastAsia="仿宋_GB2312" w:cs="仿宋_GB2312"/>
          <w:sz w:val="32"/>
          <w:szCs w:val="32"/>
        </w:rPr>
        <w:t>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/>
          <w:lang w:val="zh-CN"/>
        </w:rPr>
      </w:pPr>
      <w:r>
        <w:rPr>
          <w:rFonts w:hint="eastAsia" w:ascii="仿宋_GB2312" w:eastAsia="仿宋_GB2312" w:cs="仿宋_GB2312"/>
          <w:sz w:val="32"/>
          <w:szCs w:val="32"/>
        </w:rPr>
        <w:t>支持中小企业发展</w:t>
      </w:r>
      <w:r>
        <w:rPr>
          <w:rFonts w:hint="eastAsia" w:asci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 w:cs="仿宋_GB2312"/>
          <w:sz w:val="32"/>
          <w:szCs w:val="32"/>
        </w:rPr>
        <w:t>政府采购授予中小企业合同金额</w:t>
      </w:r>
      <w:r>
        <w:rPr>
          <w:rFonts w:hint="eastAsia" w:ascii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万元，其中：授予小微企业合同金额</w:t>
      </w:r>
      <w:r>
        <w:rPr>
          <w:rFonts w:ascii="仿宋_GB2312" w:eastAsia="仿宋_GB2312" w:cs="仿宋_GB2312"/>
          <w:sz w:val="32"/>
          <w:szCs w:val="32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万元。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（二）部门预算项目绩效分析。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常年项目绩效分析。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该类项目总数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31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个，涉及预算总金额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  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926.96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万元，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—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月预算执行总体进度为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%，其中：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预算结余率大于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10%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的项目共计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阶段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（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一次性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）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项目绩效分析。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该类项目总数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个，涉及预算总金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万元，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—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月预算执行总体进度为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%，其中：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预算结余率大于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10%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的项目共计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个。</w:t>
      </w:r>
    </w:p>
    <w:p>
      <w:pPr>
        <w:snapToGrid w:val="0"/>
        <w:spacing w:line="360" w:lineRule="auto"/>
        <w:ind w:left="0" w:firstLine="640" w:firstLineChars="200"/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项目决策。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决策程序</w:t>
      </w:r>
      <w:r>
        <w:rPr>
          <w:rFonts w:hint="eastAsia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;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我乡从项目立项必要性、投入经济性、目标合理性、实施可行性、筹资合规性。</w:t>
      </w:r>
      <w:r>
        <w:rPr>
          <w:rFonts w:hint="eastAsia" w:ascii="仿宋_GB2312" w:eastAsia="仿宋_GB2312"/>
        </w:rPr>
        <w:t>按照厉行节约的要求，结合项目开支情况结合实际需求、相关费用标准及市场价格水平，重点对</w:t>
      </w:r>
      <w:r>
        <w:rPr>
          <w:rFonts w:hint="eastAsia" w:ascii="仿宋_GB2312"/>
          <w:lang w:eastAsia="zh-CN"/>
        </w:rPr>
        <w:t>目标</w:t>
      </w:r>
      <w:r>
        <w:rPr>
          <w:rFonts w:hint="eastAsia" w:ascii="仿宋_GB2312" w:eastAsia="仿宋_GB2312"/>
        </w:rPr>
        <w:t>数量是否合理、投入是否经济、预算测算是否准确、测算过程是否详细、测算依据是否充分等方面进行了</w:t>
      </w:r>
      <w:r>
        <w:rPr>
          <w:rFonts w:hint="eastAsia" w:ascii="仿宋_GB2312"/>
          <w:lang w:eastAsia="zh-CN"/>
        </w:rPr>
        <w:t>分析</w:t>
      </w:r>
      <w:r>
        <w:rPr>
          <w:rFonts w:hint="eastAsia" w:ascii="仿宋_GB2312" w:eastAsia="仿宋_GB2312"/>
        </w:rPr>
        <w:t>。</w:t>
      </w:r>
      <w:r>
        <w:rPr>
          <w:rFonts w:hint="eastAsia" w:ascii="仿宋_GB2312" w:cs="仿宋"/>
          <w:sz w:val="32"/>
          <w:szCs w:val="32"/>
          <w:lang w:val="zh-CN" w:eastAsia="zh-CN" w:bidi="ar-SA"/>
        </w:rPr>
        <w:t>确定项目实施。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eastAsia="仿宋_GB2312"/>
          <w:lang w:eastAsia="zh-CN"/>
        </w:rPr>
      </w:pPr>
      <w:r>
        <w:rPr>
          <w:rFonts w:hint="eastAsia" w:ascii="仿宋_GB2312" w:eastAsia="仿宋_GB2312"/>
        </w:rPr>
        <w:t>项目入库</w:t>
      </w:r>
      <w:r>
        <w:rPr>
          <w:rFonts w:hint="eastAsia" w:ascii="仿宋_GB2312"/>
          <w:lang w:eastAsia="zh-CN"/>
        </w:rPr>
        <w:t>；我乡按照项目建设要求在规定时间完成项目入库。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zh-CN" w:eastAsia="zh-CN"/>
        </w:rPr>
      </w:pPr>
      <w:r>
        <w:rPr>
          <w:rFonts w:hint="eastAsia" w:ascii="仿宋_GB2312" w:eastAsia="仿宋_GB2312"/>
          <w:lang w:val="zh-CN" w:eastAsia="zh-CN"/>
        </w:rPr>
        <w:t>目标设置</w:t>
      </w:r>
      <w:r>
        <w:rPr>
          <w:rFonts w:hint="eastAsia" w:ascii="仿宋_GB2312" w:eastAsia="仿宋_GB2312"/>
          <w:lang w:val="en-US" w:eastAsia="zh-CN"/>
        </w:rPr>
        <w:t>:</w:t>
      </w:r>
      <w:r>
        <w:rPr>
          <w:rFonts w:hint="eastAsia" w:ascii="仿宋_GB2312" w:eastAsia="仿宋_GB2312"/>
          <w:lang w:val="zh-CN" w:eastAsia="zh-CN"/>
        </w:rPr>
        <w:t>申报的</w:t>
      </w:r>
      <w:r>
        <w:rPr>
          <w:rFonts w:hint="eastAsia" w:ascii="仿宋_GB2312" w:eastAsia="仿宋_GB2312"/>
        </w:rPr>
        <w:t>资金项目内容</w:t>
      </w:r>
      <w:r>
        <w:rPr>
          <w:rFonts w:hint="eastAsia" w:ascii="仿宋_GB2312" w:eastAsia="仿宋_GB2312"/>
          <w:lang w:val="zh-CN" w:eastAsia="zh-CN"/>
        </w:rPr>
        <w:t>与具体实施内容相符的、申报目标是合理可行。指标分值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分，自评得分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分。</w:t>
      </w:r>
      <w:r>
        <w:rPr>
          <w:rFonts w:hint="eastAsia" w:ascii="仿宋_GB2312" w:eastAsia="仿宋_GB2312"/>
          <w:lang w:val="en-US" w:eastAsia="zh-CN"/>
        </w:rPr>
        <w:t>项目调整：按照县委资金分配，设立项目，未调整。</w:t>
      </w:r>
      <w:r>
        <w:rPr>
          <w:rFonts w:hint="eastAsia" w:ascii="仿宋_GB2312" w:eastAsia="仿宋_GB2312"/>
          <w:lang w:val="zh-CN" w:eastAsia="zh-CN"/>
        </w:rPr>
        <w:t>指标分值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分，自评得分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en-US" w:eastAsia="zh-CN"/>
        </w:rPr>
      </w:pPr>
      <w:r>
        <w:rPr>
          <w:rFonts w:hint="eastAsia" w:ascii="仿宋_GB2312" w:eastAsia="仿宋_GB2312"/>
          <w:lang w:val="en-US" w:eastAsia="zh-CN"/>
        </w:rPr>
        <w:t>执行结果：资金开支范围、标准及支付进度，支付依据合规合法，资金支付与预算相符。</w:t>
      </w:r>
      <w:r>
        <w:rPr>
          <w:rFonts w:hint="eastAsia" w:ascii="仿宋_GB2312" w:eastAsia="仿宋_GB2312"/>
          <w:lang w:val="zh-CN" w:eastAsia="zh-CN"/>
        </w:rPr>
        <w:t>指标分值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分，自评得分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分。</w:t>
      </w:r>
    </w:p>
    <w:p>
      <w:pPr>
        <w:ind w:left="0" w:firstLine="640" w:firstLineChars="200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2.项目执行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zh-CN" w:eastAsia="zh-CN"/>
        </w:rPr>
      </w:pPr>
      <w:r>
        <w:rPr>
          <w:rFonts w:hint="eastAsia" w:ascii="仿宋_GB2312" w:eastAsia="仿宋_GB2312"/>
          <w:lang w:val="en-US" w:eastAsia="zh-CN"/>
        </w:rPr>
        <w:t>执行同向：各项目实际列支内容是否与绩效目标设置方向相符。项目组织管理架构及具体实施流程，包括机构设置、监管措施、执行相关管理制度等符合相关规定。</w:t>
      </w:r>
      <w:r>
        <w:rPr>
          <w:rFonts w:hint="eastAsia" w:ascii="仿宋_GB2312" w:eastAsia="仿宋_GB2312"/>
          <w:lang w:val="zh-CN" w:eastAsia="zh-CN"/>
        </w:rPr>
        <w:t>指标分值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分，自评得分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zh-CN" w:eastAsia="zh-CN"/>
        </w:rPr>
      </w:pPr>
      <w:r>
        <w:rPr>
          <w:rFonts w:hint="eastAsia" w:ascii="仿宋_GB2312" w:eastAsia="仿宋_GB2312"/>
          <w:lang w:val="en-US" w:eastAsia="zh-CN"/>
        </w:rPr>
        <w:t>项目调整：按照县委资金分配，设立项目，未调整。</w:t>
      </w:r>
      <w:r>
        <w:rPr>
          <w:rFonts w:hint="eastAsia" w:ascii="仿宋_GB2312" w:eastAsia="仿宋_GB2312"/>
          <w:lang w:val="zh-CN" w:eastAsia="zh-CN"/>
        </w:rPr>
        <w:t>指标分值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分，自评得分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en-US" w:eastAsia="zh-CN"/>
        </w:rPr>
      </w:pPr>
      <w:r>
        <w:rPr>
          <w:rFonts w:hint="eastAsia" w:ascii="仿宋_GB2312" w:eastAsia="仿宋_GB2312"/>
          <w:lang w:val="en-US" w:eastAsia="zh-CN"/>
        </w:rPr>
        <w:t>执行结果：资金开支范围、标准及支付进度，支付依据合规合法，资金支付与预算相符。</w:t>
      </w:r>
      <w:r>
        <w:rPr>
          <w:rFonts w:hint="eastAsia" w:ascii="仿宋_GB2312" w:eastAsia="仿宋_GB2312"/>
          <w:lang w:val="zh-CN" w:eastAsia="zh-CN"/>
        </w:rPr>
        <w:t>指标分值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分，自评得分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640" w:leftChars="200"/>
        <w:contextualSpacing/>
        <w:jc w:val="left"/>
        <w:textAlignment w:val="auto"/>
        <w:outlineLvl w:val="9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目标实现。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11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11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zh-CN" w:eastAsia="zh-CN"/>
        </w:rPr>
      </w:pPr>
      <w:r>
        <w:rPr>
          <w:rFonts w:hint="eastAsia" w:ascii="仿宋_GB2312" w:eastAsia="仿宋_GB2312"/>
          <w:lang w:val="zh-CN" w:eastAsia="zh-CN"/>
        </w:rPr>
        <w:t>目标完成：项目从经济、社会、生态、可持续效益以及服务对象满意度等方面科学制定目标任务。截止</w:t>
      </w:r>
      <w:r>
        <w:rPr>
          <w:rFonts w:hint="eastAsia" w:ascii="仿宋_GB2312" w:eastAsia="仿宋_GB2312"/>
          <w:lang w:val="en-US" w:eastAsia="zh-CN"/>
        </w:rPr>
        <w:t>2023年年底</w:t>
      </w:r>
      <w:r>
        <w:rPr>
          <w:rFonts w:hint="eastAsia" w:ascii="仿宋_GB2312" w:eastAsia="仿宋_GB2312"/>
          <w:lang w:val="zh-CN" w:eastAsia="zh-CN"/>
        </w:rPr>
        <w:t>项目按照目标任务完成数量、质量、时效、成本等计划完成目标。指标分值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分，自评得分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zh-CN" w:eastAsia="zh-CN"/>
        </w:rPr>
      </w:pPr>
      <w:r>
        <w:rPr>
          <w:rFonts w:hint="eastAsia" w:ascii="仿宋_GB2312" w:eastAsia="仿宋_GB2312"/>
          <w:lang w:val="zh-CN" w:eastAsia="zh-CN"/>
        </w:rPr>
        <w:t>目标偏离：预算项目绩效目标数量指标实现程度与预期目标的无偏离情况。各项目实际工作中达到预期的目标或标准，与设定的绩效目标之间不存在差异。指标分值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分，自评得分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_GB2312" w:eastAsia="仿宋_GB2312"/>
          <w:lang w:val="zh-CN" w:eastAsia="zh-CN"/>
        </w:rPr>
        <w:t>实现效果：加快构建全方位、全过程、全覆盖预算绩效管理体系，财政资源配置效率和资金使用效益实现“双提升”。指标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ascii="Times New Roman" w:hAnsi="Times New Roman" w:eastAsia="楷体_GB2312" w:cs="Times New Roman"/>
          <w:color w:val="333333"/>
          <w:sz w:val="32"/>
          <w:szCs w:val="32"/>
          <w:highlight w:val="none"/>
          <w:u w:val="none"/>
          <w:shd w:val="clear" w:color="auto" w:fill="auto"/>
        </w:rPr>
      </w:pPr>
      <w:r>
        <w:rPr>
          <w:rFonts w:hint="eastAsia" w:cs="Times New Roman"/>
          <w:sz w:val="32"/>
          <w:szCs w:val="32"/>
          <w:u w:val="none"/>
          <w:lang w:eastAsia="zh-CN"/>
        </w:rPr>
        <w:t>我单位不涉及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2023年度</w:t>
      </w:r>
      <w:r>
        <w:rPr>
          <w:rFonts w:ascii="Times New Roman" w:hAnsi="Times New Roman" w:eastAsia="仿宋_GB2312" w:cs="Times New Roman"/>
          <w:sz w:val="32"/>
          <w:szCs w:val="32"/>
          <w:u w:val="none"/>
        </w:rPr>
        <w:t>若涉及国有资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u w:val="none"/>
        </w:rPr>
        <w:t>本经营预算、社会保险基金预算。</w:t>
      </w:r>
    </w:p>
    <w:p>
      <w:pPr>
        <w:numPr>
          <w:ilvl w:val="0"/>
          <w:numId w:val="2"/>
        </w:numPr>
        <w:snapToGrid w:val="0"/>
        <w:spacing w:line="360" w:lineRule="auto"/>
        <w:ind w:left="0" w:leftChars="0" w:firstLine="642" w:firstLineChars="200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重点领域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。</w:t>
      </w:r>
    </w:p>
    <w:p>
      <w:pPr>
        <w:numPr>
          <w:ilvl w:val="0"/>
          <w:numId w:val="0"/>
        </w:numPr>
        <w:tabs>
          <w:tab w:val="left" w:pos="0"/>
        </w:tabs>
        <w:snapToGrid w:val="0"/>
        <w:spacing w:line="360" w:lineRule="auto"/>
        <w:ind w:leftChars="200"/>
        <w:rPr>
          <w:rFonts w:hint="eastAsia" w:ascii="仿宋_GB2312" w:eastAsia="仿宋_GB2312"/>
          <w:lang w:val="en-US" w:eastAsia="zh-CN"/>
        </w:rPr>
      </w:pPr>
      <w:r>
        <w:rPr>
          <w:rFonts w:hint="eastAsia" w:ascii="仿宋_GB2312" w:eastAsia="仿宋_GB2312"/>
          <w:lang w:val="en-US" w:eastAsia="zh-CN"/>
        </w:rPr>
        <w:t>我单位不涉及2023年度若涉及国有资本经营预算、社会保</w:t>
      </w:r>
    </w:p>
    <w:p>
      <w:pPr>
        <w:numPr>
          <w:ilvl w:val="0"/>
          <w:numId w:val="0"/>
        </w:numPr>
        <w:tabs>
          <w:tab w:val="left" w:pos="0"/>
        </w:tabs>
        <w:snapToGrid w:val="0"/>
        <w:spacing w:line="360" w:lineRule="auto"/>
        <w:rPr>
          <w:rFonts w:hint="eastAsia" w:ascii="仿宋_GB2312" w:eastAsia="仿宋_GB2312"/>
          <w:lang w:val="en-US" w:eastAsia="zh-CN"/>
        </w:rPr>
      </w:pPr>
      <w:r>
        <w:rPr>
          <w:rFonts w:hint="eastAsia" w:ascii="仿宋_GB2312" w:eastAsia="仿宋_GB2312"/>
          <w:lang w:val="en-US" w:eastAsia="zh-CN"/>
        </w:rPr>
        <w:t>险基金预算。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en-US" w:eastAsia="zh-CN"/>
        </w:rPr>
      </w:pPr>
      <w:r>
        <w:rPr>
          <w:rFonts w:hint="eastAsia" w:ascii="仿宋_GB2312" w:eastAsia="仿宋_GB2312"/>
          <w:lang w:val="en-US" w:eastAsia="zh-CN"/>
        </w:rPr>
        <w:t>截止202</w:t>
      </w:r>
      <w:r>
        <w:rPr>
          <w:rFonts w:hint="eastAsia" w:ascii="仿宋_GB2312"/>
          <w:lang w:val="en-US" w:eastAsia="zh-CN"/>
        </w:rPr>
        <w:t>4</w:t>
      </w:r>
      <w:r>
        <w:rPr>
          <w:rFonts w:hint="eastAsia" w:ascii="仿宋_GB2312" w:eastAsia="仿宋_GB2312"/>
          <w:lang w:val="en-US" w:eastAsia="zh-CN"/>
        </w:rPr>
        <w:t>年12月31日，固定资产总计</w:t>
      </w:r>
      <w:r>
        <w:rPr>
          <w:rFonts w:hint="eastAsia" w:ascii="仿宋_GB2312"/>
          <w:lang w:val="en-US" w:eastAsia="zh-CN"/>
        </w:rPr>
        <w:t>173.9</w:t>
      </w:r>
      <w:r>
        <w:rPr>
          <w:rFonts w:hint="eastAsia" w:ascii="仿宋_GB2312" w:eastAsia="仿宋_GB2312"/>
          <w:lang w:val="en-US" w:eastAsia="zh-CN"/>
        </w:rPr>
        <w:t>万元，在用的固定资产总计</w:t>
      </w:r>
      <w:r>
        <w:rPr>
          <w:rFonts w:hint="eastAsia" w:ascii="仿宋_GB2312"/>
          <w:lang w:val="en-US" w:eastAsia="zh-CN"/>
        </w:rPr>
        <w:t>173.9</w:t>
      </w:r>
      <w:r>
        <w:rPr>
          <w:rFonts w:hint="eastAsia" w:ascii="仿宋_GB2312" w:eastAsia="仿宋_GB2312"/>
          <w:lang w:val="en-US" w:eastAsia="zh-CN"/>
        </w:rPr>
        <w:t>万元，固定资产在用率达100%。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en-US" w:eastAsia="zh-CN"/>
        </w:rPr>
      </w:pPr>
      <w:r>
        <w:rPr>
          <w:rFonts w:hint="eastAsia" w:ascii="仿宋_GB2312" w:eastAsia="仿宋_GB2312"/>
          <w:lang w:val="en-US" w:eastAsia="zh-CN"/>
        </w:rPr>
        <w:t>2023年年度政府采购货物支出</w:t>
      </w:r>
      <w:r>
        <w:rPr>
          <w:rFonts w:hint="eastAsia" w:ascii="仿宋_GB2312"/>
          <w:lang w:val="en-US" w:eastAsia="zh-CN"/>
        </w:rPr>
        <w:t>10.62</w:t>
      </w:r>
      <w:r>
        <w:rPr>
          <w:rFonts w:hint="eastAsia" w:ascii="仿宋_GB2312" w:eastAsia="仿宋_GB2312"/>
          <w:lang w:val="en-US" w:eastAsia="zh-CN"/>
        </w:rPr>
        <w:t>万元，政府采购</w:t>
      </w:r>
      <w:r>
        <w:rPr>
          <w:rFonts w:hint="eastAsia" w:ascii="仿宋_GB2312"/>
          <w:lang w:val="en-US" w:eastAsia="zh-CN"/>
        </w:rPr>
        <w:t>货物</w:t>
      </w:r>
      <w:r>
        <w:rPr>
          <w:rFonts w:hint="eastAsia" w:ascii="仿宋_GB2312" w:eastAsia="仿宋_GB2312"/>
          <w:lang w:val="en-US" w:eastAsia="zh-CN"/>
        </w:rPr>
        <w:t>支出</w:t>
      </w:r>
      <w:r>
        <w:rPr>
          <w:rFonts w:hint="eastAsia" w:ascii="仿宋_GB2312"/>
          <w:lang w:val="en-US" w:eastAsia="zh-CN"/>
        </w:rPr>
        <w:t>10.62</w:t>
      </w:r>
      <w:r>
        <w:rPr>
          <w:rFonts w:hint="eastAsia" w:ascii="仿宋_GB2312" w:eastAsia="仿宋_GB2312"/>
          <w:lang w:val="en-US" w:eastAsia="zh-CN"/>
        </w:rPr>
        <w:t>万元。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en-US" w:eastAsia="zh-CN"/>
        </w:rPr>
      </w:pPr>
      <w:r>
        <w:rPr>
          <w:rFonts w:hint="eastAsia" w:ascii="仿宋_GB2312" w:eastAsia="仿宋_GB2312"/>
          <w:lang w:val="en-US" w:eastAsia="zh-CN"/>
        </w:rPr>
        <w:t>政府采购授予中小企业合同金额</w:t>
      </w:r>
      <w:r>
        <w:rPr>
          <w:rFonts w:hint="eastAsia" w:ascii="仿宋_GB2312"/>
          <w:lang w:val="en-US" w:eastAsia="zh-CN"/>
        </w:rPr>
        <w:t>0</w:t>
      </w:r>
      <w:r>
        <w:rPr>
          <w:rFonts w:hint="eastAsia" w:ascii="仿宋_GB2312" w:eastAsia="仿宋_GB2312"/>
          <w:lang w:val="en-US" w:eastAsia="zh-CN"/>
        </w:rPr>
        <w:t>万元，其中：授予小微企业合同金额0万元。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left="0" w:firstLine="642" w:firstLineChars="200"/>
        <w:textAlignment w:val="auto"/>
        <w:rPr>
          <w:rFonts w:hint="eastAsia" w:ascii="Times New Roman" w:hAnsi="Times New Roman" w:eastAsia="楷体_GB2312" w:cs="Times New Roman"/>
          <w:b/>
          <w:bCs/>
          <w:szCs w:val="32"/>
          <w:lang w:val="zh-CN"/>
        </w:rPr>
      </w:pPr>
      <w:r>
        <w:rPr>
          <w:rFonts w:ascii="Times New Roman" w:hAnsi="Times New Roman" w:eastAsia="楷体_GB2312" w:cs="Times New Roman"/>
          <w:b/>
          <w:bCs/>
          <w:szCs w:val="32"/>
          <w:lang w:val="zh-CN"/>
        </w:rPr>
        <w:t>绩效结果应用情况</w:t>
      </w:r>
      <w:r>
        <w:rPr>
          <w:rFonts w:hint="eastAsia" w:ascii="Times New Roman" w:hAnsi="Times New Roman" w:eastAsia="楷体_GB2312" w:cs="Times New Roman"/>
          <w:b/>
          <w:bCs/>
          <w:szCs w:val="32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我单位单位于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2024年3月16日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在黑水县人民政府信息公开网站上公开了《</w:t>
      </w:r>
      <w:r>
        <w:rPr>
          <w:rFonts w:hint="eastAsia" w:ascii="Times New Roman" w:hAnsi="Times New Roman" w:cs="Times New Roman"/>
          <w:color w:val="000000"/>
          <w:kern w:val="0"/>
          <w:szCs w:val="32"/>
          <w:shd w:val="clear" w:color="auto" w:fill="FFFFFF"/>
          <w:lang w:val="zh-CN" w:eastAsia="zh-CN"/>
        </w:rPr>
        <w:t>龙坝乡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人民202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年预算编制说明》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月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日在黑水县人民政府信息公开网站上公开了《202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年度</w:t>
      </w:r>
      <w:r>
        <w:rPr>
          <w:rFonts w:hint="eastAsia" w:ascii="Times New Roman" w:hAnsi="Times New Roman" w:cs="Times New Roman"/>
          <w:color w:val="000000"/>
          <w:kern w:val="0"/>
          <w:szCs w:val="32"/>
          <w:shd w:val="clear" w:color="auto" w:fill="FFFFFF"/>
          <w:lang w:val="zh-CN" w:eastAsia="zh-CN"/>
        </w:rPr>
        <w:t>龙坝乡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人民政府部门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预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算编制说明》。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绩效信息公开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/>
          <w:bCs w:val="0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我单位单位于202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月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26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日在黑水县政府信息公开网站上公开了《202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年度</w:t>
      </w:r>
      <w:r>
        <w:rPr>
          <w:rFonts w:hint="eastAsia" w:ascii="Times New Roman" w:hAnsi="Times New Roman" w:cs="Times New Roman"/>
          <w:color w:val="000000"/>
          <w:kern w:val="0"/>
          <w:szCs w:val="32"/>
          <w:shd w:val="clear" w:color="auto" w:fill="FFFFFF"/>
          <w:lang w:val="zh-CN" w:eastAsia="zh-CN"/>
        </w:rPr>
        <w:t>龙坝乡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人民政府部门决算编制说明》，说明中公开了预算绩效管理工作开展情况，并公开了202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年整体支出绩效报告。由于202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年尚未进行决算批复，无法进行公开。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eastAsia="zh-CN"/>
        </w:rPr>
        <w:t>四、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评价结论及建议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（一）评价结论。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202</w:t>
      </w:r>
      <w:r>
        <w:rPr>
          <w:rFonts w:hint="eastAsia" w:asci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4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年，在县委、县政府的坚强领导下，我乡的巩固脱贫攻坚同乡村振兴有效衔接工作、发展生产、综治维稳等各项工作得到平稳推进，并取得较好成效。为全县经济发展、社会稳定做出了自身的贡献。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依据预算绩效评价指标体系，我乡202</w:t>
      </w:r>
      <w:r>
        <w:rPr>
          <w:rFonts w:hint="eastAsia" w:asci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4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年预算项目支出绩效自评得分为9</w:t>
      </w:r>
      <w:r>
        <w:rPr>
          <w:rFonts w:hint="eastAsia" w:asci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8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分。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2" w:firstLineChars="200"/>
        <w:contextualSpacing/>
        <w:jc w:val="left"/>
        <w:textAlignment w:val="auto"/>
        <w:outlineLvl w:val="9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存在问题。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08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bCs w:val="0"/>
          <w:w w:val="95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仿宋_GB2312"/>
          <w:b w:val="0"/>
          <w:bCs w:val="0"/>
          <w:w w:val="95"/>
          <w:kern w:val="0"/>
          <w:position w:val="0"/>
          <w:sz w:val="32"/>
          <w:szCs w:val="32"/>
          <w:highlight w:val="none"/>
          <w:lang w:val="en-US" w:eastAsia="zh-CN" w:bidi="ar-SA"/>
        </w:rPr>
        <w:t>1、内部管理上较为粗糙。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08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bCs w:val="0"/>
          <w:w w:val="95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仿宋_GB2312"/>
          <w:b w:val="0"/>
          <w:bCs w:val="0"/>
          <w:w w:val="95"/>
          <w:kern w:val="0"/>
          <w:position w:val="0"/>
          <w:sz w:val="32"/>
          <w:szCs w:val="32"/>
          <w:highlight w:val="none"/>
          <w:lang w:val="en-US" w:eastAsia="zh-CN" w:bidi="ar-SA"/>
        </w:rPr>
        <w:t>2、预算执行力度不够。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08" w:firstLineChars="200"/>
        <w:contextualSpacing/>
        <w:jc w:val="left"/>
        <w:textAlignment w:val="auto"/>
        <w:outlineLvl w:val="9"/>
        <w:rPr>
          <w:rFonts w:hint="eastAsia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eastAsia="仿宋_GB2312" w:cs="仿宋_GB2312"/>
          <w:b w:val="0"/>
          <w:bCs w:val="0"/>
          <w:w w:val="95"/>
          <w:kern w:val="0"/>
          <w:position w:val="0"/>
          <w:sz w:val="32"/>
          <w:szCs w:val="32"/>
          <w:highlight w:val="none"/>
          <w:lang w:val="en-US" w:eastAsia="zh-CN" w:bidi="ar-SA"/>
        </w:rPr>
        <w:t>3、预算编制的前瞻性不够,导致预算和实际支出存在调整。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（三）改进建议。</w:t>
      </w:r>
      <w:bookmarkStart w:id="1" w:name="_Hlk110546638"/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1、进一步完善和落实相关管理制度，并严格执行。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ascii="Times New Roman" w:hAnsi="Times New Roman" w:eastAsia="黑体" w:cs="Times New Roman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2、细化预算编制工作，加强单位内部机构的预算管理意识，科学规划，提高财政资金使用效率，减少预算资金的调整、结转和结余的情形。</w:t>
      </w:r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 w:firstLineChars="200"/>
        <w:textAlignment w:val="auto"/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附表：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部门整体支出绩效目标完成情况自评表</w:t>
      </w:r>
    </w:p>
    <w:p>
      <w:pPr>
        <w:pStyle w:val="8"/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eastAsia" w:ascii="方正小标宋简体" w:eastAsia="方正小标宋简体" w:cs="方正小标宋简体"/>
          <w:bCs/>
          <w:sz w:val="44"/>
          <w:szCs w:val="44"/>
          <w:lang w:val="en-US" w:eastAsia="zh-CN"/>
        </w:rPr>
      </w:pP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>黑水县龙坝乡人民</w:t>
      </w:r>
      <w:r>
        <w:rPr>
          <w:rFonts w:hint="eastAsia" w:ascii="仿宋_GB2312" w:cs="仿宋_GB2312"/>
          <w:bCs/>
          <w:sz w:val="32"/>
          <w:szCs w:val="32"/>
          <w:lang w:val="en-US" w:eastAsia="zh-CN"/>
        </w:rPr>
        <w:t>政府</w:t>
      </w:r>
    </w:p>
    <w:p>
      <w:pPr>
        <w:pStyle w:val="25"/>
        <w:ind w:left="6012" w:leftChars="985" w:hanging="2860" w:hangingChars="650"/>
        <w:jc w:val="both"/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ascii="方正小标宋简体" w:eastAsia="方正小标宋简体" w:cs="方正小标宋简体"/>
          <w:bCs/>
          <w:sz w:val="44"/>
          <w:szCs w:val="44"/>
          <w:lang w:val="en-US" w:eastAsia="zh-CN"/>
        </w:rPr>
        <w:t xml:space="preserve">             </w:t>
      </w: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>202</w:t>
      </w:r>
      <w:r>
        <w:rPr>
          <w:rFonts w:hint="eastAsia" w:ascii="仿宋_GB2312" w:cs="仿宋_GB2312"/>
          <w:bCs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>年</w:t>
      </w:r>
      <w:r>
        <w:rPr>
          <w:rFonts w:hint="eastAsia" w:ascii="仿宋_GB2312" w:cs="仿宋_GB2312"/>
          <w:bCs/>
          <w:sz w:val="32"/>
          <w:szCs w:val="32"/>
          <w:lang w:val="en-US" w:eastAsia="zh-CN"/>
        </w:rPr>
        <w:t xml:space="preserve"> 8</w:t>
      </w: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>月</w:t>
      </w:r>
      <w:r>
        <w:rPr>
          <w:rFonts w:hint="eastAsia" w:ascii="仿宋_GB2312" w:cs="仿宋_GB2312"/>
          <w:bCs/>
          <w:sz w:val="32"/>
          <w:szCs w:val="32"/>
          <w:lang w:val="en-US" w:eastAsia="zh-CN"/>
        </w:rPr>
        <w:t>28</w:t>
      </w: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eastAsia="黑体" w:cs="黑体"/>
          <w:kern w:val="2"/>
          <w:sz w:val="32"/>
          <w:szCs w:val="24"/>
          <w:highlight w:val="none"/>
          <w:lang w:val="en-US" w:eastAsia="zh-CN" w:bidi="ar-SA"/>
        </w:rPr>
        <w:t>附表</w:t>
      </w:r>
    </w:p>
    <w:tbl>
      <w:tblPr>
        <w:tblStyle w:val="15"/>
        <w:tblW w:w="94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2"/>
        <w:gridCol w:w="1842"/>
        <w:gridCol w:w="396"/>
        <w:gridCol w:w="2825"/>
        <w:gridCol w:w="750"/>
        <w:gridCol w:w="630"/>
        <w:gridCol w:w="465"/>
        <w:gridCol w:w="465"/>
        <w:gridCol w:w="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65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C0C0C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C0C0C0"/>
                <w:kern w:val="0"/>
                <w:sz w:val="20"/>
                <w:szCs w:val="20"/>
                <w:u w:val="none"/>
                <w:lang w:val="en-US" w:eastAsia="zh-CN" w:bidi="ar"/>
              </w:rPr>
              <w:t>报表编号：510000_0013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948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部门整体支出绩效目标表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948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9487" w:type="dxa"/>
            <w:gridSpan w:val="9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金额单位：万元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部门名称</w:t>
            </w:r>
          </w:p>
        </w:tc>
        <w:tc>
          <w:tcPr>
            <w:tcW w:w="57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黑水县龙坝乡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年度部门整体支出预算</w:t>
            </w:r>
          </w:p>
        </w:tc>
        <w:tc>
          <w:tcPr>
            <w:tcW w:w="2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资金总额</w:t>
            </w:r>
          </w:p>
        </w:tc>
        <w:tc>
          <w:tcPr>
            <w:tcW w:w="35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财政拨款</w:t>
            </w:r>
          </w:p>
        </w:tc>
        <w:tc>
          <w:tcPr>
            <w:tcW w:w="22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674.79</w:t>
            </w:r>
          </w:p>
        </w:tc>
        <w:tc>
          <w:tcPr>
            <w:tcW w:w="35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674.79</w:t>
            </w:r>
          </w:p>
        </w:tc>
        <w:tc>
          <w:tcPr>
            <w:tcW w:w="22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5" w:hRule="atLeast"/>
        </w:trPr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年度总体目标</w:t>
            </w:r>
          </w:p>
        </w:tc>
        <w:tc>
          <w:tcPr>
            <w:tcW w:w="802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（一）持续抓好党建工作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（二）抓好意识形态工作职责制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（三）抓好巩固脱贫攻坚与乡村振兴衔接工作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（四）抓好产业发展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（五）持续抓好“三防”工作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（六）狠抓民族团结进步工作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（七）狠抓社会稳定工作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（八）狠抓社会事业发展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（九）狠抓项目落实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年度主要任务</w:t>
            </w:r>
          </w:p>
        </w:tc>
        <w:tc>
          <w:tcPr>
            <w:tcW w:w="2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任务名称</w:t>
            </w:r>
          </w:p>
        </w:tc>
        <w:tc>
          <w:tcPr>
            <w:tcW w:w="57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主要内容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1.基本支出：定额日常公用经费</w:t>
            </w:r>
          </w:p>
        </w:tc>
        <w:tc>
          <w:tcPr>
            <w:tcW w:w="57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办公费400500元、手续费500元、水费5000元、电费3000元、邮电费56000元、差旅费190000元、维修（护）费20000元、培训费10000元、劳务费53000元、公车运行维护费97500元，其他交通费用5000元，共计712500元。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2.基本支出：保障人员经费按时发放缴纳</w:t>
            </w:r>
          </w:p>
        </w:tc>
        <w:tc>
          <w:tcPr>
            <w:tcW w:w="57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保障在职人员31人工资、保险按时发放缴纳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3.项目支出：村干部工资，村干部体检费</w:t>
            </w:r>
          </w:p>
        </w:tc>
        <w:tc>
          <w:tcPr>
            <w:tcW w:w="57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全乡4个村村干部29共人，1-12月工资保险、体检费共计974160元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4.项目支出：村级公共运行维护费</w:t>
            </w:r>
          </w:p>
        </w:tc>
        <w:tc>
          <w:tcPr>
            <w:tcW w:w="57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4个村日常办公费80000元，维修维护费200000元，共计280000元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年度绩效指标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绩效指标性质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绩效指标值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绩效度量单位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实际完成指标值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3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保障村干部工资保险按时发放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保障职工工资、保险按时发放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瓜苏村甜樱桃基地产业基础设施建设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开展村级公共运行维护（村组道堡坎维修、活动室维修改造等）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开展环境卫生整治工作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开展森林草原防灭火等安全隐患排查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在外流动党支部开展宣讲、慰问活动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保障重点项目完工率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保障经费按时发放，任务按时完成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提升职工工作效率、营造良好工作环境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pStyle w:val="14"/>
        <w:ind w:left="0" w:leftChars="0" w:firstLine="0" w:firstLineChars="0"/>
        <w:rPr>
          <w:rFonts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B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Luxi Sans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48030" cy="52768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7724" cy="527908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ind w:right="451" w:rightChars="141"/>
                            <w:jc w:val="right"/>
                            <w:rPr>
                              <w:rFonts w:hint="eastAsia" w:asci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t xml:space="preserve"> 3 -</w: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/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41.55pt;width:58.9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ind w:right="451" w:rightChars="141"/>
                      <w:jc w:val="right"/>
                      <w:rPr>
                        <w:rFonts w:hint="eastAsia" w:ascii="宋体"/>
                        <w:sz w:val="28"/>
                        <w:szCs w:val="28"/>
                      </w:rPr>
                    </w:pPr>
                    <w:r>
                      <w:rPr>
                        <w:rFonts w:asci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t xml:space="preserve"> 3 -</w: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fldChar w:fldCharType="end"/>
                    </w:r>
                  </w:p>
                  <w:p/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2CEDD5"/>
    <w:multiLevelType w:val="singleLevel"/>
    <w:tmpl w:val="962CEDD5"/>
    <w:lvl w:ilvl="0" w:tentative="0">
      <w:start w:val="2"/>
      <w:numFmt w:val="chineseCounting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abstractNum w:abstractNumId="1">
    <w:nsid w:val="BB1F9CD1"/>
    <w:multiLevelType w:val="singleLevel"/>
    <w:tmpl w:val="BB1F9CD1"/>
    <w:lvl w:ilvl="0" w:tentative="0">
      <w:start w:val="2"/>
      <w:numFmt w:val="chineseCounting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abstractNum w:abstractNumId="2">
    <w:nsid w:val="D6B38F1D"/>
    <w:multiLevelType w:val="singleLevel"/>
    <w:tmpl w:val="D6B38F1D"/>
    <w:lvl w:ilvl="0" w:tentative="0">
      <w:start w:val="2"/>
      <w:numFmt w:val="chineseCounting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abstractNum w:abstractNumId="3">
    <w:nsid w:val="52710CDF"/>
    <w:multiLevelType w:val="singleLevel"/>
    <w:tmpl w:val="52710CDF"/>
    <w:lvl w:ilvl="0" w:tentative="0">
      <w:start w:val="4"/>
      <w:numFmt w:val="chineseCounting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dit="readOnly"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YzhkOTAyNTNiN2RjZTVmYzdkNmJkZjc0ZTg5ZTc3YWIifQ=="/>
  </w:docVars>
  <w:rsids>
    <w:rsidRoot w:val="00000000"/>
    <w:rsid w:val="00066A99"/>
    <w:rsid w:val="0C1134D7"/>
    <w:rsid w:val="130F4AB9"/>
    <w:rsid w:val="1CB505F7"/>
    <w:rsid w:val="3045283A"/>
    <w:rsid w:val="3FD117C2"/>
    <w:rsid w:val="432C7B9B"/>
    <w:rsid w:val="4767607A"/>
    <w:rsid w:val="5ADD3BBE"/>
    <w:rsid w:val="5F5B6AA9"/>
    <w:rsid w:val="63B00D72"/>
    <w:rsid w:val="693469CC"/>
    <w:rsid w:val="761F25D6"/>
    <w:rsid w:val="7DBFB65E"/>
    <w:rsid w:val="D7CFA43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beforeAutospacing="0" w:after="260" w:afterAutospacing="0" w:line="413" w:lineRule="auto"/>
      <w:outlineLvl w:val="2"/>
    </w:pPr>
    <w:rPr>
      <w:b/>
      <w:sz w:val="32"/>
    </w:rPr>
  </w:style>
  <w:style w:type="character" w:default="1" w:styleId="16">
    <w:name w:val="Default Paragraph Font"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spacing w:before="50" w:beforeLines="50" w:line="360" w:lineRule="auto"/>
      <w:ind w:firstLine="200" w:firstLineChars="200"/>
    </w:pPr>
    <w:rPr>
      <w:rFonts w:eastAsia="仿宋"/>
      <w:sz w:val="24"/>
      <w:szCs w:val="23"/>
      <w:lang w:eastAsia="ar-SA"/>
    </w:rPr>
  </w:style>
  <w:style w:type="paragraph" w:styleId="6">
    <w:name w:val="Document Map"/>
    <w:basedOn w:val="1"/>
    <w:qFormat/>
    <w:uiPriority w:val="0"/>
    <w:rPr>
      <w:rFonts w:ascii="宋体" w:eastAsia="宋体"/>
      <w:sz w:val="18"/>
      <w:szCs w:val="18"/>
    </w:rPr>
  </w:style>
  <w:style w:type="paragraph" w:styleId="7">
    <w:name w:val="Body Text"/>
    <w:basedOn w:val="1"/>
    <w:next w:val="8"/>
    <w:qFormat/>
    <w:uiPriority w:val="0"/>
    <w:pPr>
      <w:spacing w:after="120"/>
    </w:pPr>
  </w:style>
  <w:style w:type="paragraph" w:styleId="8">
    <w:name w:val="Body Text First Indent"/>
    <w:basedOn w:val="7"/>
    <w:qFormat/>
    <w:uiPriority w:val="0"/>
    <w:pPr>
      <w:ind w:firstLine="100" w:firstLineChars="100"/>
    </w:pPr>
  </w:style>
  <w:style w:type="paragraph" w:styleId="9">
    <w:name w:val="Body Text Indent"/>
    <w:basedOn w:val="1"/>
    <w:qFormat/>
    <w:uiPriority w:val="0"/>
    <w:pPr>
      <w:spacing w:after="120"/>
      <w:ind w:left="200" w:leftChars="200"/>
    </w:pPr>
    <w:rPr>
      <w:rFonts w:ascii="仿宋_GB2312"/>
      <w:szCs w:val="32"/>
    </w:rPr>
  </w:style>
  <w:style w:type="paragraph" w:styleId="10">
    <w:name w:val="Balloon Text"/>
    <w:basedOn w:val="1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styleId="13">
    <w:name w:val="toc 1"/>
    <w:basedOn w:val="1"/>
    <w:next w:val="1"/>
    <w:qFormat/>
    <w:uiPriority w:val="0"/>
  </w:style>
  <w:style w:type="paragraph" w:styleId="14">
    <w:name w:val="Body Text First Indent 2"/>
    <w:basedOn w:val="9"/>
    <w:qFormat/>
    <w:uiPriority w:val="0"/>
    <w:pPr>
      <w:ind w:firstLine="200" w:firstLineChars="200"/>
    </w:pPr>
  </w:style>
  <w:style w:type="character" w:styleId="17">
    <w:name w:val="page number"/>
    <w:basedOn w:val="16"/>
    <w:qFormat/>
    <w:uiPriority w:val="0"/>
  </w:style>
  <w:style w:type="paragraph" w:customStyle="1" w:styleId="18">
    <w:name w:val="标题 5（有编号）（绿盟科技）"/>
    <w:next w:val="1"/>
    <w:qFormat/>
    <w:uiPriority w:val="0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9">
    <w:name w:val="四号正文"/>
    <w:basedOn w:val="1"/>
    <w:qFormat/>
    <w:uiPriority w:val="0"/>
    <w:pPr>
      <w:spacing w:line="360" w:lineRule="auto"/>
    </w:pPr>
    <w:rPr>
      <w:rFonts w:ascii="??" w:hAnsi="??" w:eastAsia="宋体" w:cs="宋体"/>
      <w:color w:val="000000"/>
      <w:kern w:val="0"/>
      <w:sz w:val="28"/>
      <w:szCs w:val="21"/>
    </w:rPr>
  </w:style>
  <w:style w:type="paragraph" w:customStyle="1" w:styleId="20">
    <w:name w:val="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</w:rPr>
  </w:style>
  <w:style w:type="character" w:customStyle="1" w:styleId="21">
    <w:name w:val="font31"/>
    <w:basedOn w:val="16"/>
    <w:qFormat/>
    <w:uiPriority w:val="0"/>
    <w:rPr>
      <w:rFonts w:ascii="宋体" w:eastAsia="宋体" w:cs="宋体"/>
      <w:color w:val="000000"/>
      <w:sz w:val="24"/>
      <w:szCs w:val="24"/>
      <w:u w:val="none"/>
    </w:rPr>
  </w:style>
  <w:style w:type="character" w:customStyle="1" w:styleId="22">
    <w:name w:val="font51"/>
    <w:basedOn w:val="16"/>
    <w:qFormat/>
    <w:uiPriority w:val="0"/>
    <w:rPr>
      <w:rFonts w:ascii="Wingdings 2" w:hAnsi="Wingdings 2" w:eastAsia="Wingdings 2" w:cs="Wingdings 2"/>
      <w:color w:val="000000"/>
      <w:sz w:val="18"/>
      <w:szCs w:val="18"/>
      <w:u w:val="none"/>
    </w:rPr>
  </w:style>
  <w:style w:type="character" w:customStyle="1" w:styleId="23">
    <w:name w:val="font01"/>
    <w:basedOn w:val="16"/>
    <w:qFormat/>
    <w:uiPriority w:val="0"/>
    <w:rPr>
      <w:rFonts w:ascii="宋体" w:eastAsia="宋体" w:cs="宋体"/>
      <w:color w:val="000000"/>
      <w:sz w:val="18"/>
      <w:szCs w:val="18"/>
      <w:u w:val="none"/>
    </w:rPr>
  </w:style>
  <w:style w:type="character" w:customStyle="1" w:styleId="24">
    <w:name w:val="font41"/>
    <w:basedOn w:val="16"/>
    <w:qFormat/>
    <w:uiPriority w:val="0"/>
    <w:rPr>
      <w:rFonts w:ascii="宋体" w:eastAsia="宋体" w:cs="宋体"/>
      <w:color w:val="000000"/>
      <w:sz w:val="18"/>
      <w:szCs w:val="18"/>
      <w:u w:val="none"/>
    </w:rPr>
  </w:style>
  <w:style w:type="paragraph" w:customStyle="1" w:styleId="25">
    <w:name w:val="图表目录1"/>
    <w:basedOn w:val="1"/>
    <w:next w:val="1"/>
    <w:qFormat/>
    <w:uiPriority w:val="0"/>
    <w:pPr>
      <w:ind w:left="400" w:leftChars="200" w:hanging="200" w:hangingChars="200"/>
    </w:pPr>
    <w:rPr>
      <w:rFonts w:ascii="Times New Roman" w:hAnsi="Times New Roman" w:eastAsia="仿宋_GB2312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PSZX</Company>
  <Pages>12</Pages>
  <Words>4529</Words>
  <Characters>5003</Characters>
  <Lines>329</Lines>
  <Paragraphs>178</Paragraphs>
  <TotalTime>61</TotalTime>
  <ScaleCrop>false</ScaleCrop>
  <LinksUpToDate>false</LinksUpToDate>
  <CharactersWithSpaces>5082</CharactersWithSpaces>
  <Application>WPS Office_11.8.2.1120_F1E327BC-269C-435d-A152-05C5408002CA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2019-05-29T11:06:00Z</dcterms:created>
  <dc:creator>陈萍</dc:creator>
  <cp:lastModifiedBy>user</cp:lastModifiedBy>
  <cp:lastPrinted>2016-02-16T00:25:00Z</cp:lastPrinted>
  <dcterms:modified xsi:type="dcterms:W3CDTF">2025-09-25T10:58:04Z</dcterms:modified>
  <dc:title>区域性就业培训基地建设项目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5F64585C804849615C70AD683EB2BC24</vt:lpwstr>
  </property>
</Properties>
</file>