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黑水县龙坝乡人民政府</w:t>
      </w:r>
    </w:p>
    <w:p>
      <w:pPr>
        <w:jc w:val="center"/>
        <w:rPr>
          <w:rFonts w:hint="eastAsia" w:ascii="方正小标宋简体" w:eastAsia="方正小标宋简体" w:cs="黑体"/>
          <w:b w:val="0"/>
          <w:kern w:val="2"/>
          <w:sz w:val="40"/>
          <w:szCs w:val="40"/>
          <w:lang w:val="en-US" w:eastAsia="zh-CN" w:bidi="ar-SA"/>
        </w:rPr>
      </w:pPr>
      <w:r>
        <w:rPr>
          <w:rFonts w:hint="eastAsia" w:ascii="方正小标宋简体" w:eastAsia="方正小标宋简体" w:cs="黑体"/>
          <w:b w:val="0"/>
          <w:kern w:val="2"/>
          <w:sz w:val="40"/>
          <w:szCs w:val="40"/>
          <w:lang w:val="en-US" w:eastAsia="zh-CN" w:bidi="ar-SA"/>
        </w:rPr>
        <w:t>2024年人大经费项目绩效评价报告</w:t>
      </w:r>
    </w:p>
    <w:p>
      <w:pPr>
        <w:jc w:val="center"/>
        <w:rPr>
          <w:rFonts w:hint="eastAsia" w:ascii="方正小标宋简体" w:eastAsia="方正小标宋简体" w:cs="黑体"/>
          <w:b w:val="0"/>
          <w:kern w:val="2"/>
          <w:sz w:val="40"/>
          <w:szCs w:val="40"/>
          <w:lang w:val="en-US" w:eastAsia="zh-CN" w:bidi="ar-SA"/>
        </w:rPr>
      </w:pPr>
    </w:p>
    <w:p>
      <w:pPr>
        <w:ind w:firstLine="722" w:firstLineChars="200"/>
        <w:rPr>
          <w:rFonts w:hint="eastAsia"/>
        </w:rPr>
      </w:pPr>
      <w:r>
        <w:rPr>
          <w:rFonts w:hint="eastAsia" w:ascii="仿宋" w:eastAsia="仿宋" w:cs="仿宋"/>
          <w:b/>
          <w:bCs/>
          <w:sz w:val="36"/>
          <w:szCs w:val="36"/>
        </w:rPr>
        <w:t>一、项目概况</w:t>
      </w:r>
    </w:p>
    <w:p>
      <w:pPr>
        <w:ind w:left="0" w:firstLine="642" w:firstLineChars="200"/>
        <w:rPr>
          <w:rFonts w:hint="eastAsia" w:ascii="仿宋" w:eastAsia="仿宋" w:cs="仿宋"/>
          <w:sz w:val="32"/>
          <w:szCs w:val="32"/>
        </w:rPr>
      </w:pPr>
      <w:r>
        <w:rPr>
          <w:rFonts w:hint="eastAsia" w:ascii="仿宋" w:eastAsia="仿宋" w:cs="仿宋"/>
          <w:b/>
          <w:bCs/>
          <w:sz w:val="32"/>
          <w:szCs w:val="32"/>
          <w:lang w:eastAsia="zh-CN"/>
        </w:rPr>
        <w:t>（一）设立背景及基本情况。</w:t>
      </w:r>
    </w:p>
    <w:p>
      <w:pPr>
        <w:adjustRightInd w:val="0"/>
        <w:snapToGrid w:val="0"/>
        <w:spacing w:line="520" w:lineRule="exact"/>
        <w:ind w:firstLine="640" w:firstLineChars="200"/>
        <w:rPr>
          <w:rFonts w:hint="eastAsia" w:ascii="仿宋" w:eastAsia="仿宋" w:cs="仿宋"/>
          <w:sz w:val="32"/>
          <w:szCs w:val="32"/>
        </w:rPr>
      </w:pPr>
      <w:r>
        <w:rPr>
          <w:rFonts w:hint="eastAsia" w:ascii="仿宋_GB2312" w:eastAsia="仿宋_GB2312"/>
          <w:sz w:val="32"/>
          <w:szCs w:val="32"/>
        </w:rPr>
        <w:t>本项目资金来源渠道符合相关文件政策的规定，财权和事权匹配，项目筹资风险可控。</w:t>
      </w:r>
      <w:r>
        <w:rPr>
          <w:rFonts w:hint="eastAsia" w:ascii="仿宋" w:eastAsia="仿宋" w:cs="仿宋"/>
          <w:sz w:val="32"/>
          <w:szCs w:val="32"/>
        </w:rPr>
        <w:t>项目组织实施单位由项目所在乡负责。</w:t>
      </w:r>
      <w:r>
        <w:rPr>
          <w:rFonts w:hint="eastAsia" w:ascii="仿宋_GB2312" w:eastAsia="仿宋_GB2312"/>
          <w:sz w:val="32"/>
          <w:szCs w:val="32"/>
        </w:rPr>
        <w:t>投入</w:t>
      </w:r>
      <w:r>
        <w:rPr>
          <w:rFonts w:ascii="仿宋_GB2312" w:eastAsia="仿宋_GB2312"/>
          <w:sz w:val="32"/>
          <w:szCs w:val="32"/>
        </w:rPr>
        <w:t>产出</w:t>
      </w:r>
      <w:r>
        <w:rPr>
          <w:rFonts w:hint="eastAsia" w:ascii="仿宋_GB2312" w:eastAsia="仿宋_GB2312"/>
          <w:sz w:val="32"/>
          <w:szCs w:val="32"/>
        </w:rPr>
        <w:t>及</w:t>
      </w:r>
      <w:r>
        <w:rPr>
          <w:rFonts w:ascii="仿宋_GB2312" w:eastAsia="仿宋_GB2312"/>
          <w:sz w:val="32"/>
          <w:szCs w:val="32"/>
        </w:rPr>
        <w:t>效果较匹配</w:t>
      </w:r>
      <w:r>
        <w:rPr>
          <w:rFonts w:hint="eastAsia" w:ascii="仿宋_GB2312" w:eastAsia="仿宋_GB2312"/>
          <w:sz w:val="32"/>
          <w:szCs w:val="32"/>
        </w:rPr>
        <w:t>，</w:t>
      </w:r>
      <w:r>
        <w:rPr>
          <w:rFonts w:ascii="仿宋_GB2312" w:eastAsia="仿宋_GB2312"/>
          <w:sz w:val="32"/>
          <w:szCs w:val="32"/>
        </w:rPr>
        <w:t>成本测算依据较充分，</w:t>
      </w:r>
      <w:bookmarkStart w:id="0" w:name="_GoBack"/>
      <w:bookmarkEnd w:id="0"/>
      <w:r>
        <w:rPr>
          <w:rFonts w:ascii="仿宋_GB2312" w:eastAsia="仿宋_GB2312"/>
          <w:sz w:val="32"/>
          <w:szCs w:val="32"/>
        </w:rPr>
        <w:t>测算相对合理，应补充完善成本控制措施。</w:t>
      </w:r>
      <w:r>
        <w:rPr>
          <w:rFonts w:hint="eastAsia" w:ascii="仿宋" w:eastAsia="仿宋" w:cs="仿宋"/>
          <w:sz w:val="32"/>
          <w:szCs w:val="32"/>
        </w:rPr>
        <w:t>项目实施时，真实、及时公告公示项目建设和资金使用等情况，接受社会和群众监督，确保项目在阳光下管理，资金在阳光下运行。</w:t>
      </w:r>
      <w:r>
        <w:rPr>
          <w:rFonts w:hint="eastAsia" w:ascii="仿宋_GB2312" w:eastAsia="仿宋_GB2312"/>
          <w:sz w:val="32"/>
          <w:szCs w:val="32"/>
          <w:lang w:eastAsia="zh-CN"/>
        </w:rPr>
        <w:t>该项目资金</w:t>
      </w:r>
      <w:r>
        <w:rPr>
          <w:rFonts w:hint="eastAsia" w:ascii="仿宋_GB2312" w:eastAsia="仿宋_GB2312"/>
          <w:b w:val="0"/>
          <w:bCs w:val="0"/>
          <w:sz w:val="32"/>
          <w:szCs w:val="32"/>
          <w:lang w:eastAsia="zh-CN"/>
        </w:rPr>
        <w:t>经申请后已获批准。</w:t>
      </w:r>
    </w:p>
    <w:p>
      <w:pPr>
        <w:numPr>
          <w:ilvl w:val="0"/>
          <w:numId w:val="1"/>
        </w:numPr>
        <w:adjustRightInd w:val="0"/>
        <w:snapToGrid w:val="0"/>
        <w:spacing w:line="520" w:lineRule="exact"/>
        <w:ind w:left="0" w:firstLine="642" w:firstLineChars="200"/>
        <w:rPr>
          <w:rFonts w:hint="eastAsia" w:ascii="仿宋" w:eastAsia="仿宋" w:cs="仿宋"/>
          <w:b/>
          <w:bCs/>
          <w:sz w:val="32"/>
          <w:szCs w:val="32"/>
          <w:lang w:eastAsia="zh-CN"/>
        </w:rPr>
      </w:pPr>
      <w:r>
        <w:rPr>
          <w:rFonts w:hint="eastAsia" w:ascii="仿宋" w:eastAsia="仿宋" w:cs="仿宋"/>
          <w:b/>
          <w:bCs/>
          <w:sz w:val="32"/>
          <w:szCs w:val="32"/>
          <w:lang w:eastAsia="zh-CN"/>
        </w:rPr>
        <w:t>实施目的及支持方向。</w:t>
      </w:r>
    </w:p>
    <w:p>
      <w:pPr>
        <w:adjustRightInd w:val="0"/>
        <w:snapToGrid w:val="0"/>
        <w:spacing w:line="520" w:lineRule="exact"/>
        <w:ind w:firstLine="640" w:firstLineChars="200"/>
        <w:rPr>
          <w:rFonts w:hint="eastAsia" w:ascii="仿宋" w:eastAsia="仿宋" w:cs="仿宋"/>
          <w:b/>
          <w:bCs/>
          <w:sz w:val="32"/>
          <w:szCs w:val="32"/>
          <w:lang w:val="en-US" w:eastAsia="zh-CN"/>
        </w:rPr>
      </w:pPr>
      <w:r>
        <w:rPr>
          <w:rFonts w:hint="eastAsia" w:ascii="仿宋" w:eastAsia="仿宋" w:cs="仿宋"/>
          <w:sz w:val="32"/>
          <w:szCs w:val="32"/>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r>
        <w:rPr>
          <w:rFonts w:hint="eastAsia" w:ascii="仿宋" w:eastAsia="仿宋" w:cs="仿宋"/>
          <w:b/>
          <w:bCs/>
          <w:sz w:val="32"/>
          <w:szCs w:val="32"/>
          <w:lang w:val="en-US" w:eastAsia="zh-CN"/>
        </w:rPr>
        <w:t xml:space="preserve">     </w:t>
      </w:r>
    </w:p>
    <w:p>
      <w:pPr>
        <w:ind w:left="0" w:firstLine="642" w:firstLineChars="200"/>
        <w:rPr>
          <w:rFonts w:hint="eastAsia" w:ascii="仿宋" w:eastAsia="仿宋" w:cs="仿宋"/>
          <w:b/>
          <w:bCs/>
          <w:sz w:val="32"/>
          <w:szCs w:val="32"/>
        </w:rPr>
      </w:pPr>
      <w:r>
        <w:rPr>
          <w:rFonts w:hint="eastAsia" w:ascii="仿宋" w:eastAsia="仿宋" w:cs="仿宋"/>
          <w:b/>
          <w:bCs/>
          <w:sz w:val="32"/>
          <w:szCs w:val="32"/>
          <w:lang w:val="en-US" w:eastAsia="zh-CN"/>
        </w:rPr>
        <w:t>（三）预算安排及分配管理。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outlineLvl w:val="0"/>
        <w:rPr>
          <w:rFonts w:ascii="仿宋_GB2312" w:eastAsia="仿宋_GB2312" w:cs="仿宋_GB2312"/>
          <w:bCs/>
          <w:sz w:val="32"/>
          <w:szCs w:val="32"/>
          <w:highlight w:val="none"/>
          <w:lang w:val="en-US" w:eastAsia="zh-CN"/>
        </w:rPr>
      </w:pPr>
      <w:r>
        <w:rPr>
          <w:rFonts w:hint="eastAsia" w:ascii="仿宋_GB2312" w:eastAsia="仿宋_GB2312" w:cs="仿宋_GB2312"/>
          <w:bCs/>
          <w:sz w:val="32"/>
          <w:szCs w:val="32"/>
          <w:highlight w:val="none"/>
          <w:lang w:val="en-US" w:eastAsia="zh-CN"/>
        </w:rPr>
        <w:t>2023年年初预算1</w:t>
      </w:r>
      <w:r>
        <w:rPr>
          <w:rFonts w:hint="eastAsia" w:ascii="仿宋_GB2312" w:hAnsi="仿宋_GB2312" w:cs="仿宋_GB2312"/>
          <w:bCs/>
          <w:sz w:val="32"/>
          <w:szCs w:val="32"/>
          <w:highlight w:val="none"/>
          <w:lang w:val="en-US" w:eastAsia="zh-CN"/>
        </w:rPr>
        <w:t>0元，调整后预算数5.69万元，预算执行数5.69万元。</w:t>
      </w:r>
    </w:p>
    <w:p>
      <w:pPr>
        <w:spacing w:line="560" w:lineRule="exact"/>
        <w:ind w:left="420" w:leftChars="200"/>
        <w:rPr>
          <w:rFonts w:hint="eastAsia" w:ascii="仿宋" w:eastAsia="仿宋" w:cs="仿宋"/>
          <w:b/>
          <w:bCs/>
          <w:kern w:val="2"/>
          <w:sz w:val="32"/>
          <w:szCs w:val="32"/>
          <w:lang w:val="zh-CN" w:eastAsia="zh-CN" w:bidi="ar-SA"/>
        </w:rPr>
      </w:pP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四</w:t>
      </w:r>
      <w:r>
        <w:rPr>
          <w:rFonts w:hint="eastAsia" w:ascii="仿宋" w:eastAsia="仿宋" w:cs="仿宋"/>
          <w:b/>
          <w:bCs/>
          <w:kern w:val="2"/>
          <w:sz w:val="32"/>
          <w:szCs w:val="32"/>
          <w:lang w:val="zh-CN" w:eastAsia="zh-CN" w:bidi="ar-SA"/>
        </w:rPr>
        <w:t>）</w:t>
      </w:r>
      <w:r>
        <w:rPr>
          <w:rFonts w:hint="eastAsia" w:ascii="仿宋" w:eastAsia="仿宋" w:cs="仿宋"/>
          <w:b/>
          <w:bCs/>
          <w:kern w:val="2"/>
          <w:sz w:val="32"/>
          <w:szCs w:val="32"/>
          <w:lang w:val="en-US" w:eastAsia="zh-CN" w:bidi="ar-SA"/>
        </w:rPr>
        <w:t>项目绩效目标设置</w:t>
      </w:r>
      <w:r>
        <w:rPr>
          <w:rFonts w:hint="eastAsia" w:ascii="仿宋" w:eastAsia="仿宋" w:cs="仿宋"/>
          <w:b/>
          <w:bCs/>
          <w:kern w:val="2"/>
          <w:sz w:val="32"/>
          <w:szCs w:val="32"/>
          <w:lang w:val="zh-CN" w:eastAsia="zh-CN" w:bidi="ar-SA"/>
        </w:rPr>
        <w:t>。</w:t>
      </w:r>
    </w:p>
    <w:p>
      <w:pPr>
        <w:spacing w:line="560" w:lineRule="exact"/>
        <w:ind w:left="420" w:leftChars="200" w:firstLine="320" w:firstLineChars="100"/>
        <w:rPr>
          <w:rFonts w:hint="eastAsia" w:ascii="仿宋_GB2312" w:eastAsia="仿宋_GB2312" w:cs="Times New Roman"/>
          <w:sz w:val="32"/>
          <w:szCs w:val="32"/>
        </w:rPr>
      </w:pPr>
      <w:r>
        <w:rPr>
          <w:rFonts w:hint="eastAsia" w:ascii="仿宋_GB2312" w:eastAsia="仿宋_GB2312" w:cs="Times New Roman"/>
          <w:sz w:val="32"/>
          <w:szCs w:val="32"/>
          <w:lang w:val="en-US" w:eastAsia="zh-CN"/>
        </w:rPr>
        <w:t>我乡</w:t>
      </w:r>
      <w:r>
        <w:rPr>
          <w:rFonts w:hint="eastAsia" w:ascii="仿宋_GB2312" w:eastAsia="仿宋_GB2312" w:cs="Times New Roman"/>
          <w:sz w:val="32"/>
          <w:szCs w:val="32"/>
        </w:rPr>
        <w:t>承担专项资金绩效管理的主体责任，主要负责提出</w:t>
      </w:r>
    </w:p>
    <w:p>
      <w:pPr>
        <w:spacing w:line="560" w:lineRule="exact"/>
        <w:rPr>
          <w:rFonts w:hint="eastAsia" w:ascii="仿宋" w:eastAsia="仿宋" w:cs="仿宋"/>
          <w:b/>
          <w:bCs/>
          <w:kern w:val="2"/>
          <w:sz w:val="32"/>
          <w:szCs w:val="32"/>
          <w:lang w:val="en-US" w:eastAsia="zh-CN" w:bidi="ar-SA"/>
        </w:rPr>
      </w:pPr>
      <w:r>
        <w:rPr>
          <w:rFonts w:hint="eastAsia" w:ascii="仿宋_GB2312" w:eastAsia="仿宋_GB2312" w:cs="Times New Roman"/>
          <w:sz w:val="32"/>
          <w:szCs w:val="32"/>
        </w:rPr>
        <w:t>专项资金分配方案，制定项目管理制度，组织项目评审和实施，开展项目验收、绩效评价和监督检查等工作。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hint="eastAsia" w:ascii="黑体" w:eastAsia="黑体" w:cs="黑体"/>
          <w:kern w:val="2"/>
          <w:sz w:val="32"/>
          <w:szCs w:val="32"/>
        </w:rPr>
      </w:pPr>
      <w:r>
        <w:rPr>
          <w:rFonts w:hint="eastAsia" w:ascii="黑体" w:eastAsia="黑体" w:cs="黑体"/>
          <w:kern w:val="2"/>
          <w:sz w:val="32"/>
          <w:szCs w:val="32"/>
          <w:lang w:val="en-US" w:eastAsia="zh-CN"/>
        </w:rPr>
        <w:t>二、评价实施</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（一）评价目的。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阿坝州财政局印发《阿坝州财政局关于开展</w:t>
      </w:r>
      <w:r>
        <w:rPr>
          <w:rFonts w:ascii="Times New Roman" w:hAnsi="Times New Roman" w:eastAsia="仿宋_GB2312" w:cs="Times New Roman"/>
          <w:kern w:val="0"/>
          <w:sz w:val="32"/>
          <w:szCs w:val="32"/>
          <w:lang w:val="en-US" w:eastAsia="zh-CN"/>
        </w:rPr>
        <w:t xml:space="preserve"> 2024</w:t>
      </w:r>
      <w:r>
        <w:rPr>
          <w:rFonts w:ascii="仿宋_GB2312" w:eastAsia="仿宋_GB2312" w:cs="仿宋_GB2312"/>
          <w:kern w:val="0"/>
          <w:sz w:val="32"/>
          <w:szCs w:val="32"/>
          <w:lang w:val="en-US" w:eastAsia="zh-CN"/>
        </w:rPr>
        <w:t>年州级部门绩效自评工作的通知》（阿州财监绩〔</w:t>
      </w:r>
      <w:r>
        <w:rPr>
          <w:rFonts w:ascii="Times New Roman" w:hAnsi="Times New Roman" w:eastAsia="仿宋_GB2312" w:cs="Times New Roman"/>
          <w:kern w:val="0"/>
          <w:sz w:val="32"/>
          <w:szCs w:val="32"/>
          <w:lang w:val="en-US" w:eastAsia="zh-CN"/>
        </w:rPr>
        <w:t>2024</w:t>
      </w:r>
      <w:r>
        <w:rPr>
          <w:rFonts w:ascii="仿宋_GB2312" w:eastAsia="仿宋_GB2312" w:cs="仿宋_GB2312"/>
          <w:kern w:val="0"/>
          <w:sz w:val="32"/>
          <w:szCs w:val="32"/>
          <w:lang w:val="en-US" w:eastAsia="zh-CN"/>
        </w:rPr>
        <w:t>〕</w:t>
      </w:r>
      <w:r>
        <w:rPr>
          <w:rFonts w:ascii="Times New Roman" w:hAnsi="Times New Roman" w:eastAsia="仿宋_GB2312" w:cs="Times New Roman"/>
          <w:kern w:val="0"/>
          <w:sz w:val="32"/>
          <w:szCs w:val="32"/>
          <w:lang w:val="en-US" w:eastAsia="zh-CN"/>
        </w:rPr>
        <w:t>19</w:t>
      </w:r>
      <w:r>
        <w:rPr>
          <w:rFonts w:ascii="仿宋_GB2312" w:eastAsia="仿宋_GB2312" w:cs="仿宋_GB2312"/>
          <w:kern w:val="0"/>
          <w:sz w:val="32"/>
          <w:szCs w:val="32"/>
          <w:lang w:val="en-US" w:eastAsia="zh-CN"/>
        </w:rPr>
        <w:t>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（二）预设问题及评价重点。</w:t>
      </w:r>
      <w:r>
        <w:rPr>
          <w:rFonts w:ascii="Times New Roman" w:hAnsi="Times New Roman" w:eastAsia="仿宋_GB2312" w:cs="仿宋_GB2312"/>
          <w:kern w:val="2"/>
          <w:sz w:val="32"/>
          <w:szCs w:val="32"/>
          <w:lang w:val="en-US" w:eastAsia="zh-CN"/>
        </w:rPr>
        <w:t xml:space="preserve"> </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1.长效机制建立情况。项目实施单位是否已建立项目实施管理制度等。</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2.项目实施程序严密性。建设项目的招投标资料是否完整、真实，有无弄虚作假套取财政资金等问题。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3.资金拨付和使用的合规性。是否按国库集中支付规定办理资金拨付手续；是否不按时拨付，造成滞留资金积压；资金是否专款专用，是否随意变更项目内容及地点；是否遵守《现金管理暂行条例》规定；是否有挤古、挪用、截留等违纪违规等问题。</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4.信息的公开透明度。项目资金管理单位的公开公示情况。</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5.财务管理和会计核算规范性。财务核算是否符合《中华人民共和国会计法》《会计基础工作规范》等要求、是否符合基本建设财务管理和会计制度规定。</w:t>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ascii="仿宋_GB2312" w:eastAsia="仿宋_GB2312" w:cs="仿宋_GB2312"/>
          <w:kern w:val="0"/>
          <w:sz w:val="32"/>
          <w:szCs w:val="32"/>
        </w:rPr>
      </w:pPr>
      <w:r>
        <w:rPr>
          <w:rFonts w:ascii="仿宋_GB2312" w:eastAsia="仿宋_GB2312" w:cs="仿宋_GB2312"/>
          <w:kern w:val="0"/>
          <w:sz w:val="32"/>
          <w:szCs w:val="32"/>
        </w:rPr>
        <w:t>6.项目实施单位绩效自评情况。项目实施单位是否严格按照预算绩效管理规定开展绩效自评。</w:t>
      </w:r>
    </w:p>
    <w:p>
      <w:pPr>
        <w:keepNext w:val="0"/>
        <w:keepLines w:val="0"/>
        <w:widowControl w:val="0"/>
        <w:suppressLineNumbers w:val="0"/>
        <w:adjustRightInd w:val="0"/>
        <w:snapToGrid w:val="0"/>
        <w:spacing w:before="0" w:beforeAutospacing="0" w:after="0" w:afterAutospacing="0" w:line="578" w:lineRule="exact"/>
        <w:ind w:left="0" w:right="0" w:firstLine="642" w:firstLineChars="20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（三）评价选点。</w:t>
      </w:r>
    </w:p>
    <w:p>
      <w:pPr>
        <w:adjustRightInd w:val="0"/>
        <w:snapToGrid w:val="0"/>
        <w:spacing w:line="520" w:lineRule="exact"/>
        <w:ind w:firstLine="640" w:firstLineChars="200"/>
        <w:rPr>
          <w:rFonts w:hint="eastAsia" w:ascii="仿宋" w:eastAsia="仿宋" w:cs="仿宋"/>
          <w:sz w:val="32"/>
          <w:szCs w:val="32"/>
        </w:rPr>
      </w:pPr>
      <w:r>
        <w:rPr>
          <w:rFonts w:ascii="仿宋" w:eastAsia="仿宋" w:cs="仿宋"/>
          <w:sz w:val="32"/>
          <w:szCs w:val="32"/>
        </w:rPr>
        <w:t>龙坝</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（四）评价方法。</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比较分析法。是指通过对绩效目标与实施效果、历史与当期情况、不同部门和地区同类支出的比较，综合分析绩效目标实现程度。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因素分析法。是指通过综合分析影响绩效目标实现、实施效果的内外因素，评价绩效目标实现程度。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最低成本分析法。是指对效益确定却不易计量的多个同类对象的实施成本进行比较，评价绩效目标实现程度。</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仿宋_GB2312"/>
          <w:kern w:val="0"/>
          <w:sz w:val="32"/>
          <w:szCs w:val="32"/>
        </w:rPr>
      </w:pP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双重交叉分析法。通过对项目建设前后的比较，根据成效等方面去寻找和分析政策产生的影响。</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5.随机访谈法。针对部分项目负责人及实施主体进行了询问和访谈，如项目实施情况的必要性、可行性和满意度等进行随机访谈。</w:t>
      </w:r>
    </w:p>
    <w:p>
      <w:pPr>
        <w:keepNext w:val="0"/>
        <w:keepLines w:val="0"/>
        <w:widowControl w:val="0"/>
        <w:suppressLineNumbers w:val="0"/>
        <w:spacing w:before="0" w:beforeAutospacing="0" w:after="0" w:afterAutospacing="0" w:line="578" w:lineRule="exact"/>
        <w:ind w:left="0" w:right="0" w:firstLine="640"/>
        <w:jc w:val="both"/>
        <w:rPr>
          <w:rFonts w:ascii="Times New Roman" w:hAnsi="Times New Roman" w:eastAsia="仿宋_GB2312" w:cs="仿宋_GB2312"/>
          <w:kern w:val="2"/>
          <w:sz w:val="32"/>
          <w:szCs w:val="32"/>
        </w:rPr>
      </w:pPr>
      <w:r>
        <w:rPr>
          <w:rFonts w:ascii="楷体_GB2312" w:eastAsia="楷体_GB2312" w:cs="楷体_GB2312"/>
          <w:b/>
          <w:kern w:val="2"/>
          <w:sz w:val="32"/>
          <w:szCs w:val="32"/>
          <w:lang w:val="en-US" w:eastAsia="zh-CN"/>
        </w:rPr>
        <w:t>（五）评价组织。</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领导小组职责：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）研究和决定同级政府公共事业管理绩效评价中的重大问题。</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）组织协调绩效评价工作，确保评价的顺利进行。</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）对各单位的工作目标、绩效考核结果和等次、奖惩方案进行审核，并报同级党委和政府审定。</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办公室职责：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）提出全省（市、县）政府公共事业管理绩效评价的工作方案，并负责具体组织实施。</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）综合评价信息，提出评价结果等次认定方案及奖惩方案等。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）负责绩效评价的日常工作，包括宣传、沟通、协调等。</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4</w:t>
      </w:r>
      <w:r>
        <w:rPr>
          <w:rFonts w:ascii="仿宋_GB2312" w:eastAsia="仿宋_GB2312" w:cs="仿宋_GB2312"/>
          <w:kern w:val="0"/>
          <w:sz w:val="32"/>
          <w:szCs w:val="32"/>
          <w:lang w:val="en-US" w:eastAsia="zh-CN"/>
        </w:rPr>
        <w:t>）根据评价结果撰写绩效评价报告，并递交给领导小组。</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具体执行人员职责：</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1</w:t>
      </w:r>
      <w:r>
        <w:rPr>
          <w:rFonts w:ascii="仿宋_GB2312" w:eastAsia="仿宋_GB2312" w:cs="仿宋_GB2312"/>
          <w:kern w:val="0"/>
          <w:sz w:val="32"/>
          <w:szCs w:val="32"/>
          <w:lang w:val="en-US" w:eastAsia="zh-CN"/>
        </w:rPr>
        <w:t>）组长：审批绩效自评方案，监督、检查、核实绩效自评结果。</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2</w:t>
      </w:r>
      <w:r>
        <w:rPr>
          <w:rFonts w:ascii="仿宋_GB2312" w:eastAsia="仿宋_GB2312" w:cs="仿宋_GB2312"/>
          <w:kern w:val="0"/>
          <w:sz w:val="32"/>
          <w:szCs w:val="32"/>
          <w:lang w:val="en-US" w:eastAsia="zh-CN"/>
        </w:rPr>
        <w:t>）副组长：审核修改拟定的绩效自评方案，并提交考评工作组会议讨论通过；监督、部署、确认绩效自评过程及反馈意见的处理。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r>
        <w:rPr>
          <w:rFonts w:ascii="Times New Roman" w:hAnsi="Times New Roman" w:eastAsia="仿宋_GB2312" w:cs="仿宋_GB2312"/>
          <w:kern w:val="0"/>
          <w:sz w:val="32"/>
          <w:szCs w:val="32"/>
          <w:lang w:val="en-US" w:eastAsia="zh-CN"/>
        </w:rPr>
        <w:t>3</w:t>
      </w:r>
      <w:r>
        <w:rPr>
          <w:rFonts w:ascii="仿宋_GB2312" w:eastAsia="仿宋_GB2312" w:cs="仿宋_GB2312"/>
          <w:kern w:val="0"/>
          <w:sz w:val="32"/>
          <w:szCs w:val="32"/>
          <w:lang w:val="en-US" w:eastAsia="zh-CN"/>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仿宋_GB2312" w:hAnsi="仿宋_GB2312"/>
          <w:color w:val="auto"/>
          <w:sz w:val="32"/>
          <w:szCs w:val="32"/>
          <w:highlight w:val="none"/>
          <w:u w:val="none"/>
          <w:lang w:val="zh-CN"/>
        </w:rPr>
      </w:pPr>
      <w:r>
        <w:rPr>
          <w:rFonts w:hint="eastAsia" w:ascii="黑体" w:eastAsia="黑体"/>
          <w:color w:val="auto"/>
          <w:sz w:val="32"/>
          <w:szCs w:val="32"/>
          <w:highlight w:val="none"/>
          <w:u w:val="none"/>
        </w:rPr>
        <w:t>三、</w:t>
      </w:r>
      <w:r>
        <w:rPr>
          <w:rFonts w:hint="eastAsia" w:ascii="黑体" w:eastAsia="黑体"/>
          <w:color w:val="auto"/>
          <w:sz w:val="32"/>
          <w:szCs w:val="32"/>
          <w:highlight w:val="none"/>
          <w:u w:val="none"/>
          <w:lang w:eastAsia="zh-CN"/>
        </w:rPr>
        <w:t>绩效分析</w:t>
      </w:r>
      <w:r>
        <w:rPr>
          <w:rFonts w:hint="eastAsia" w:ascii="仿宋_GB2312" w:hAnsi="仿宋_GB2312"/>
          <w:color w:val="auto"/>
          <w:sz w:val="32"/>
          <w:szCs w:val="32"/>
          <w:highlight w:val="none"/>
          <w:u w:val="none"/>
          <w:lang w:val="zh-CN"/>
        </w:rPr>
        <w:tab/>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highlight w:val="none"/>
        </w:rPr>
      </w:pPr>
      <w:r>
        <w:rPr>
          <w:rFonts w:hint="eastAsia" w:ascii="仿宋" w:eastAsia="仿宋" w:cs="仿宋"/>
          <w:sz w:val="32"/>
          <w:szCs w:val="32"/>
          <w:highlight w:val="none"/>
        </w:rPr>
        <w:t>（一）通用指标</w:t>
      </w:r>
      <w:r>
        <w:rPr>
          <w:rFonts w:hint="eastAsia" w:ascii="仿宋" w:eastAsia="仿宋" w:cs="仿宋"/>
          <w:bCs/>
          <w:sz w:val="32"/>
          <w:szCs w:val="32"/>
          <w:highlight w:val="none"/>
        </w:rPr>
        <w:t>绩效分析。指标分值54分，自评得分54分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1.项目决策。指标分值18分，自评得分18分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决策程序：项目设立、调整延续等方面符合资金管理基本规范和决策程序要求。指标分值6分，自评得分6分。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规划论证：项目规划论证符合</w:t>
      </w:r>
      <w:r>
        <w:rPr>
          <w:rFonts w:hint="eastAsia" w:ascii="仿宋" w:eastAsia="仿宋" w:cs="仿宋"/>
          <w:sz w:val="32"/>
          <w:szCs w:val="32"/>
          <w:lang w:eastAsia="zh-CN"/>
        </w:rPr>
        <w:t>中央、省委</w:t>
      </w:r>
      <w:r>
        <w:rPr>
          <w:rFonts w:hint="eastAsia" w:ascii="仿宋" w:eastAsia="仿宋" w:cs="仿宋"/>
          <w:sz w:val="32"/>
          <w:szCs w:val="32"/>
        </w:rPr>
        <w:t>要求，项目绩效目标设置科学合理，项目资金与项目总体规划、相关行业事业发展相匹配，聚焦重大任务、重点领域、重点环节和重点项目。指标分值6分，自评得分6分。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资金投向：项目资金是与项目总体规划、相关行业事业发展相匹配，聚焦重大任务、重点领域、重点环节和重点项目。体现“</w:t>
      </w:r>
      <w:r>
        <w:rPr>
          <w:rFonts w:hint="eastAsia" w:ascii="仿宋" w:eastAsia="仿宋" w:cs="仿宋"/>
          <w:sz w:val="32"/>
          <w:szCs w:val="32"/>
          <w:lang w:eastAsia="zh-CN"/>
        </w:rPr>
        <w:t>集中力量办大事</w:t>
      </w:r>
      <w:r>
        <w:rPr>
          <w:rFonts w:hint="eastAsia" w:ascii="仿宋" w:eastAsia="仿宋" w:cs="仿宋"/>
          <w:sz w:val="32"/>
          <w:szCs w:val="32"/>
        </w:rPr>
        <w:t>”原则，避免“撒胡椒面”。指标分值6分，自评得分6分。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2.项目管理。指标分值18分，自评得分18分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制度办法：项目制度办法体系健全、要素完备。资金管理办法等管理制度体系健全完善，不存在管理制度缺失、管理办法过期情况。指标分值2分，自评得分2分。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分配管理：项目资金分配因素选取、权重设置、区域分布，项目管理、审批符合管理要求，管资金、项目、政策管绩效，项目绩效监管按要求开展，对下指导有力有效。指标分值10分，自评得分10分。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绩效监管:明确要求“事前评估”、“事中监控”、“事后评价”，层层把控，对相关人员进行绩效业务培训，使人人“懂理念、会分析”。并严抓项目决策是否科学的“牛鼻子”，力求项目决策科学。让项目“目标科学、全面”才能“拎得清”，“跟踪及时、严格”才能“管得准”，避免偏离轨道造成的损耗成本、影响质量、效率低下。“花钱必问效，无效必问责”，该局将绩效理念融入预算编制、执行、监督全过程，抓好项目效益是否提升的“落脚点”，发挥绩效评价导向作用，通过奖优惩劣，确保被评价单位把每一笔钱都用在刀刃上、紧要处，力求项目效益提升。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3.项目实施。指标分值9分，自评得分9分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预算执行:项目预算资金8.1万元，支付8.1万元。指标分值6分，自评得分6分。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资金使用:项目资金使用、拨付符合国家财经法规、财务管理制度及有关专项资金管理制度办法规定和审批程序，不存在超范围、超标准、超进度使用专项资金，不存在资金损失浪费、长期沉淀、截留、挤占、挪用、虚列支出等情况。指标分值3分，自评得分3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4.项目结果。指标分值9分，自评得分9分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目标完成：资金项目内容与具体实施内容相符的、申报目标是合理可行。项目运行成本、管理效率、履职效能、社会效应、可持续发展能力和服务对象满意度等方面均取得良好成果，预算绩效实现全覆盖。截止2023年底完成项目资金拨付。指标分值6分，自评得分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完成时效：资金项目按照目标任务已于2023年底完成。指标分值3分，自评得分3分。</w:t>
      </w:r>
    </w:p>
    <w:p>
      <w:pPr>
        <w:keepNext w:val="0"/>
        <w:keepLines w:val="0"/>
        <w:pageBreakBefore w:val="0"/>
        <w:widowControl w:val="0"/>
        <w:kinsoku/>
        <w:wordWrap/>
        <w:overflowPunct/>
        <w:topLinePunct w:val="0"/>
        <w:autoSpaceDE/>
        <w:autoSpaceDN/>
        <w:adjustRightInd/>
        <w:snapToGrid/>
        <w:spacing w:line="578" w:lineRule="exact"/>
        <w:ind w:left="0" w:firstLine="642" w:firstLineChars="200"/>
        <w:rPr>
          <w:rFonts w:hint="eastAsia" w:ascii="仿宋" w:eastAsia="仿宋" w:cs="仿宋"/>
          <w:sz w:val="32"/>
          <w:szCs w:val="32"/>
        </w:rPr>
      </w:pPr>
      <w:r>
        <w:rPr>
          <w:rFonts w:ascii="楷体_GB2312" w:eastAsia="楷体_GB2312" w:cs="楷体_GB2312"/>
          <w:b/>
          <w:sz w:val="32"/>
          <w:szCs w:val="32"/>
          <w:highlight w:val="none"/>
        </w:rPr>
        <w:t>（二）专用指标</w:t>
      </w:r>
      <w:r>
        <w:rPr>
          <w:rFonts w:ascii="楷体_GB2312" w:eastAsia="楷体_GB2312" w:cs="楷体_GB2312"/>
          <w:b/>
          <w:bCs/>
          <w:sz w:val="32"/>
          <w:szCs w:val="32"/>
          <w:highlight w:val="none"/>
        </w:rPr>
        <w:t>绩效分析。</w:t>
      </w:r>
      <w:r>
        <w:rPr>
          <w:rFonts w:hint="eastAsia" w:ascii="仿宋" w:eastAsia="仿宋" w:cs="仿宋"/>
          <w:bCs/>
          <w:sz w:val="32"/>
          <w:szCs w:val="32"/>
          <w:highlight w:val="none"/>
        </w:rPr>
        <w:t>指标分值30分，自评得分30分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项目验收：该项目已完成项目验收，出具项目验收报告。指标分值10分，自评得分10分。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lang w:eastAsia="zh-CN"/>
        </w:rPr>
        <w:t>项目功能实现</w:t>
      </w:r>
      <w:r>
        <w:rPr>
          <w:rFonts w:hint="eastAsia" w:ascii="仿宋" w:eastAsia="仿宋" w:cs="仿宋"/>
          <w:sz w:val="32"/>
          <w:szCs w:val="32"/>
        </w:rPr>
        <w:t>：目资金分配均衡公平，资金实际支持对象符合管理要求，符合支持对象范围，资金实际补贴标准符合资金管理办法规定的补助标准，及时按标准兑现，资金涉及服务对象满意度不低于90%，项目用途合规性、程序合规性、标准合规性。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后续管护:建立明确的责任制度，确保每个环节都有专人负责。通过宣传和教育活动提高公众对项目管护的认识和参与度,以提高管理效率和质量。确保项目的长期效益和持续运行，提高项目的整体价值和社会的整体福利。指标分值10分，自评得分10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bCs/>
          <w:sz w:val="32"/>
          <w:szCs w:val="32"/>
          <w:highlight w:val="none"/>
        </w:rPr>
      </w:pPr>
      <w:r>
        <w:rPr>
          <w:rFonts w:hint="eastAsia" w:ascii="仿宋" w:eastAsia="仿宋" w:cs="仿宋"/>
          <w:sz w:val="32"/>
          <w:szCs w:val="32"/>
          <w:highlight w:val="none"/>
        </w:rPr>
        <w:t>个性指标</w:t>
      </w:r>
      <w:r>
        <w:rPr>
          <w:rFonts w:hint="eastAsia" w:ascii="仿宋" w:eastAsia="仿宋" w:cs="仿宋"/>
          <w:bCs/>
          <w:sz w:val="32"/>
          <w:szCs w:val="32"/>
          <w:highlight w:val="none"/>
        </w:rPr>
        <w:t>绩效分析。指标分值16分，自评得分16分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人大工作知晓率:通过宣传和教育活动提高公众对人大工作的认识和参与度,以提高人大工作管理效率和质量。指标分值5分，自评得分5分。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项目公示:按照公开要求，在门户网站中决算公开内容进行公示。指标分值5分，自评得分5分。</w:t>
      </w:r>
    </w:p>
    <w:p>
      <w:pPr>
        <w:keepNext w:val="0"/>
        <w:keepLines w:val="0"/>
        <w:pageBreakBefore w:val="0"/>
        <w:widowControl w:val="0"/>
        <w:kinsoku/>
        <w:wordWrap/>
        <w:overflowPunct/>
        <w:topLinePunct w:val="0"/>
        <w:autoSpaceDE/>
        <w:autoSpaceDN/>
        <w:adjustRightInd/>
        <w:snapToGrid/>
        <w:spacing w:line="578" w:lineRule="exact"/>
        <w:ind w:left="0" w:firstLine="640" w:firstLineChars="200"/>
        <w:rPr>
          <w:rFonts w:hint="eastAsia" w:ascii="仿宋" w:eastAsia="仿宋" w:cs="仿宋"/>
          <w:sz w:val="32"/>
          <w:szCs w:val="32"/>
        </w:rPr>
      </w:pPr>
      <w:r>
        <w:rPr>
          <w:rFonts w:hint="eastAsia" w:ascii="仿宋" w:eastAsia="仿宋" w:cs="仿宋"/>
          <w:sz w:val="32"/>
          <w:szCs w:val="32"/>
        </w:rPr>
        <w:t>项目监管力度：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指标分值6分，自评得分6分。</w:t>
      </w:r>
    </w:p>
    <w:p>
      <w:pPr>
        <w:keepNext w:val="0"/>
        <w:keepLines w:val="0"/>
        <w:widowControl w:val="0"/>
        <w:suppressLineNumbers w:val="0"/>
        <w:adjustRightInd w:val="0"/>
        <w:snapToGrid w:val="0"/>
        <w:spacing w:before="0" w:beforeAutospacing="0" w:after="0" w:afterAutospacing="0" w:line="578" w:lineRule="exact"/>
        <w:ind w:left="0" w:right="0" w:firstLine="640" w:firstLineChars="200"/>
        <w:jc w:val="both"/>
        <w:rPr>
          <w:rFonts w:ascii="Times New Roman" w:hAnsi="Times New Roman" w:eastAsia="仿宋_GB2312" w:cs="Times New Roman"/>
          <w:kern w:val="0"/>
          <w:sz w:val="32"/>
          <w:szCs w:val="32"/>
        </w:rPr>
      </w:pPr>
      <w:r>
        <w:rPr>
          <w:rFonts w:ascii="仿宋_GB2312" w:eastAsia="仿宋_GB2312" w:cs="仿宋_GB2312"/>
          <w:kern w:val="0"/>
          <w:sz w:val="32"/>
          <w:szCs w:val="32"/>
          <w:lang w:val="en-US" w:eastAsia="zh-CN"/>
        </w:rPr>
        <w:t>。</w:t>
      </w:r>
    </w:p>
    <w:p>
      <w:pPr>
        <w:keepNext w:val="0"/>
        <w:keepLines w:val="0"/>
        <w:pageBreakBefore w:val="0"/>
        <w:widowControl w:val="0"/>
        <w:kinsoku/>
        <w:wordWrap/>
        <w:overflowPunct/>
        <w:topLinePunct w:val="0"/>
        <w:autoSpaceDE/>
        <w:autoSpaceDN/>
        <w:adjustRightInd/>
        <w:snapToGrid/>
        <w:spacing w:line="578" w:lineRule="exact"/>
        <w:ind w:left="640"/>
        <w:rPr>
          <w:rFonts w:ascii="楷体_GB2312" w:eastAsia="楷体_GB2312" w:cs="楷体_GB2312"/>
          <w:b/>
          <w:color w:val="000000"/>
          <w:kern w:val="0"/>
          <w:sz w:val="32"/>
          <w:szCs w:val="32"/>
          <w:shd w:val="clear" w:color="auto" w:fill="FFFFFF"/>
          <w:lang w:val="en-US" w:eastAsia="zh-CN"/>
        </w:rPr>
      </w:pPr>
      <w:r>
        <w:rPr>
          <w:rFonts w:ascii="楷体_GB2312" w:eastAsia="楷体_GB2312" w:cs="楷体_GB2312"/>
          <w:b/>
          <w:kern w:val="2"/>
          <w:sz w:val="32"/>
          <w:szCs w:val="32"/>
          <w:lang w:val="en-US" w:eastAsia="zh-CN"/>
        </w:rPr>
        <w:t>（三）个性指标</w:t>
      </w:r>
      <w:r>
        <w:rPr>
          <w:rFonts w:ascii="楷体_GB2312" w:eastAsia="楷体_GB2312" w:cs="楷体_GB2312"/>
          <w:b/>
          <w:color w:val="000000"/>
          <w:kern w:val="0"/>
          <w:sz w:val="32"/>
          <w:szCs w:val="32"/>
          <w:shd w:val="clear" w:color="auto" w:fill="FFFFFF"/>
          <w:lang w:val="en-US" w:eastAsia="zh-CN"/>
        </w:rPr>
        <w:t>绩效分析</w:t>
      </w:r>
    </w:p>
    <w:p>
      <w:pPr>
        <w:keepNext w:val="0"/>
        <w:keepLines w:val="0"/>
        <w:pageBreakBefore w:val="0"/>
        <w:widowControl w:val="0"/>
        <w:kinsoku/>
        <w:wordWrap/>
        <w:overflowPunct/>
        <w:topLinePunct w:val="0"/>
        <w:autoSpaceDE/>
        <w:autoSpaceDN/>
        <w:adjustRightInd/>
        <w:snapToGrid/>
        <w:spacing w:line="578" w:lineRule="exact"/>
        <w:ind w:left="640"/>
        <w:rPr>
          <w:rFonts w:hint="eastAsia" w:ascii="仿宋" w:eastAsia="仿宋" w:cs="仿宋"/>
          <w:bCs/>
          <w:sz w:val="32"/>
          <w:szCs w:val="32"/>
        </w:rPr>
      </w:pPr>
      <w:r>
        <w:rPr>
          <w:rFonts w:hint="eastAsia" w:ascii="仿宋" w:eastAsia="仿宋" w:cs="仿宋"/>
          <w:bCs/>
          <w:sz w:val="32"/>
          <w:szCs w:val="32"/>
          <w:highlight w:val="none"/>
        </w:rPr>
        <w:t>指标分值16分，自评得分16分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我单位在规定时间内做好人大经费个性化绩效评价指标具有特定的针对性，能够更好地反映人大工作其特定业务领域的表现，可以增强人大工作的积极性和工作热情。提高部门的整体绩效水平。</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人大工作知晓率:通过宣传和教育活动提高公众对人大工作的认识和参与度,以提高人大工作管理效率和质量。</w:t>
      </w:r>
      <w:r>
        <w:rPr>
          <w:rFonts w:hint="eastAsia" w:ascii="仿宋" w:eastAsia="仿宋" w:cs="仿宋"/>
          <w:sz w:val="32"/>
          <w:szCs w:val="32"/>
          <w:lang w:eastAsia="zh-CN"/>
        </w:rPr>
        <w:t>指标分值</w:t>
      </w:r>
      <w:r>
        <w:rPr>
          <w:rFonts w:hint="eastAsia" w:ascii="仿宋" w:eastAsia="仿宋" w:cs="仿宋"/>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项目公示:按照公开要求，在门户网站中决算公开内容进行公示。</w:t>
      </w:r>
      <w:r>
        <w:rPr>
          <w:rFonts w:hint="eastAsia" w:ascii="仿宋" w:eastAsia="仿宋" w:cs="仿宋"/>
          <w:sz w:val="32"/>
          <w:szCs w:val="32"/>
          <w:lang w:eastAsia="zh-CN"/>
        </w:rPr>
        <w:t>指标分值</w:t>
      </w:r>
      <w:r>
        <w:rPr>
          <w:rFonts w:hint="eastAsia" w:ascii="仿宋" w:eastAsia="仿宋" w:cs="仿宋"/>
          <w:sz w:val="32"/>
          <w:szCs w:val="32"/>
          <w:lang w:val="en-US" w:eastAsia="zh-CN"/>
        </w:rPr>
        <w:t>5分，自评得分5分。</w:t>
      </w:r>
    </w:p>
    <w:p>
      <w:pPr>
        <w:keepNext w:val="0"/>
        <w:keepLines w:val="0"/>
        <w:pageBreakBefore w:val="0"/>
        <w:widowControl w:val="0"/>
        <w:kinsoku/>
        <w:wordWrap/>
        <w:overflowPunct/>
        <w:topLinePunct w:val="0"/>
        <w:autoSpaceDE/>
        <w:autoSpaceDN/>
        <w:bidi w:val="0"/>
        <w:adjustRightInd/>
        <w:snapToGrid/>
        <w:spacing w:line="578" w:lineRule="exact"/>
        <w:ind w:left="0" w:firstLine="640" w:firstLineChars="200"/>
        <w:textAlignment w:val="auto"/>
        <w:outlineLvl w:val="9"/>
        <w:rPr>
          <w:rFonts w:hint="eastAsia" w:ascii="仿宋" w:eastAsia="仿宋" w:cs="仿宋"/>
          <w:sz w:val="32"/>
          <w:szCs w:val="32"/>
          <w:lang w:val="en-US" w:eastAsia="zh-CN"/>
        </w:rPr>
      </w:pPr>
      <w:r>
        <w:rPr>
          <w:rFonts w:hint="eastAsia" w:ascii="仿宋" w:eastAsia="仿宋" w:cs="仿宋"/>
          <w:sz w:val="32"/>
          <w:szCs w:val="32"/>
          <w:lang w:val="en-US" w:eastAsia="zh-CN"/>
        </w:rPr>
        <w:t>项目监管力度：通过项目实施，进一步提升人大监督工作的力度。推进‌依法治国、建设社会主义法治国家，促进社会治理体系和治理能力现代化，以及体现人民性、维护人民利益等方面。通过行使监督权，人大及其常委会在保障‌宪法和法律正确实施、促进‌依法行政和‌公正司法、推动高质量发展、增进民生福祉等方面发挥着不可替代的作用。</w:t>
      </w:r>
      <w:r>
        <w:rPr>
          <w:rFonts w:hint="eastAsia" w:ascii="仿宋" w:eastAsia="仿宋" w:cs="仿宋"/>
          <w:sz w:val="32"/>
          <w:szCs w:val="32"/>
          <w:lang w:eastAsia="zh-CN"/>
        </w:rPr>
        <w:t>指标分值</w:t>
      </w:r>
      <w:r>
        <w:rPr>
          <w:rFonts w:hint="eastAsia" w:ascii="仿宋" w:eastAsia="仿宋" w:cs="仿宋"/>
          <w:sz w:val="32"/>
          <w:szCs w:val="32"/>
          <w:lang w:val="en-US" w:eastAsia="zh-CN"/>
        </w:rPr>
        <w:t>6分，自评得分6分。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四、评价结论</w:t>
      </w:r>
    </w:p>
    <w:p>
      <w:pPr>
        <w:adjustRightInd w:val="0"/>
        <w:snapToGrid w:val="0"/>
        <w:spacing w:line="520" w:lineRule="exact"/>
        <w:ind w:firstLine="640" w:firstLineChars="200"/>
        <w:rPr>
          <w:rFonts w:hint="eastAsia" w:ascii="仿宋" w:eastAsia="仿宋" w:cs="仿宋"/>
          <w:sz w:val="32"/>
          <w:szCs w:val="32"/>
        </w:rPr>
      </w:pPr>
      <w:r>
        <w:rPr>
          <w:rFonts w:hint="eastAsia" w:ascii="仿宋" w:eastAsia="仿宋" w:cs="仿宋"/>
          <w:sz w:val="32"/>
          <w:szCs w:val="32"/>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r>
        <w:rPr>
          <w:rFonts w:hint="eastAsia" w:ascii="仿宋_GB2312" w:eastAsia="仿宋_GB2312" w:cs="仿宋_GB2312"/>
          <w:b w:val="0"/>
          <w:bCs w:val="0"/>
          <w:kern w:val="0"/>
          <w:position w:val="0"/>
          <w:sz w:val="32"/>
          <w:szCs w:val="32"/>
          <w:highlight w:val="none"/>
          <w:lang w:val="en-US" w:eastAsia="zh-CN" w:bidi="ar-SA"/>
        </w:rPr>
        <w:t>通过汇总、整理、分析</w:t>
      </w:r>
      <w:r>
        <w:rPr>
          <w:rFonts w:ascii="仿宋_GB2312" w:eastAsia="仿宋_GB2312" w:cs="仿宋_GB2312"/>
          <w:b w:val="0"/>
          <w:bCs w:val="0"/>
          <w:kern w:val="0"/>
          <w:position w:val="0"/>
          <w:sz w:val="32"/>
          <w:szCs w:val="32"/>
          <w:highlight w:val="none"/>
          <w:lang w:val="en-US" w:eastAsia="zh-CN" w:bidi="ar-SA"/>
        </w:rPr>
        <w:t>人大建设</w:t>
      </w:r>
      <w:r>
        <w:rPr>
          <w:rFonts w:hint="eastAsia" w:ascii="仿宋_GB2312" w:eastAsia="仿宋_GB2312" w:cs="仿宋_GB2312"/>
          <w:b w:val="0"/>
          <w:bCs w:val="0"/>
          <w:kern w:val="0"/>
          <w:position w:val="0"/>
          <w:sz w:val="32"/>
          <w:szCs w:val="32"/>
          <w:highlight w:val="none"/>
          <w:lang w:val="en-US" w:eastAsia="zh-CN" w:bidi="ar-SA"/>
        </w:rPr>
        <w:t>项目绩效评价指标体系，绩效目标基本实现，自评得分为100分。</w:t>
      </w:r>
    </w:p>
    <w:p>
      <w:pPr>
        <w:pStyle w:val="9"/>
        <w:keepNext w:val="0"/>
        <w:keepLines w:val="0"/>
        <w:widowControl/>
        <w:suppressLineNumbers w:val="0"/>
        <w:spacing w:before="0" w:beforeAutospacing="0" w:after="0" w:afterAutospacing="0" w:line="600" w:lineRule="exact"/>
        <w:ind w:left="0" w:right="0" w:firstLine="640" w:firstLineChars="200"/>
        <w:jc w:val="left"/>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五、存在主要问题</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1、内部管理上较为粗糙。</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2、预算执行力度不够。</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3、预算编制的前瞻性不够,导致预算和实际支出存在调整。</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黑体" w:eastAsia="黑体" w:cs="黑体"/>
          <w:kern w:val="0"/>
          <w:position w:val="3"/>
          <w:sz w:val="32"/>
          <w:szCs w:val="32"/>
        </w:rPr>
      </w:pPr>
      <w:r>
        <w:rPr>
          <w:rFonts w:hint="eastAsia" w:ascii="黑体" w:eastAsia="黑体" w:cs="黑体"/>
          <w:kern w:val="0"/>
          <w:position w:val="3"/>
          <w:sz w:val="32"/>
          <w:szCs w:val="32"/>
          <w:lang w:val="en-US" w:eastAsia="zh-CN"/>
        </w:rPr>
        <w:t>六、改进建议</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1、建议加强对</w:t>
      </w:r>
      <w:r>
        <w:rPr>
          <w:rFonts w:hint="eastAsia" w:ascii="仿宋" w:eastAsia="仿宋" w:cs="仿宋"/>
          <w:sz w:val="32"/>
          <w:szCs w:val="32"/>
        </w:rPr>
        <w:t>项目</w:t>
      </w:r>
      <w:r>
        <w:rPr>
          <w:rFonts w:hint="eastAsia" w:ascii="仿宋" w:eastAsia="仿宋" w:cs="仿宋"/>
          <w:kern w:val="2"/>
          <w:sz w:val="32"/>
          <w:szCs w:val="32"/>
          <w:lang w:val="en-US" w:eastAsia="zh-CN" w:bidi="ar-SA"/>
        </w:rPr>
        <w:t>工作的培训和指导，进一步优化项目专项</w:t>
      </w:r>
      <w:r>
        <w:rPr>
          <w:rFonts w:hint="eastAsia" w:ascii="仿宋" w:eastAsia="仿宋" w:cs="仿宋"/>
          <w:sz w:val="32"/>
          <w:szCs w:val="32"/>
        </w:rPr>
        <w:t>预算项目支出绩效</w:t>
      </w:r>
      <w:r>
        <w:rPr>
          <w:rFonts w:hint="eastAsia" w:ascii="仿宋" w:eastAsia="仿宋" w:cs="仿宋"/>
          <w:sz w:val="32"/>
          <w:szCs w:val="32"/>
          <w:lang w:val="en-US" w:eastAsia="zh-CN"/>
        </w:rPr>
        <w:t>，</w:t>
      </w:r>
      <w:r>
        <w:rPr>
          <w:rFonts w:hint="eastAsia" w:ascii="仿宋" w:eastAsia="仿宋" w:cs="仿宋"/>
          <w:kern w:val="2"/>
          <w:sz w:val="32"/>
          <w:szCs w:val="32"/>
          <w:lang w:val="en-US" w:eastAsia="zh-CN" w:bidi="ar-SA"/>
        </w:rPr>
        <w:t>做到合理性与可操作性的有机统一。</w:t>
      </w:r>
    </w:p>
    <w:p>
      <w:pPr>
        <w:keepNext w:val="0"/>
        <w:keepLines w:val="0"/>
        <w:pageBreakBefore w:val="0"/>
        <w:widowControl w:val="0"/>
        <w:pBdr>
          <w:bottom w:val="single" w:color="FFFFFF" w:sz="4" w:space="31"/>
        </w:pBdr>
        <w:kinsoku/>
        <w:wordWrap/>
        <w:overflowPunct/>
        <w:topLinePunct w:val="0"/>
        <w:autoSpaceDE/>
        <w:autoSpaceDN/>
        <w:bidi w:val="0"/>
        <w:adjustRightInd/>
        <w:snapToGrid/>
        <w:ind w:left="0" w:firstLine="640" w:firstLineChars="200"/>
        <w:textAlignment w:val="auto"/>
        <w:rPr>
          <w:rFonts w:ascii="Times New Roman" w:hAnsi="Times New Roman" w:eastAsia="仿宋_GB2312" w:cs="仿宋_GB2312"/>
          <w:color w:val="000000"/>
          <w:kern w:val="0"/>
          <w:sz w:val="32"/>
          <w:szCs w:val="32"/>
          <w:shd w:val="clear" w:color="auto" w:fill="FFFFFF"/>
        </w:rPr>
      </w:pPr>
      <w:r>
        <w:rPr>
          <w:rFonts w:hint="eastAsia" w:ascii="仿宋" w:eastAsia="仿宋" w:cs="仿宋"/>
          <w:kern w:val="2"/>
          <w:sz w:val="32"/>
          <w:szCs w:val="32"/>
          <w:lang w:val="en-US" w:eastAsia="zh-CN" w:bidi="ar-SA"/>
        </w:rPr>
        <w:t>2、细化预算编制工作，加强单位内部机构的预算管理意识，科学规划，提高财政资金使用效率，减少预算资金的调整、结转和结余的情形。</w:t>
      </w:r>
      <w:r>
        <w:rPr>
          <w:rFonts w:ascii="Times New Roman" w:hAnsi="Times New Roman" w:eastAsia="仿宋_GB2312" w:cs="仿宋_GB2312"/>
          <w:color w:val="000000"/>
          <w:kern w:val="0"/>
          <w:sz w:val="32"/>
          <w:szCs w:val="32"/>
          <w:shd w:val="clear" w:color="auto" w:fill="FFFFFF"/>
          <w:lang w:val="en-US" w:eastAsia="zh-CN"/>
        </w:rPr>
        <w:t xml:space="preserve"> </w:t>
      </w: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仿宋_GB2312" w:eastAsia="仿宋_GB2312" w:cs="仿宋_GB2312"/>
          <w:color w:val="000000"/>
          <w:kern w:val="0"/>
          <w:sz w:val="32"/>
          <w:szCs w:val="32"/>
          <w:shd w:val="clear" w:color="auto" w:fill="FFFFFF"/>
          <w:lang w:val="en-US" w:eastAsia="zh-CN"/>
        </w:rPr>
      </w:pPr>
    </w:p>
    <w:p>
      <w:pPr>
        <w:keepNext w:val="0"/>
        <w:keepLines w:val="0"/>
        <w:widowControl w:val="0"/>
        <w:suppressLineNumbers w:val="0"/>
        <w:snapToGrid w:val="0"/>
        <w:spacing w:before="0" w:beforeAutospacing="0" w:after="0" w:afterAutospacing="0" w:line="578" w:lineRule="exact"/>
        <w:ind w:left="0" w:right="0" w:firstLine="640" w:firstLineChars="200"/>
        <w:jc w:val="both"/>
        <w:rPr>
          <w:rFonts w:ascii="Times New Roman" w:hAnsi="Times New Roman" w:eastAsia="仿宋_GB2312" w:cs="仿宋_GB2312"/>
          <w:color w:val="000000"/>
          <w:kern w:val="0"/>
          <w:sz w:val="32"/>
          <w:szCs w:val="32"/>
          <w:shd w:val="clear" w:color="auto" w:fill="FFFFFF"/>
        </w:rPr>
      </w:pPr>
      <w:r>
        <w:rPr>
          <w:rFonts w:ascii="仿宋_GB2312" w:eastAsia="仿宋_GB2312" w:cs="仿宋_GB2312"/>
          <w:color w:val="000000"/>
          <w:kern w:val="0"/>
          <w:sz w:val="32"/>
          <w:szCs w:val="32"/>
          <w:shd w:val="clear" w:color="auto" w:fill="FFFFFF"/>
          <w:lang w:val="en-US" w:eastAsia="zh-CN"/>
        </w:rPr>
        <w:t>附表：</w:t>
      </w:r>
      <w:r>
        <w:rPr>
          <w:rFonts w:ascii="Times New Roman" w:hAnsi="Times New Roman" w:eastAsia="仿宋_GB2312" w:cs="仿宋_GB2312"/>
          <w:color w:val="000000"/>
          <w:kern w:val="0"/>
          <w:sz w:val="32"/>
          <w:szCs w:val="32"/>
          <w:shd w:val="clear" w:color="auto" w:fill="FFFFFF"/>
          <w:lang w:val="en-US" w:eastAsia="zh-CN"/>
        </w:rPr>
        <w:t>1.</w:t>
      </w:r>
      <w:r>
        <w:rPr>
          <w:rFonts w:ascii="仿宋_GB2312" w:eastAsia="仿宋_GB2312" w:cs="仿宋_GB2312"/>
          <w:color w:val="000000"/>
          <w:kern w:val="0"/>
          <w:sz w:val="32"/>
          <w:szCs w:val="32"/>
          <w:shd w:val="clear" w:color="auto" w:fill="FFFFFF"/>
          <w:lang w:val="en-US" w:eastAsia="zh-CN"/>
        </w:rPr>
        <w:t>项目资金分配涉及所有点位自评得分情况表</w:t>
      </w:r>
    </w:p>
    <w:p>
      <w:pPr>
        <w:keepNext w:val="0"/>
        <w:keepLines w:val="0"/>
        <w:widowControl w:val="0"/>
        <w:suppressLineNumbers w:val="0"/>
        <w:snapToGrid w:val="0"/>
        <w:spacing w:before="0" w:beforeAutospacing="0" w:after="0" w:afterAutospacing="0" w:line="578" w:lineRule="exact"/>
        <w:ind w:left="0" w:right="0" w:firstLine="1600" w:firstLineChars="500"/>
        <w:jc w:val="both"/>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t>2.</w:t>
      </w:r>
      <w:r>
        <w:rPr>
          <w:rFonts w:ascii="仿宋_GB2312" w:eastAsia="仿宋_GB2312" w:cs="仿宋_GB2312"/>
          <w:color w:val="000000"/>
          <w:kern w:val="0"/>
          <w:sz w:val="32"/>
          <w:szCs w:val="32"/>
          <w:shd w:val="clear" w:color="auto" w:fill="FFFFFF"/>
          <w:lang w:val="en-US" w:eastAsia="zh-CN"/>
        </w:rPr>
        <w:t>专项预算项目绩效目标完成情况自评表</w:t>
      </w: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right"/>
        <w:textAlignment w:val="auto"/>
        <w:outlineLvl w:val="9"/>
        <w:rPr>
          <w:rFonts w:hint="eastAsia" w:ascii="仿宋_GB2312" w:eastAsia="仿宋_GB2312" w:cs="仿宋_GB2312"/>
          <w:bCs/>
          <w:sz w:val="32"/>
          <w:szCs w:val="32"/>
          <w:lang w:val="en-US" w:eastAsia="zh-CN"/>
        </w:rPr>
      </w:pPr>
      <w:r>
        <w:rPr>
          <w:rFonts w:hint="eastAsia" w:ascii="仿宋_GB2312" w:eastAsia="仿宋_GB2312" w:cs="仿宋_GB2312"/>
          <w:bCs/>
          <w:sz w:val="32"/>
          <w:szCs w:val="32"/>
          <w:lang w:val="en-US" w:eastAsia="zh-CN"/>
        </w:rPr>
        <w:t xml:space="preserve"> 黑水县龙坝乡人民政府</w:t>
      </w:r>
    </w:p>
    <w:p>
      <w:pPr>
        <w:pStyle w:val="13"/>
        <w:jc w:val="right"/>
        <w:rPr>
          <w:rFonts w:hint="eastAsia" w:ascii="仿宋_GB2312" w:eastAsia="仿宋_GB2312" w:cs="仿宋_GB2312"/>
          <w:bCs/>
          <w:sz w:val="32"/>
          <w:szCs w:val="32"/>
          <w:lang w:val="en-US" w:eastAsia="zh-CN"/>
        </w:rPr>
      </w:pPr>
      <w:r>
        <w:rPr>
          <w:rFonts w:hint="eastAsia" w:ascii="方正小标宋简体" w:eastAsia="方正小标宋简体" w:cs="方正小标宋简体"/>
          <w:bCs/>
          <w:sz w:val="44"/>
          <w:szCs w:val="44"/>
          <w:lang w:val="en-US" w:eastAsia="zh-CN"/>
        </w:rPr>
        <w:t xml:space="preserve">                        </w:t>
      </w:r>
      <w:r>
        <w:rPr>
          <w:rFonts w:hint="eastAsia" w:ascii="仿宋_GB2312" w:eastAsia="仿宋_GB2312" w:cs="仿宋_GB2312"/>
          <w:bCs/>
          <w:sz w:val="32"/>
          <w:szCs w:val="32"/>
          <w:lang w:val="en-US" w:eastAsia="zh-CN"/>
        </w:rPr>
        <w:t>202</w:t>
      </w:r>
      <w:r>
        <w:rPr>
          <w:rFonts w:hint="eastAsia" w:ascii="仿宋_GB2312" w:cs="仿宋_GB2312"/>
          <w:bCs/>
          <w:sz w:val="32"/>
          <w:szCs w:val="32"/>
          <w:lang w:val="en-US" w:eastAsia="zh-CN"/>
        </w:rPr>
        <w:t>5</w:t>
      </w:r>
      <w:r>
        <w:rPr>
          <w:rFonts w:hint="eastAsia" w:ascii="仿宋_GB2312" w:eastAsia="仿宋_GB2312" w:cs="仿宋_GB2312"/>
          <w:bCs/>
          <w:sz w:val="32"/>
          <w:szCs w:val="32"/>
          <w:lang w:val="en-US" w:eastAsia="zh-CN"/>
        </w:rPr>
        <w:t>年</w:t>
      </w:r>
      <w:r>
        <w:rPr>
          <w:rFonts w:hint="eastAsia" w:ascii="仿宋_GB2312" w:cs="仿宋_GB2312"/>
          <w:bCs/>
          <w:sz w:val="32"/>
          <w:szCs w:val="32"/>
          <w:lang w:val="en-US" w:eastAsia="zh-CN"/>
        </w:rPr>
        <w:t xml:space="preserve"> 8</w:t>
      </w:r>
      <w:r>
        <w:rPr>
          <w:rFonts w:hint="eastAsia" w:ascii="仿宋_GB2312" w:eastAsia="仿宋_GB2312" w:cs="仿宋_GB2312"/>
          <w:bCs/>
          <w:sz w:val="32"/>
          <w:szCs w:val="32"/>
          <w:lang w:val="en-US" w:eastAsia="zh-CN"/>
        </w:rPr>
        <w:t>月</w:t>
      </w:r>
      <w:r>
        <w:rPr>
          <w:rFonts w:hint="eastAsia" w:ascii="仿宋_GB2312" w:cs="仿宋_GB2312"/>
          <w:bCs/>
          <w:sz w:val="32"/>
          <w:szCs w:val="32"/>
          <w:lang w:val="en-US" w:eastAsia="zh-CN"/>
        </w:rPr>
        <w:t>28</w:t>
      </w:r>
      <w:r>
        <w:rPr>
          <w:rFonts w:hint="eastAsia" w:ascii="仿宋_GB2312" w:eastAsia="仿宋_GB2312" w:cs="仿宋_GB2312"/>
          <w:bCs/>
          <w:sz w:val="32"/>
          <w:szCs w:val="32"/>
          <w:lang w:val="en-US" w:eastAsia="zh-CN"/>
        </w:rPr>
        <w:t>日</w:t>
      </w:r>
    </w:p>
    <w:p>
      <w:pPr>
        <w:pStyle w:val="10"/>
        <w:ind w:left="0" w:leftChars="0" w:firstLine="0" w:firstLineChars="0"/>
        <w:rPr>
          <w:rFonts w:hint="eastAsia" w:ascii="黑体" w:eastAsia="黑体" w:cs="黑体"/>
          <w:kern w:val="2"/>
          <w:sz w:val="32"/>
          <w:szCs w:val="32"/>
          <w:lang w:val="en-US" w:eastAsia="zh-CN" w:bidi="ar-SA"/>
        </w:rPr>
      </w:pPr>
    </w:p>
    <w:p>
      <w:pPr>
        <w:pStyle w:val="10"/>
        <w:ind w:left="0" w:leftChars="0" w:firstLine="0" w:firstLineChars="0"/>
        <w:rPr>
          <w:rFonts w:hint="eastAsia" w:ascii="黑体" w:eastAsia="黑体" w:cs="黑体"/>
          <w:kern w:val="2"/>
          <w:sz w:val="32"/>
          <w:szCs w:val="32"/>
          <w:lang w:val="en-US" w:eastAsia="zh-CN" w:bidi="ar-SA"/>
        </w:rPr>
      </w:pPr>
    </w:p>
    <w:p>
      <w:pPr>
        <w:keepNext w:val="0"/>
        <w:keepLines w:val="0"/>
        <w:widowControl w:val="0"/>
        <w:suppressLineNumbers w:val="0"/>
        <w:snapToGrid w:val="0"/>
        <w:spacing w:before="0" w:beforeAutospacing="0" w:after="0" w:afterAutospacing="0" w:line="578" w:lineRule="exact"/>
        <w:ind w:left="0" w:right="0"/>
        <w:jc w:val="both"/>
        <w:rPr>
          <w:rFonts w:hint="eastAsia" w:ascii="黑体" w:eastAsia="黑体" w:cs="黑体"/>
          <w:kern w:val="0"/>
          <w:sz w:val="32"/>
          <w:szCs w:val="32"/>
          <w:shd w:val="clear" w:color="auto" w:fill="FFFFFF"/>
        </w:rPr>
      </w:pPr>
      <w:r>
        <w:rPr>
          <w:rFonts w:ascii="Times New Roman" w:hAnsi="Times New Roman" w:eastAsia="仿宋_GB2312" w:cs="仿宋_GB2312"/>
          <w:color w:val="000000"/>
          <w:kern w:val="0"/>
          <w:sz w:val="32"/>
          <w:szCs w:val="32"/>
          <w:shd w:val="clear" w:color="auto" w:fill="FFFFFF"/>
          <w:lang w:val="en-US" w:eastAsia="zh-CN"/>
        </w:rPr>
        <w:br w:type="page"/>
      </w:r>
      <w:r>
        <w:rPr>
          <w:rFonts w:ascii="仿宋_GB2312" w:eastAsia="仿宋_GB2312" w:cs="仿宋_GB2312"/>
          <w:kern w:val="0"/>
          <w:sz w:val="32"/>
          <w:szCs w:val="32"/>
          <w:lang w:val="en-US" w:eastAsia="zh-CN"/>
        </w:rPr>
        <w:t>附表1</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 xml:space="preserve"> </w:t>
      </w:r>
    </w:p>
    <w:p>
      <w:pPr>
        <w:keepNext w:val="0"/>
        <w:keepLines w:val="0"/>
        <w:widowControl w:val="0"/>
        <w:suppressLineNumbers w:val="0"/>
        <w:spacing w:before="0" w:beforeAutospacing="0" w:after="0" w:afterAutospacing="0" w:line="578" w:lineRule="exact"/>
        <w:ind w:left="0" w:right="0"/>
        <w:jc w:val="center"/>
        <w:rPr>
          <w:rFonts w:ascii="方正小标宋_GBK" w:eastAsia="方正小标宋_GBK" w:cs="方正小标宋_GBK"/>
          <w:kern w:val="2"/>
          <w:sz w:val="40"/>
          <w:szCs w:val="40"/>
        </w:rPr>
      </w:pPr>
      <w:r>
        <w:rPr>
          <w:rFonts w:ascii="方正小标宋_GBK" w:eastAsia="方正小标宋_GBK" w:cs="方正小标宋_GBK"/>
          <w:kern w:val="2"/>
          <w:sz w:val="40"/>
          <w:szCs w:val="40"/>
          <w:lang w:val="en-US" w:eastAsia="zh-CN"/>
        </w:rPr>
        <w:t>项目资金分配涉及所有点位自评得分情况表</w:t>
      </w:r>
    </w:p>
    <w:tbl>
      <w:tblPr>
        <w:tblStyle w:val="11"/>
        <w:tblW w:w="8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123"/>
        <w:gridCol w:w="3843"/>
        <w:gridCol w:w="2861"/>
        <w:gridCol w:w="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序号</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项目资金末端分配点位</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自评得分（百分制）</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黑体" w:eastAsia="黑体" w:cs="黑体"/>
                <w:kern w:val="2"/>
                <w:sz w:val="24"/>
                <w:szCs w:val="24"/>
              </w:rPr>
            </w:pPr>
            <w:r>
              <w:rPr>
                <w:rFonts w:hint="eastAsia" w:ascii="黑体" w:eastAsia="黑体" w:cs="黑体"/>
                <w:kern w:val="2"/>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3" w:hRule="atLeast"/>
          <w:jc w:val="center"/>
        </w:trPr>
        <w:tc>
          <w:tcPr>
            <w:tcW w:w="1123" w:type="dxa"/>
            <w:tcBorders>
              <w:top w:val="single" w:color="auto" w:sz="4" w:space="0"/>
              <w:left w:val="single" w:color="auto" w:sz="4" w:space="0"/>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center"/>
              <w:rPr>
                <w:rFonts w:hint="eastAsia" w:ascii="宋体" w:eastAsia="宋体" w:cs="宋体"/>
                <w:kern w:val="2"/>
                <w:sz w:val="24"/>
                <w:szCs w:val="24"/>
              </w:rPr>
            </w:pPr>
            <w:r>
              <w:rPr>
                <w:rFonts w:hint="eastAsia" w:ascii="宋体" w:eastAsia="宋体" w:cs="宋体"/>
                <w:kern w:val="2"/>
                <w:sz w:val="24"/>
                <w:szCs w:val="24"/>
                <w:lang w:val="en-US" w:eastAsia="zh-CN"/>
              </w:rPr>
              <w:t>1</w:t>
            </w:r>
          </w:p>
        </w:tc>
        <w:tc>
          <w:tcPr>
            <w:tcW w:w="384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hint="eastAsia" w:ascii="宋体" w:hAnsi="宋体" w:eastAsia="仿宋_GB2312" w:cs="宋体"/>
                <w:kern w:val="2"/>
                <w:sz w:val="24"/>
                <w:szCs w:val="24"/>
                <w:lang w:val="en-US" w:eastAsia="zh-CN"/>
              </w:rPr>
              <w:t>龙坝乡人民政府</w:t>
            </w:r>
          </w:p>
        </w:tc>
        <w:tc>
          <w:tcPr>
            <w:tcW w:w="2861"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lang w:val="en-US"/>
              </w:rPr>
            </w:pPr>
            <w:r>
              <w:rPr>
                <w:rFonts w:ascii="宋体" w:hAnsi="宋体" w:eastAsia="仿宋_GB2312" w:cs="宋体"/>
                <w:kern w:val="2"/>
                <w:sz w:val="24"/>
                <w:szCs w:val="24"/>
                <w:lang w:val="en-US" w:eastAsia="zh-CN"/>
              </w:rPr>
              <w:t>100</w:t>
            </w:r>
          </w:p>
        </w:tc>
        <w:tc>
          <w:tcPr>
            <w:tcW w:w="993" w:type="dxa"/>
            <w:tcBorders>
              <w:top w:val="single" w:color="auto" w:sz="4" w:space="0"/>
              <w:left w:val="nil"/>
              <w:bottom w:val="single" w:color="auto" w:sz="4" w:space="0"/>
              <w:right w:val="single" w:color="auto" w:sz="4" w:space="0"/>
            </w:tcBorders>
            <w:shd w:val="clear" w:color="auto" w:fill="auto"/>
            <w:noWrap/>
          </w:tcPr>
          <w:p>
            <w:pPr>
              <w:keepNext w:val="0"/>
              <w:keepLines w:val="0"/>
              <w:widowControl w:val="0"/>
              <w:suppressLineNumbers w:val="0"/>
              <w:spacing w:before="0" w:beforeAutospacing="0" w:after="0" w:afterAutospacing="0" w:line="300" w:lineRule="exact"/>
              <w:ind w:left="0" w:right="0"/>
              <w:jc w:val="both"/>
              <w:rPr>
                <w:rFonts w:ascii="宋体" w:hAnsi="宋体" w:eastAsia="仿宋_GB2312" w:cs="宋体"/>
                <w:kern w:val="2"/>
                <w:sz w:val="24"/>
                <w:szCs w:val="24"/>
              </w:rPr>
            </w:pPr>
          </w:p>
        </w:tc>
      </w:tr>
    </w:tbl>
    <w:p>
      <w:pPr>
        <w:keepNext w:val="0"/>
        <w:keepLines w:val="0"/>
        <w:widowControl w:val="0"/>
        <w:suppressLineNumbers w:val="0"/>
        <w:spacing w:before="0" w:beforeAutospacing="0" w:after="0" w:afterAutospacing="0" w:line="400" w:lineRule="exact"/>
        <w:ind w:left="0" w:right="0"/>
        <w:jc w:val="left"/>
        <w:rPr>
          <w:rFonts w:hint="eastAsia" w:ascii="宋体" w:eastAsia="宋体" w:cs="宋体"/>
          <w:kern w:val="2"/>
          <w:sz w:val="21"/>
          <w:szCs w:val="21"/>
        </w:rPr>
      </w:pPr>
      <w:r>
        <w:rPr>
          <w:rFonts w:hint="eastAsia" w:ascii="宋体" w:eastAsia="宋体" w:cs="宋体"/>
          <w:kern w:val="2"/>
          <w:sz w:val="21"/>
          <w:szCs w:val="21"/>
          <w:lang w:val="en-US" w:eastAsia="zh-CN"/>
        </w:rPr>
        <w:t>备注：1.项目资金末端分配点位包括市（州）本级、县（市、区）、省级部门下属单位及一次性单位等。</w:t>
      </w:r>
    </w:p>
    <w:p>
      <w:pPr>
        <w:keepNext w:val="0"/>
        <w:keepLines w:val="0"/>
        <w:widowControl w:val="0"/>
        <w:suppressLineNumbers w:val="0"/>
        <w:spacing w:before="0" w:beforeAutospacing="0" w:after="0" w:afterAutospacing="0" w:line="400" w:lineRule="exact"/>
        <w:ind w:left="0" w:right="0" w:firstLine="630" w:firstLineChars="300"/>
        <w:jc w:val="left"/>
        <w:rPr>
          <w:rFonts w:hint="eastAsia" w:ascii="宋体" w:eastAsia="宋体" w:cs="宋体"/>
          <w:kern w:val="2"/>
          <w:sz w:val="21"/>
          <w:szCs w:val="21"/>
        </w:rPr>
      </w:pPr>
      <w:r>
        <w:rPr>
          <w:rFonts w:hint="eastAsia" w:ascii="宋体" w:eastAsia="宋体" w:cs="宋体"/>
          <w:kern w:val="2"/>
          <w:sz w:val="21"/>
          <w:szCs w:val="21"/>
          <w:lang w:val="en-US" w:eastAsia="zh-CN"/>
        </w:rPr>
        <w:t>2.自评得分（百分制）从高到低划分为优、良、中、差四个档次，各个档次数量占比分别为20%、20%、55%、5%，且不同档次间得分分值应体现差异化，同档次得分分值相同的比例不超过该档次总数量的10%。</w:t>
      </w:r>
    </w:p>
    <w:p>
      <w:pPr>
        <w:keepNext w:val="0"/>
        <w:keepLines w:val="0"/>
        <w:widowControl w:val="0"/>
        <w:suppressLineNumbers w:val="0"/>
        <w:spacing w:before="0" w:beforeAutospacing="0" w:after="0" w:afterAutospacing="0"/>
        <w:ind w:left="0" w:right="0"/>
        <w:jc w:val="both"/>
        <w:rPr>
          <w:rFonts w:ascii="仿宋_GB2312" w:eastAsia="仿宋_GB2312" w:cs="仿宋_GB2312"/>
          <w:kern w:val="0"/>
          <w:sz w:val="32"/>
          <w:szCs w:val="32"/>
        </w:rPr>
      </w:pPr>
      <w:r>
        <w:rPr>
          <w:rFonts w:ascii="Times New Roman" w:hAnsi="Times New Roman" w:eastAsia="仿宋_GB2312" w:cs="仿宋_GB2312"/>
          <w:kern w:val="2"/>
          <w:sz w:val="32"/>
          <w:szCs w:val="32"/>
          <w:lang w:val="en-US" w:eastAsia="zh-CN"/>
        </w:rPr>
        <w:br w:type="page"/>
      </w:r>
      <w:r>
        <w:rPr>
          <w:rFonts w:ascii="仿宋_GB2312" w:eastAsia="仿宋_GB2312" w:cs="仿宋_GB2312"/>
          <w:kern w:val="0"/>
          <w:sz w:val="32"/>
          <w:szCs w:val="32"/>
          <w:lang w:val="en-US" w:eastAsia="zh-CN"/>
        </w:rPr>
        <w:t>附表2</w:t>
      </w:r>
    </w:p>
    <w:tbl>
      <w:tblPr>
        <w:tblStyle w:val="11"/>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081"/>
        <w:gridCol w:w="1250"/>
        <w:gridCol w:w="1312"/>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3"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line="600" w:lineRule="exact"/>
              <w:ind w:left="0" w:right="0"/>
              <w:jc w:val="center"/>
              <w:textAlignment w:val="center"/>
              <w:rPr>
                <w:rFonts w:hint="eastAsia" w:ascii="黑体" w:eastAsia="黑体" w:cs="黑体"/>
                <w:color w:val="000000"/>
                <w:kern w:val="2"/>
                <w:sz w:val="30"/>
                <w:szCs w:val="30"/>
              </w:rPr>
            </w:pPr>
            <w:r>
              <w:rPr>
                <w:rFonts w:ascii="方正小标宋简体" w:eastAsia="方正小标宋简体" w:cs="方正小标宋简体"/>
                <w:color w:val="000000"/>
                <w:kern w:val="0"/>
                <w:sz w:val="40"/>
                <w:szCs w:val="40"/>
                <w:lang w:val="en-US" w:eastAsia="zh-CN"/>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项目名称</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eastAsia="宋体" w:cs="宋体"/>
                <w:color w:val="000000"/>
                <w:kern w:val="0"/>
                <w:sz w:val="24"/>
                <w:szCs w:val="24"/>
                <w:lang w:val="en-US" w:eastAsia="zh-CN"/>
              </w:rPr>
              <w:t>龙坝乡</w:t>
            </w:r>
            <w:r>
              <w:rPr>
                <w:rFonts w:hint="eastAsia" w:ascii="宋体" w:cs="宋体"/>
                <w:color w:val="000000"/>
                <w:kern w:val="0"/>
                <w:sz w:val="24"/>
                <w:szCs w:val="24"/>
                <w:lang w:val="en-US" w:eastAsia="zh-CN"/>
              </w:rPr>
              <w:t>人大</w:t>
            </w:r>
            <w:r>
              <w:rPr>
                <w:rFonts w:hint="eastAsia" w:ascii="宋体" w:eastAsia="宋体" w:cs="宋体"/>
                <w:color w:val="000000"/>
                <w:kern w:val="0"/>
                <w:sz w:val="24"/>
                <w:szCs w:val="24"/>
                <w:lang w:val="en-US" w:eastAsia="zh-CN"/>
              </w:rPr>
              <w:t>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预算单位</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黑水县龙坝乡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项目类型</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Times New Roman" w:hAnsi="Times New Roman" w:eastAsia="仿宋_GB2312" w:cs="仿宋_GB2312"/>
                <w:kern w:val="2"/>
                <w:sz w:val="32"/>
                <w:szCs w:val="32"/>
              </w:rPr>
            </w:pPr>
            <w:r>
              <w:rPr>
                <w:rFonts w:hint="eastAsia" w:ascii="宋体" w:eastAsia="宋体" w:cs="宋体"/>
                <w:color w:val="000000"/>
                <w:kern w:val="0"/>
                <w:sz w:val="24"/>
                <w:szCs w:val="24"/>
                <w:lang w:val="en-US" w:eastAsia="zh-CN"/>
              </w:rPr>
              <w:t>经常性项目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 概况</w:t>
            </w: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中长期规划（名称、文号，仅指</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常年项目）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资金管理办法（名称、文号）</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绩效分配方式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因素法</w:t>
            </w:r>
          </w:p>
        </w:tc>
        <w:tc>
          <w:tcPr>
            <w:tcW w:w="203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£项目法</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Wingdings 2" w:hAnsi="Wingdings 2" w:eastAsia="Wingdings 2" w:cs="Wingdings 2"/>
                <w:color w:val="000000"/>
                <w:kern w:val="0"/>
                <w:sz w:val="24"/>
                <w:szCs w:val="24"/>
                <w:lang w:val="en-US" w:eastAsia="zh-CN"/>
              </w:rPr>
              <w:t>£</w:t>
            </w:r>
            <w:r>
              <w:rPr>
                <w:rFonts w:hint="eastAsia" w:ascii="宋体" w:eastAsia="宋体" w:cs="宋体"/>
                <w:color w:val="000000"/>
                <w:kern w:val="0"/>
                <w:sz w:val="24"/>
                <w:szCs w:val="24"/>
                <w:lang w:val="en-US" w:eastAsia="zh-CN"/>
              </w:rPr>
              <w:t>据实据效</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ascii="Wingdings 2" w:hAnsi="Wingdings 2" w:eastAsia="Wingdings 2" w:cs="Wingdings 2"/>
                <w:color w:val="000000"/>
                <w:kern w:val="2"/>
                <w:sz w:val="24"/>
                <w:szCs w:val="24"/>
              </w:rPr>
            </w:pPr>
            <w:r>
              <w:rPr>
                <w:rFonts w:ascii="Arial" w:hAnsi="Arial" w:eastAsia="宋体" w:cs="Arial"/>
                <w:color w:val="000000"/>
                <w:kern w:val="0"/>
                <w:sz w:val="24"/>
                <w:szCs w:val="24"/>
                <w:lang w:val="en-US" w:eastAsia="zh-CN"/>
              </w:rPr>
              <w:t>√</w:t>
            </w:r>
            <w:r>
              <w:rPr>
                <w:rFonts w:hint="eastAsia" w:ascii="宋体" w:eastAsia="宋体" w:cs="宋体"/>
                <w:color w:val="000000"/>
                <w:kern w:val="0"/>
                <w:sz w:val="24"/>
                <w:szCs w:val="24"/>
                <w:lang w:val="en-US" w:eastAsia="zh-CN"/>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立项依据</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使用范围</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ascii="宋体" w:eastAsia="宋体" w:cs="宋体"/>
                <w:color w:val="000000"/>
                <w:kern w:val="0"/>
                <w:sz w:val="24"/>
                <w:szCs w:val="24"/>
                <w:lang w:val="en-US"/>
              </w:rPr>
            </w:pPr>
            <w:r>
              <w:rPr>
                <w:rFonts w:hint="eastAsia" w:ascii="宋体" w:cs="宋体"/>
                <w:color w:val="000000"/>
                <w:kern w:val="0"/>
                <w:sz w:val="24"/>
                <w:szCs w:val="24"/>
                <w:lang w:val="en-US" w:eastAsia="zh-CN"/>
              </w:rPr>
              <w:t>用于乡人大日常工作开展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申报（补助）条件</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line="300" w:lineRule="exact"/>
              <w:ind w:left="0" w:right="0"/>
              <w:jc w:val="left"/>
              <w:rPr>
                <w:rFonts w:hint="eastAsia" w:ascii="宋体" w:eastAsia="宋体" w:cs="宋体"/>
                <w:color w:val="000000"/>
                <w:kern w:val="2"/>
                <w:sz w:val="24"/>
                <w:szCs w:val="24"/>
              </w:rPr>
            </w:pPr>
            <w:r>
              <w:rPr>
                <w:rFonts w:hint="eastAsia" w:ascii="宋体" w:eastAsia="宋体" w:cs="宋体"/>
                <w:color w:val="000000"/>
                <w:kern w:val="2"/>
                <w:sz w:val="24"/>
                <w:szCs w:val="24"/>
                <w:lang w:val="en-US" w:eastAsia="zh-CN"/>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3643" w:type="dxa"/>
            <w:gridSpan w:val="3"/>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项目起止年限</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r>
              <w:rPr>
                <w:rFonts w:hint="eastAsia" w:ascii="Times New Roman" w:hAnsi="Times New Roman" w:eastAsia="宋体" w:cs="宋体"/>
                <w:color w:val="000000"/>
                <w:kern w:val="0"/>
                <w:sz w:val="24"/>
                <w:szCs w:val="24"/>
                <w:lang w:val="en-US" w:eastAsia="zh-CN"/>
              </w:rPr>
              <w:t>202</w:t>
            </w:r>
            <w:r>
              <w:rPr>
                <w:rFonts w:hint="eastAsia" w:ascii="Times New Roman" w:hAnsi="Times New Roman" w:cs="宋体"/>
                <w:color w:val="000000"/>
                <w:kern w:val="0"/>
                <w:sz w:val="24"/>
                <w:szCs w:val="24"/>
                <w:lang w:val="en-US" w:eastAsia="zh-CN"/>
              </w:rPr>
              <w:t>4</w:t>
            </w:r>
            <w:r>
              <w:rPr>
                <w:rFonts w:hint="eastAsia" w:ascii="宋体" w:eastAsia="宋体" w:cs="宋体"/>
                <w:color w:val="000000"/>
                <w:kern w:val="0"/>
                <w:sz w:val="24"/>
                <w:szCs w:val="24"/>
                <w:lang w:val="en-US" w:eastAsia="zh-CN"/>
              </w:rPr>
              <w:t>年</w:t>
            </w:r>
            <w:r>
              <w:rPr>
                <w:rFonts w:hint="eastAsia" w:ascii="Times New Roman" w:hAnsi="Times New Roman" w:eastAsia="宋体" w:cs="宋体"/>
                <w:color w:val="000000"/>
                <w:kern w:val="0"/>
                <w:sz w:val="24"/>
                <w:szCs w:val="24"/>
                <w:lang w:val="en-US" w:eastAsia="zh-CN"/>
              </w:rPr>
              <w:t>1月至</w:t>
            </w:r>
            <w:r>
              <w:rPr>
                <w:rFonts w:ascii="Times New Roman" w:hAnsi="Times New Roman" w:eastAsia="宋体" w:cs="Times New Roman"/>
                <w:color w:val="000000"/>
                <w:kern w:val="0"/>
                <w:sz w:val="24"/>
                <w:szCs w:val="24"/>
                <w:lang w:val="en-US" w:eastAsia="zh-CN"/>
              </w:rPr>
              <w:t>202</w:t>
            </w:r>
            <w:r>
              <w:rPr>
                <w:rFonts w:hint="eastAsia" w:ascii="Times New Roman" w:hAnsi="Times New Roman" w:cs="Times New Roman"/>
                <w:color w:val="000000"/>
                <w:kern w:val="0"/>
                <w:sz w:val="24"/>
                <w:szCs w:val="24"/>
                <w:lang w:val="en-US" w:eastAsia="zh-CN"/>
              </w:rPr>
              <w:t>4</w:t>
            </w:r>
            <w:r>
              <w:rPr>
                <w:rFonts w:hint="eastAsia" w:ascii="Times New Roman" w:hAnsi="Times New Roman" w:eastAsia="宋体" w:cs="宋体"/>
                <w:color w:val="000000"/>
                <w:kern w:val="0"/>
                <w:sz w:val="24"/>
                <w:szCs w:val="24"/>
                <w:lang w:val="en-US" w:eastAsia="zh-CN"/>
              </w:rPr>
              <w:t>年</w:t>
            </w:r>
            <w:r>
              <w:rPr>
                <w:rFonts w:ascii="Times New Roman" w:hAnsi="Times New Roman" w:eastAsia="宋体" w:cs="Times New Roman"/>
                <w:color w:val="000000"/>
                <w:kern w:val="0"/>
                <w:sz w:val="24"/>
                <w:szCs w:val="24"/>
                <w:lang w:val="en-US" w:eastAsia="zh-CN"/>
              </w:rPr>
              <w:t>1</w:t>
            </w:r>
            <w:r>
              <w:rPr>
                <w:rFonts w:hint="eastAsia" w:ascii="Times New Roman" w:hAnsi="Times New Roman" w:eastAsia="宋体" w:cs="宋体"/>
                <w:color w:val="000000"/>
                <w:kern w:val="0"/>
                <w:sz w:val="24"/>
                <w:szCs w:val="24"/>
                <w:lang w:val="en-US" w:eastAsia="zh-CN"/>
              </w:rPr>
              <w:t>2月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项目资金</w:t>
            </w:r>
          </w:p>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（万元）</w:t>
            </w: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年度资金总额：</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其中：财政拨款</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default"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2562" w:type="dxa"/>
            <w:gridSpan w:val="2"/>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 xml:space="preserve">            其他资金</w:t>
            </w:r>
          </w:p>
        </w:tc>
        <w:tc>
          <w:tcPr>
            <w:tcW w:w="5938" w:type="dxa"/>
            <w:gridSpan w:val="5"/>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Times New Roman" w:hAnsi="Times New Roman" w:eastAsia="宋体" w:cs="Times New Roman"/>
                <w:color w:val="000000"/>
                <w:kern w:val="0"/>
                <w:sz w:val="24"/>
                <w:szCs w:val="24"/>
              </w:rPr>
            </w:pPr>
            <w:r>
              <w:rPr>
                <w:rFonts w:hint="eastAsia" w:ascii="Times New Roman" w:hAnsi="Times New Roman" w:eastAsia="宋体" w:cs="Times New Roman"/>
                <w:color w:val="000000"/>
                <w:kern w:val="0"/>
                <w:sz w:val="24"/>
                <w:szCs w:val="24"/>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总体 目标</w:t>
            </w: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lang w:val="en-US" w:eastAsia="zh-CN"/>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9581" w:type="dxa"/>
            <w:gridSpan w:val="8"/>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lang w:val="en-US" w:eastAsia="zh-CN"/>
              </w:rPr>
            </w:pPr>
            <w:r>
              <w:rPr>
                <w:rFonts w:hint="eastAsia" w:ascii="宋体" w:eastAsia="宋体" w:cs="宋体"/>
                <w:color w:val="000000"/>
                <w:kern w:val="0"/>
                <w:sz w:val="24"/>
                <w:szCs w:val="24"/>
                <w:lang w:val="en-US" w:eastAsia="zh-CN"/>
              </w:rPr>
              <w:t>加强乡镇人大建设。乡镇人大设专职主席，提名为县人大代表人选;乡镇人大配备兼职副主席，主席、副主席依法不分管政府工作；切实加强乡镇人大工作力量，配备专兼职工作人员各1名，协助人大主席、副主席开展工作。乡镇人大主席、副主席在任期内，因工作或其他原因出缺，应依法及时进行补选。乡镇人大主席团和乡镇人大主席、副主席依法履行职责。</w:t>
            </w:r>
          </w:p>
          <w:p>
            <w:pPr>
              <w:keepNext w:val="0"/>
              <w:keepLines w:val="0"/>
              <w:widowControl/>
              <w:suppressLineNumbers w:val="0"/>
              <w:spacing w:before="0" w:beforeAutospacing="0" w:after="0" w:afterAutospacing="0" w:line="300" w:lineRule="exact"/>
              <w:ind w:left="0" w:right="0"/>
              <w:jc w:val="left"/>
              <w:textAlignment w:val="center"/>
              <w:rPr>
                <w:rFonts w:hint="eastAsia" w:ascii="宋体" w:eastAsia="宋体" w:cs="宋体"/>
                <w:color w:val="000000"/>
                <w:kern w:val="0"/>
                <w:sz w:val="24"/>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绩效 指标</w:t>
            </w:r>
          </w:p>
        </w:tc>
        <w:tc>
          <w:tcPr>
            <w:tcW w:w="10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一级指标</w:t>
            </w:r>
          </w:p>
        </w:tc>
        <w:tc>
          <w:tcPr>
            <w:tcW w:w="1250"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二级指标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三级指标</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指标性质</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指标值</w:t>
            </w: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度量单位</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权重</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line="300" w:lineRule="exact"/>
              <w:ind w:left="0" w:right="0"/>
              <w:jc w:val="center"/>
              <w:textAlignment w:val="center"/>
              <w:rPr>
                <w:rFonts w:hint="eastAsia" w:ascii="宋体" w:eastAsia="宋体" w:cs="宋体"/>
                <w:color w:val="000000"/>
                <w:kern w:val="2"/>
                <w:sz w:val="24"/>
                <w:szCs w:val="24"/>
              </w:rPr>
            </w:pPr>
            <w:r>
              <w:rPr>
                <w:rFonts w:hint="eastAsia" w:ascii="宋体" w:eastAsia="宋体" w:cs="宋体"/>
                <w:color w:val="000000"/>
                <w:kern w:val="0"/>
                <w:sz w:val="24"/>
                <w:szCs w:val="24"/>
                <w:lang w:val="en-US" w:eastAsia="zh-CN"/>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2"/>
                <w:sz w:val="24"/>
                <w:szCs w:val="24"/>
              </w:rPr>
            </w:pPr>
            <w:r>
              <w:rPr>
                <w:rFonts w:hint="eastAsia" w:ascii="等线" w:eastAsia="等线" w:cs="等线"/>
                <w:i w:val="0"/>
                <w:color w:val="000000"/>
                <w:kern w:val="0"/>
                <w:sz w:val="18"/>
                <w:szCs w:val="18"/>
                <w:u w:val="none"/>
                <w:lang w:val="en-US" w:eastAsia="zh-CN"/>
              </w:rPr>
              <w:t>产出指标</w:t>
            </w:r>
          </w:p>
        </w:tc>
        <w:tc>
          <w:tcPr>
            <w:tcW w:w="1250" w:type="dxa"/>
            <w:tcBorders>
              <w:top w:val="nil"/>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数量</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rPr>
                <w:rFonts w:hint="eastAsia" w:asci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100</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single" w:color="000000" w:sz="4" w:space="0"/>
              <w:right w:val="nil"/>
            </w:tcBorders>
            <w:shd w:val="clear" w:color="auto" w:fill="auto"/>
            <w:noWrap/>
            <w:vAlign w:val="center"/>
          </w:tcPr>
          <w:p/>
        </w:tc>
        <w:tc>
          <w:tcPr>
            <w:tcW w:w="1081" w:type="dxa"/>
            <w:tcBorders>
              <w:top w:val="nil"/>
              <w:left w:val="single" w:color="000000" w:sz="4" w:space="0"/>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ascii="Times New Roman" w:hAnsi="Times New Roman" w:cs="Times New Roman"/>
                <w:sz w:val="20"/>
                <w:szCs w:val="20"/>
              </w:rPr>
            </w:pPr>
            <w:r>
              <w:rPr>
                <w:rFonts w:hint="eastAsia" w:ascii="等线" w:eastAsia="等线" w:cs="等线"/>
                <w:i w:val="0"/>
                <w:color w:val="000000"/>
                <w:kern w:val="0"/>
                <w:sz w:val="18"/>
                <w:szCs w:val="18"/>
                <w:u w:val="none"/>
                <w:lang w:val="en-US" w:eastAsia="zh-CN"/>
              </w:rPr>
              <w:t>效益指标</w:t>
            </w:r>
          </w:p>
        </w:tc>
        <w:tc>
          <w:tcPr>
            <w:tcW w:w="1250" w:type="dxa"/>
            <w:tcBorders>
              <w:top w:val="nil"/>
              <w:left w:val="nil"/>
              <w:bottom w:val="nil"/>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ascii="Times New Roman" w:hAnsi="Times New Roman" w:cs="Times New Roman"/>
                <w:sz w:val="20"/>
                <w:szCs w:val="20"/>
              </w:rPr>
            </w:pPr>
            <w:r>
              <w:rPr>
                <w:rFonts w:hint="eastAsia" w:ascii="等线" w:eastAsia="等线" w:cs="等线"/>
                <w:i w:val="0"/>
                <w:color w:val="000000"/>
                <w:kern w:val="0"/>
                <w:sz w:val="18"/>
                <w:szCs w:val="18"/>
                <w:u w:val="none"/>
                <w:lang w:val="en-US" w:eastAsia="zh-CN"/>
              </w:rPr>
              <w:t>经济效益指标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效益</w:t>
            </w:r>
          </w:p>
        </w:tc>
        <w:tc>
          <w:tcPr>
            <w:tcW w:w="1127"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97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val="0"/>
              <w:suppressLineNumbers w:val="0"/>
              <w:spacing w:before="0" w:beforeAutospacing="0" w:after="0" w:afterAutospacing="0"/>
              <w:ind w:left="0" w:right="0"/>
              <w:rPr>
                <w:rFonts w:hint="eastAsia" w:ascii="宋体" w:eastAsia="宋体" w:cs="宋体"/>
                <w:color w:val="000000"/>
                <w:kern w:val="0"/>
                <w:sz w:val="24"/>
                <w:szCs w:val="24"/>
              </w:rPr>
            </w:pPr>
          </w:p>
        </w:tc>
        <w:tc>
          <w:tcPr>
            <w:tcW w:w="106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100</w:t>
            </w:r>
          </w:p>
        </w:tc>
        <w:tc>
          <w:tcPr>
            <w:tcW w:w="938"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w:t>
            </w:r>
          </w:p>
        </w:tc>
        <w:tc>
          <w:tcPr>
            <w:tcW w:w="1841" w:type="dxa"/>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left"/>
              <w:textAlignment w:val="center"/>
              <w:rPr>
                <w:rFonts w:hint="eastAsia" w:ascii="宋体" w:eastAsia="宋体" w:cs="宋体"/>
                <w:color w:val="000000"/>
                <w:kern w:val="0"/>
                <w:sz w:val="24"/>
                <w:szCs w:val="24"/>
              </w:rPr>
            </w:pPr>
            <w:r>
              <w:rPr>
                <w:rFonts w:hint="eastAsia" w:ascii="等线" w:eastAsia="等线" w:cs="等线"/>
                <w:i w:val="0"/>
                <w:color w:val="000000"/>
                <w:kern w:val="0"/>
                <w:sz w:val="18"/>
                <w:szCs w:val="18"/>
                <w:u w:val="none"/>
                <w:lang w:val="en-US" w:eastAsia="zh-CN"/>
              </w:rPr>
              <w:t>40</w:t>
            </w:r>
          </w:p>
        </w:tc>
      </w:tr>
    </w:tbl>
    <w:p>
      <w:pPr>
        <w:pStyle w:val="9"/>
        <w:keepNext w:val="0"/>
        <w:keepLines w:val="0"/>
        <w:widowControl w:val="0"/>
        <w:suppressLineNumbers w:val="0"/>
        <w:spacing w:before="0" w:beforeAutospacing="1" w:after="0" w:afterAutospacing="0" w:line="578" w:lineRule="exact"/>
        <w:ind w:left="0" w:right="0" w:firstLine="0"/>
        <w:jc w:val="both"/>
        <w:rPr>
          <w:rFonts w:hint="eastAsia" w:ascii="黑体" w:eastAsia="黑体" w:cs="黑体"/>
          <w:kern w:val="2"/>
          <w:sz w:val="24"/>
          <w:szCs w:val="24"/>
        </w:rPr>
      </w:pPr>
    </w:p>
    <w:p>
      <w:pPr>
        <w:pStyle w:val="2"/>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Luxi Sans">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Wingdings 2">
    <w:panose1 w:val="05020102010507070707"/>
    <w:charset w:val="02"/>
    <w:family w:val="roman"/>
    <w:pitch w:val="default"/>
    <w:sig w:usb0="00000000" w:usb1="00000000" w:usb2="00000000" w:usb3="00000000" w:csb0="8000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6F349F"/>
    <w:multiLevelType w:val="singleLevel"/>
    <w:tmpl w:val="C96F349F"/>
    <w:lvl w:ilvl="0" w:tentative="0">
      <w:start w:val="2"/>
      <w:numFmt w:val="chineseCounting"/>
      <w:suff w:val="nothing"/>
      <w:lvlText w:val="（%1）"/>
      <w:lvlJc w:val="left"/>
      <w:pPr>
        <w:tabs>
          <w:tab w:val="left" w:pos="0"/>
        </w:tabs>
        <w:ind w:left="0"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doNotUseIndentAsNumberingTabStop/>
    <w:useAltKinsokuLineBreakRules/>
    <w:compatSetting w:name="compatibilityMode" w:uri="http://schemas.microsoft.com/office/word" w:val="14"/>
  </w:compat>
  <w:docVars>
    <w:docVar w:name="commondata" w:val="eyJoZGlkIjoiYzhkOTAyNTNiN2RjZTVmYzdkNmJkZjc0ZTg5ZTc3YWIifQ=="/>
  </w:docVars>
  <w:rsids>
    <w:rsidRoot w:val="00000000"/>
    <w:rsid w:val="00D42449"/>
    <w:rsid w:val="02E05EDA"/>
    <w:rsid w:val="1CEF41BD"/>
    <w:rsid w:val="3A47135D"/>
    <w:rsid w:val="4F504627"/>
    <w:rsid w:val="FFF70BA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keepNext/>
      <w:keepLines/>
      <w:widowControl w:val="0"/>
      <w:spacing w:before="340" w:after="330" w:line="578" w:lineRule="auto"/>
      <w:outlineLvl w:val="0"/>
    </w:pPr>
    <w:rPr>
      <w:b/>
      <w:bCs/>
      <w:kern w:val="44"/>
      <w:sz w:val="44"/>
    </w:rPr>
  </w:style>
  <w:style w:type="paragraph" w:styleId="5">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6">
    <w:name w:val="heading 3"/>
    <w:basedOn w:val="1"/>
    <w:next w:val="1"/>
    <w:qFormat/>
    <w:uiPriority w:val="0"/>
    <w:pPr>
      <w:keepNext/>
      <w:keepLines/>
      <w:widowControl w:val="0"/>
      <w:spacing w:before="260" w:beforeAutospacing="0" w:after="260" w:afterAutospacing="0" w:line="413"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before="100" w:beforeAutospacing="1" w:after="120"/>
    </w:pPr>
  </w:style>
  <w:style w:type="paragraph" w:styleId="3">
    <w:name w:val="Body Text First Indent"/>
    <w:basedOn w:val="2"/>
    <w:qFormat/>
    <w:uiPriority w:val="0"/>
    <w:pPr>
      <w:ind w:firstLine="100" w:firstLineChars="100"/>
    </w:pPr>
  </w:style>
  <w:style w:type="paragraph" w:styleId="7">
    <w:name w:val="Body Text Indent"/>
    <w:basedOn w:val="1"/>
    <w:qFormat/>
    <w:uiPriority w:val="0"/>
    <w:pPr>
      <w:spacing w:line="500" w:lineRule="exact"/>
      <w:ind w:firstLine="240" w:firstLineChars="240"/>
    </w:pPr>
    <w:rPr>
      <w:rFonts w:ascii="仿宋_GB2312" w:hAnsi="仿宋_GB2312"/>
      <w:b/>
      <w:sz w:val="30"/>
      <w:szCs w:val="24"/>
    </w:rPr>
  </w:style>
  <w:style w:type="paragraph" w:styleId="8">
    <w:name w:val="footer"/>
    <w:basedOn w:val="1"/>
    <w:qFormat/>
    <w:uiPriority w:val="0"/>
    <w:pPr>
      <w:tabs>
        <w:tab w:val="center" w:pos="4153"/>
        <w:tab w:val="right" w:pos="8306"/>
      </w:tabs>
      <w:snapToGrid w:val="0"/>
      <w:jc w:val="left"/>
    </w:pPr>
    <w:rPr>
      <w:sz w:val="18"/>
      <w:szCs w:val="18"/>
      <w:lang w:val="zh-CN" w:eastAsia="zh-CN"/>
    </w:rPr>
  </w:style>
  <w:style w:type="paragraph" w:styleId="9">
    <w:name w:val="Normal (Web)"/>
    <w:basedOn w:val="1"/>
    <w:qFormat/>
    <w:uiPriority w:val="0"/>
    <w:rPr>
      <w:sz w:val="24"/>
    </w:rPr>
  </w:style>
  <w:style w:type="paragraph" w:styleId="10">
    <w:name w:val="Body Text First Indent 2"/>
    <w:basedOn w:val="7"/>
    <w:qFormat/>
    <w:uiPriority w:val="0"/>
    <w:pPr>
      <w:keepNext w:val="0"/>
      <w:keepLines w:val="0"/>
      <w:widowControl w:val="0"/>
      <w:suppressLineNumbers w:val="0"/>
      <w:spacing w:before="0" w:beforeAutospacing="0" w:after="120" w:afterAutospacing="0"/>
      <w:ind w:left="200" w:leftChars="200" w:right="0" w:firstLine="200" w:firstLineChars="200"/>
      <w:jc w:val="both"/>
    </w:pPr>
    <w:rPr>
      <w:rFonts w:ascii="Times New Roman" w:hAnsi="Times New Roman" w:eastAsia="宋体" w:cs="Times New Roman"/>
      <w:kern w:val="2"/>
      <w:sz w:val="21"/>
      <w:szCs w:val="24"/>
      <w:lang w:val="en-US" w:eastAsia="zh-CN" w:bidi="ar-SA"/>
    </w:rPr>
  </w:style>
  <w:style w:type="paragraph" w:customStyle="1" w:styleId="13">
    <w:name w:val="图表目录1"/>
    <w:basedOn w:val="1"/>
    <w:next w:val="1"/>
    <w:qFormat/>
    <w:uiPriority w:val="0"/>
    <w:pPr>
      <w:ind w:left="400" w:leftChars="200" w:hanging="200" w:hangingChars="200"/>
    </w:pPr>
    <w:rPr>
      <w:rFonts w:ascii="Times New Roman" w:hAnsi="Times New Roman" w:eastAsia="仿宋_GB2312" w:cs="Times New Roman"/>
      <w:sz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13</Pages>
  <Words>5413</Words>
  <Characters>5524</Characters>
  <Lines>341</Lines>
  <Paragraphs>167</Paragraphs>
  <TotalTime>17</TotalTime>
  <ScaleCrop>false</ScaleCrop>
  <LinksUpToDate>false</LinksUpToDate>
  <CharactersWithSpaces>5618</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2023-08-24T15:37:00Z</dcterms:created>
  <dc:creator>两个人的烟火</dc:creator>
  <cp:lastModifiedBy>user</cp:lastModifiedBy>
  <dcterms:modified xsi:type="dcterms:W3CDTF">2025-09-25T11:13:33Z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F458B0F45099434FAC59F0EFC705C38F_13</vt:lpwstr>
  </property>
</Properties>
</file>