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body>
    <w:p>
      <w:pPr>
        <w:widowControl/>
        <w:spacing w:line="480" w:lineRule="atLeast"/>
        <w:ind w:firstLine="60"/>
        <w:jc w:val="center"/>
        <w:rPr>
          <w:rFonts w:ascii="方正小标宋简体" w:eastAsia="方正小标宋简体" w:cs="宋体"/>
          <w:kern w:val="0"/>
          <w:sz w:val="36"/>
          <w:szCs w:val="36"/>
          <w:lang w:val="en-US" w:eastAsia="zh-CN"/>
        </w:rPr>
      </w:pPr>
      <w:r>
        <w:rPr>
          <w:rFonts w:ascii="方正小标宋简体" w:eastAsia="方正小标宋简体" w:cs="宋体" w:hint="eastAsia"/>
          <w:kern w:val="0"/>
          <w:sz w:val="36"/>
          <w:szCs w:val="36"/>
        </w:rPr>
        <w:t>黑水县</w:t>
      </w:r>
      <w:r>
        <w:rPr>
          <w:rFonts w:ascii="方正小标宋简体" w:eastAsia="方正小标宋简体" w:cs="宋体" w:hint="eastAsia"/>
          <w:kern w:val="0"/>
          <w:sz w:val="36"/>
          <w:szCs w:val="36"/>
          <w:lang w:val="en-US" w:eastAsia="zh-CN"/>
        </w:rPr>
        <w:t>龙坝乡人民政府</w:t>
      </w:r>
      <w:r>
        <w:rPr>
          <w:rFonts w:ascii="方正小标宋简体" w:eastAsia="方正小标宋简体" w:cs="宋体"/>
          <w:kern w:val="0"/>
          <w:sz w:val="36"/>
          <w:szCs w:val="36"/>
          <w:lang w:val="en-US" w:eastAsia="zh-CN"/>
        </w:rPr>
        <w:t>（行政）</w:t>
      </w:r>
    </w:p>
    <w:p>
      <w:pPr>
        <w:widowControl/>
        <w:spacing w:line="480" w:lineRule="atLeast"/>
        <w:ind w:firstLine="60"/>
        <w:jc w:val="center"/>
        <w:rPr>
          <w:rFonts w:ascii="方正小标宋简体" w:eastAsia="方正小标宋简体" w:cs="宋体"/>
          <w:kern w:val="0"/>
          <w:sz w:val="36"/>
          <w:szCs w:val="36"/>
        </w:rPr>
      </w:pPr>
      <w:r>
        <w:rPr>
          <w:rFonts w:ascii="方正小标宋简体" w:eastAsia="方正小标宋简体" w:cs="宋体" w:hint="eastAsia"/>
          <w:kern w:val="0"/>
          <w:sz w:val="36"/>
          <w:szCs w:val="36"/>
        </w:rPr>
        <w:t>关于“三公”经费</w:t>
      </w:r>
      <w:r>
        <w:rPr>
          <w:rFonts w:ascii="方正小标宋简体" w:eastAsia="方正小标宋简体" w:cs="宋体" w:hint="eastAsia"/>
          <w:kern w:val="0"/>
          <w:sz w:val="36"/>
          <w:szCs w:val="36"/>
          <w:lang w:eastAsia="zh-CN"/>
        </w:rPr>
        <w:t>202</w:t>
      </w:r>
      <w:r>
        <w:rPr>
          <w:rFonts w:ascii="方正小标宋简体" w:eastAsia="方正小标宋简体" w:cs="宋体" w:hint="eastAsia"/>
          <w:kern w:val="0"/>
          <w:sz w:val="36"/>
          <w:szCs w:val="36"/>
          <w:lang w:val="en-US" w:eastAsia="zh-CN"/>
        </w:rPr>
        <w:t>4</w:t>
      </w:r>
      <w:r>
        <w:rPr>
          <w:rFonts w:ascii="方正小标宋简体" w:eastAsia="方正小标宋简体" w:cs="宋体" w:hint="eastAsia"/>
          <w:kern w:val="0"/>
          <w:sz w:val="36"/>
          <w:szCs w:val="36"/>
        </w:rPr>
        <w:t>年决算情况说明</w:t>
      </w:r>
    </w:p>
    <w:p>
      <w:pPr>
        <w:widowControl/>
        <w:spacing w:line="480" w:lineRule="atLeast"/>
        <w:ind w:firstLine="60"/>
        <w:rPr>
          <w:rFonts w:ascii="仿宋_GB2312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480" w:lineRule="atLeast"/>
        <w:ind w:firstLineChars="218" w:firstLine="698"/>
        <w:rPr>
          <w:rFonts w:ascii="仿宋_GB2312" w:eastAsia="仿宋_GB2312" w:cs="宋体"/>
          <w:color w:val="333333"/>
          <w:kern w:val="0"/>
          <w:sz w:val="32"/>
          <w:szCs w:val="32"/>
        </w:rPr>
      </w:pP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我单位 “三公”经费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eastAsia="zh-CN"/>
        </w:rPr>
        <w:t>202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年决算情况如下：</w:t>
      </w:r>
    </w:p>
    <w:p>
      <w:pPr>
        <w:widowControl/>
        <w:spacing w:line="480" w:lineRule="atLeast"/>
        <w:ind w:firstLine="60"/>
        <w:rPr>
          <w:rFonts w:ascii="黑体" w:eastAsia="黑体" w:cs="宋体"/>
          <w:color w:val="333333"/>
          <w:kern w:val="0"/>
          <w:sz w:val="32"/>
          <w:szCs w:val="32"/>
        </w:rPr>
      </w:pP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　　</w:t>
      </w:r>
      <w:r>
        <w:rPr>
          <w:rFonts w:ascii="黑体" w:eastAsia="黑体" w:cs="宋体" w:hint="eastAsia"/>
          <w:color w:val="333333"/>
          <w:kern w:val="0"/>
          <w:sz w:val="32"/>
          <w:szCs w:val="32"/>
        </w:rPr>
        <w:t>一、因公出国（境）经费</w:t>
      </w:r>
    </w:p>
    <w:p>
      <w:pPr>
        <w:widowControl/>
        <w:spacing w:line="480" w:lineRule="atLeast"/>
        <w:rPr>
          <w:rFonts w:ascii="仿宋_GB2312" w:eastAsia="仿宋_GB2312" w:cs="宋体"/>
          <w:color w:val="333333"/>
          <w:kern w:val="0"/>
          <w:sz w:val="32"/>
          <w:szCs w:val="32"/>
        </w:rPr>
      </w:pP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　　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eastAsia="zh-CN"/>
        </w:rPr>
        <w:t>202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年决算支出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万元,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eastAsia="zh-CN"/>
        </w:rPr>
        <w:t>完成预算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0%，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较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eastAsia="zh-CN"/>
        </w:rPr>
        <w:t>202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3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年决算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持平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。</w:t>
      </w:r>
    </w:p>
    <w:p>
      <w:pPr>
        <w:widowControl/>
        <w:spacing w:line="480" w:lineRule="atLeast"/>
        <w:ind w:firstLine="60"/>
        <w:rPr>
          <w:rFonts w:ascii="黑体" w:eastAsia="黑体" w:cs="宋体"/>
          <w:color w:val="333333"/>
          <w:kern w:val="0"/>
          <w:sz w:val="32"/>
          <w:szCs w:val="32"/>
        </w:rPr>
      </w:pP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　　</w:t>
      </w:r>
      <w:r>
        <w:rPr>
          <w:rFonts w:ascii="黑体" w:eastAsia="黑体" w:cs="宋体" w:hint="eastAsia"/>
          <w:color w:val="333333"/>
          <w:kern w:val="0"/>
          <w:sz w:val="32"/>
          <w:szCs w:val="32"/>
        </w:rPr>
        <w:t>二、公务接待费</w:t>
      </w:r>
    </w:p>
    <w:p>
      <w:pPr>
        <w:widowControl/>
        <w:spacing w:line="480" w:lineRule="atLeast"/>
        <w:rPr>
          <w:rFonts w:ascii="仿宋_GB2312" w:eastAsia="仿宋_GB2312" w:cs="宋体"/>
          <w:color w:val="333333"/>
          <w:kern w:val="0"/>
          <w:sz w:val="32"/>
          <w:szCs w:val="32"/>
        </w:rPr>
      </w:pP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　　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eastAsia="zh-CN"/>
        </w:rPr>
        <w:t>202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年决算支出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万元，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eastAsia="zh-CN"/>
        </w:rPr>
        <w:t>完成预算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0%，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较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eastAsia="zh-CN"/>
        </w:rPr>
        <w:t>202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3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年决算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持平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。</w:t>
      </w:r>
    </w:p>
    <w:p>
      <w:pPr>
        <w:spacing w:line="600" w:lineRule="exact"/>
        <w:ind w:firstLine="640"/>
        <w:rPr>
          <w:rFonts w:ascii="仿宋_GB2312" w:eastAsia="仿宋_GB2312" w:cs="宋体"/>
          <w:color w:val="333333"/>
          <w:kern w:val="0"/>
          <w:sz w:val="32"/>
          <w:szCs w:val="32"/>
        </w:rPr>
      </w:pP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　　</w:t>
      </w:r>
      <w:r>
        <w:rPr>
          <w:rFonts w:ascii="黑体" w:eastAsia="黑体" w:cs="宋体" w:hint="eastAsia"/>
          <w:color w:val="333333"/>
          <w:kern w:val="0"/>
          <w:sz w:val="32"/>
          <w:szCs w:val="32"/>
        </w:rPr>
        <w:t>三、公务用车购置及运行维护费</w:t>
        <w:br/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　　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eastAsia="zh-CN"/>
        </w:rPr>
        <w:t>202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年决算支出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9.81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万元，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eastAsia="zh-CN"/>
        </w:rPr>
        <w:t>完成预算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100%，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较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eastAsia="zh-CN"/>
        </w:rPr>
        <w:t>202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3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年决算</w:t>
      </w:r>
      <w:r>
        <w:rPr>
          <w:rFonts w:ascii="仿宋_GB2312" w:eastAsia="仿宋_GB2312" w:cs="宋体"/>
          <w:color w:val="333333"/>
          <w:kern w:val="0"/>
          <w:sz w:val="32"/>
          <w:szCs w:val="32"/>
        </w:rPr>
        <w:t>增加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0.06</w:t>
      </w:r>
      <w:r>
        <w:rPr>
          <w:rFonts w:ascii="仿宋_GB2312" w:eastAsia="仿宋_GB2312" w:cs="宋体"/>
          <w:color w:val="333333"/>
          <w:kern w:val="0"/>
          <w:sz w:val="32"/>
          <w:szCs w:val="32"/>
        </w:rPr>
        <w:t>万元，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增长</w:t>
      </w:r>
      <w:r>
        <w:rPr>
          <w:rFonts w:ascii="仿宋_GB2312" w:eastAsia="仿宋_GB2312" w:hint="eastAsia"/>
          <w:color w:val="000000"/>
          <w:sz w:val="32"/>
          <w:szCs w:val="32"/>
          <w:shd w:val="clear" w:color="auto" w:fill="auto"/>
          <w:lang w:val="en-US" w:eastAsia="zh-CN"/>
        </w:rPr>
        <w:t>0.62</w:t>
      </w:r>
      <w:r>
        <w:rPr>
          <w:rFonts w:ascii="仿宋_GB2312" w:eastAsia="仿宋_GB2312" w:hint="eastAsia"/>
          <w:color w:val="000000"/>
          <w:sz w:val="32"/>
          <w:szCs w:val="32"/>
          <w:shd w:val="clear" w:color="auto" w:fill="auto"/>
        </w:rPr>
        <w:t>%</w:t>
      </w:r>
      <w:r>
        <w:rPr>
          <w:rFonts w:ascii="仿宋_GB2312" w:eastAsia="仿宋_GB2312" w:hint="eastAsia"/>
          <w:color w:val="000000"/>
          <w:sz w:val="32"/>
          <w:szCs w:val="32"/>
          <w:shd w:val="clear" w:color="auto" w:fill="auto"/>
          <w:lang w:eastAsia="zh-CN"/>
        </w:rPr>
        <w:t>，</w:t>
      </w:r>
      <w:r>
        <w:rPr>
          <w:rFonts w:ascii="仿宋_GB2312" w:eastAsia="仿宋_GB2312" w:hint="eastAsia"/>
          <w:color w:val="000000"/>
          <w:sz w:val="32"/>
          <w:szCs w:val="32"/>
          <w:shd w:val="clear" w:color="auto" w:fill="auto"/>
          <w:lang w:val="en-US" w:eastAsia="zh-CN"/>
        </w:rPr>
        <w:t>增长原因是有退款重新支付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。</w:t>
      </w:r>
    </w:p>
    <w:p>
      <w:pPr>
        <w:widowControl/>
        <w:spacing w:line="480" w:lineRule="atLeast"/>
        <w:ind w:firstLine="60"/>
        <w:rPr>
          <w:rFonts w:ascii="仿宋_GB2312" w:eastAsia="仿宋_GB2312" w:cs="宋体"/>
          <w:color w:val="333333"/>
          <w:kern w:val="0"/>
          <w:sz w:val="32"/>
          <w:szCs w:val="32"/>
        </w:rPr>
      </w:pP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　 单位共有公务用车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3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辆，其中：越野车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2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辆，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其他1辆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。</w:t>
      </w:r>
    </w:p>
    <w:p>
      <w:pPr>
        <w:widowControl/>
        <w:spacing w:line="480" w:lineRule="atLeast"/>
        <w:ind w:firstLineChars="200" w:firstLine="640"/>
        <w:rPr>
          <w:rFonts w:ascii="仿宋_GB2312" w:eastAsia="仿宋_GB2312" w:cs="宋体"/>
          <w:color w:val="333333"/>
          <w:kern w:val="0"/>
          <w:sz w:val="32"/>
          <w:szCs w:val="32"/>
        </w:rPr>
      </w:pP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eastAsia="zh-CN"/>
        </w:rPr>
        <w:t>202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年安排公务用车运行维护费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9.81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万元。主要用于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公车燃油费、维修维护费、过路费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。</w:t>
      </w:r>
    </w:p>
    <w:p>
      <w:pPr>
        <w:widowControl/>
        <w:spacing w:line="480" w:lineRule="atLeast"/>
        <w:ind w:firstLineChars="200" w:firstLine="640"/>
        <w:rPr>
          <w:rFonts w:ascii="仿宋_GB2312" w:eastAsia="仿宋_GB2312" w:cs="宋体"/>
          <w:color w:val="333333"/>
          <w:kern w:val="0"/>
          <w:sz w:val="32"/>
          <w:szCs w:val="32"/>
        </w:rPr>
      </w:pP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eastAsia="zh-CN"/>
        </w:rPr>
        <w:t>202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年安排公务用车购置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辆，购置费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万元。</w:t>
      </w:r>
    </w:p>
    <w:p>
      <w:pPr>
        <w:widowControl/>
        <w:spacing w:line="240" w:lineRule="atLeast"/>
        <w:rPr>
          <w:rFonts w:ascii="仿宋_GB2312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eastAsia="仿宋_GB2312" w:cs="宋体" w:hint="eastAsia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eastAsia="仿宋_GB2312" w:cs="宋体"/>
          <w:color w:val="333333"/>
          <w:kern w:val="0"/>
          <w:sz w:val="32"/>
          <w:szCs w:val="32"/>
        </w:rPr>
      </w:pP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龙坝乡人民政府</w:t>
      </w:r>
      <w:r>
        <w:rPr>
          <w:rFonts w:ascii="仿宋_GB2312" w:eastAsia="仿宋_GB2312" w:cs="宋体"/>
          <w:color w:val="333333"/>
          <w:kern w:val="0"/>
          <w:sz w:val="32"/>
          <w:szCs w:val="32"/>
          <w:lang w:val="en-US" w:eastAsia="zh-CN"/>
        </w:rPr>
        <w:t>（行政）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财政拨款“三公”经费</w:t>
      </w:r>
    </w:p>
    <w:p>
      <w:pPr>
        <w:widowControl/>
        <w:spacing w:line="240" w:lineRule="atLeast"/>
        <w:ind w:firstLine="60"/>
        <w:jc w:val="center"/>
        <w:rPr>
          <w:rFonts w:ascii="仿宋_GB2312" w:eastAsia="仿宋_GB2312" w:cs="宋体"/>
          <w:color w:val="333333"/>
          <w:kern w:val="0"/>
          <w:sz w:val="32"/>
          <w:szCs w:val="32"/>
        </w:rPr>
      </w:pP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eastAsia="zh-CN"/>
        </w:rPr>
        <w:t>202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年决算情况表</w:t>
      </w:r>
    </w:p>
    <w:p>
      <w:pPr>
        <w:widowControl/>
        <w:spacing w:line="240" w:lineRule="atLeast"/>
        <w:ind w:firstLine="60"/>
        <w:jc w:val="center"/>
        <w:rPr>
          <w:rFonts w:ascii="仿宋_GB2312" w:eastAsia="仿宋_GB2312" w:cs="宋体"/>
          <w:color w:val="333333"/>
          <w:kern w:val="0"/>
          <w:sz w:val="28"/>
          <w:szCs w:val="28"/>
        </w:rPr>
      </w:pPr>
      <w:r>
        <w:rPr>
          <w:rFonts w:ascii="仿宋_GB2312" w:eastAsia="仿宋_GB2312" w:cs="宋体" w:hint="eastAsia"/>
          <w:color w:val="333333"/>
          <w:kern w:val="0"/>
          <w:sz w:val="28"/>
          <w:szCs w:val="28"/>
        </w:rPr>
        <w:t xml:space="preserve">                                         单位：万元</w:t>
      </w:r>
      <w:bookmarkStart w:id="0" w:name="_GoBack"/>
      <w:bookmarkEnd w:id="0"/>
    </w:p>
    <w:tbl>
      <w:tblPr>
        <w:jc w:val="left"/>
        <w:tblInd w:w="0" w:type="dxa"/>
        <w:tblW w:w="8424" w:type="dxa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4576"/>
        <w:gridCol w:w="3836"/>
      </w:tblGrid>
      <w:tr>
        <w:trPr>
          <w:trHeight w:hRule="exact" w:val="697"/>
        </w:trPr>
        <w:tc>
          <w:tcPr>
            <w:tcW w:w="45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cs="宋体" w:hint="eastAsia"/>
                <w:kern w:val="0"/>
                <w:sz w:val="28"/>
                <w:szCs w:val="28"/>
              </w:rPr>
              <w:t>　　　　　项       目</w:t>
            </w:r>
          </w:p>
        </w:tc>
        <w:tc>
          <w:tcPr>
            <w:tcW w:w="3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cs="宋体" w:hint="eastAsia"/>
                <w:kern w:val="0"/>
                <w:sz w:val="28"/>
                <w:szCs w:val="28"/>
                <w:lang w:eastAsia="zh-CN"/>
              </w:rPr>
              <w:t>202</w:t>
            </w:r>
            <w:r>
              <w:rPr>
                <w:rFonts w:ascii="仿宋_GB2312" w:eastAsia="仿宋_GB2312" w:cs="宋体" w:hint="eastAsia"/>
                <w:kern w:val="0"/>
                <w:sz w:val="28"/>
                <w:szCs w:val="28"/>
                <w:lang w:val="en-US" w:eastAsia="zh-CN"/>
              </w:rPr>
              <w:t>4</w:t>
            </w:r>
            <w:r>
              <w:rPr>
                <w:rFonts w:ascii="仿宋_GB2312" w:eastAsia="仿宋_GB2312" w:cs="宋体" w:hint="eastAsia"/>
                <w:kern w:val="0"/>
                <w:sz w:val="28"/>
                <w:szCs w:val="28"/>
              </w:rPr>
              <w:t>年决算（万元）</w:t>
            </w:r>
          </w:p>
        </w:tc>
      </w:tr>
      <w:tr>
        <w:tc>
          <w:tcPr>
            <w:tcW w:w="45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cs="宋体" w:hint="eastAsia"/>
                <w:kern w:val="0"/>
                <w:sz w:val="28"/>
                <w:szCs w:val="28"/>
              </w:rPr>
              <w:t>因公出国（境）经费</w:t>
            </w:r>
          </w:p>
        </w:tc>
        <w:tc>
          <w:tcPr>
            <w:tcW w:w="3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eastAsia="仿宋_GB2312" w:cs="宋体" w:hint="eastAsia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ascii="仿宋_GB2312" w:eastAsia="仿宋_GB2312" w:cs="宋体" w:hint="eastAsia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>
        <w:tc>
          <w:tcPr>
            <w:tcW w:w="45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cs="宋体" w:hint="eastAsia"/>
                <w:kern w:val="0"/>
                <w:sz w:val="28"/>
                <w:szCs w:val="28"/>
              </w:rPr>
              <w:t>公务接待费</w:t>
            </w:r>
          </w:p>
        </w:tc>
        <w:tc>
          <w:tcPr>
            <w:tcW w:w="3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eastAsia="仿宋_GB2312" w:cs="宋体" w:hint="eastAsia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ascii="仿宋_GB2312" w:eastAsia="仿宋_GB2312" w:cs="宋体" w:hint="eastAsia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>
        <w:tc>
          <w:tcPr>
            <w:tcW w:w="45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cs="宋体" w:hint="eastAsia"/>
                <w:kern w:val="0"/>
                <w:sz w:val="28"/>
                <w:szCs w:val="28"/>
              </w:rPr>
              <w:t>公务用车购置及运行维护费</w:t>
            </w:r>
          </w:p>
        </w:tc>
        <w:tc>
          <w:tcPr>
            <w:tcW w:w="3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ascii="仿宋_GB2312" w:eastAsia="仿宋_GB2312" w:cs="宋体" w:hint="eastAsia"/>
                <w:kern w:val="0"/>
                <w:sz w:val="28"/>
                <w:szCs w:val="28"/>
                <w:lang w:val="en-US" w:eastAsia="zh-CN"/>
              </w:rPr>
              <w:t>9.81</w:t>
            </w:r>
          </w:p>
        </w:tc>
      </w:tr>
      <w:tr>
        <w:tc>
          <w:tcPr>
            <w:tcW w:w="45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cs="宋体" w:hint="eastAsia"/>
                <w:kern w:val="0"/>
                <w:sz w:val="28"/>
                <w:szCs w:val="28"/>
              </w:rPr>
              <w:t>　　其中：购置经费</w:t>
            </w:r>
          </w:p>
        </w:tc>
        <w:tc>
          <w:tcPr>
            <w:tcW w:w="3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eastAsia="仿宋_GB2312" w:cs="宋体" w:hint="eastAsia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ascii="仿宋_GB2312" w:eastAsia="仿宋_GB2312" w:cs="宋体" w:hint="eastAsia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>
        <w:tc>
          <w:tcPr>
            <w:tcW w:w="45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cs="宋体" w:hint="eastAsia"/>
                <w:kern w:val="0"/>
                <w:sz w:val="28"/>
                <w:szCs w:val="28"/>
              </w:rPr>
              <w:t>　　　　　运行维护费</w:t>
            </w:r>
          </w:p>
        </w:tc>
        <w:tc>
          <w:tcPr>
            <w:tcW w:w="3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ascii="仿宋_GB2312" w:eastAsia="仿宋_GB2312" w:cs="宋体" w:hint="eastAsia"/>
                <w:kern w:val="0"/>
                <w:sz w:val="28"/>
                <w:szCs w:val="28"/>
                <w:lang w:val="en-US" w:eastAsia="zh-CN"/>
              </w:rPr>
              <w:t>9.81</w:t>
            </w:r>
          </w:p>
        </w:tc>
      </w:tr>
    </w:tbl>
    <w:p/>
    <w:p/>
    <w:p/>
    <w:p/>
    <w:p/>
    <w:p/>
    <w:p/>
    <w:p/>
    <w:p/>
    <w:p/>
    <w:p>
      <w:pPr>
        <w:spacing w:line="600" w:lineRule="exact"/>
        <w:jc w:val="left"/>
        <w:outlineLvl w:val="0"/>
        <w:rPr>
          <w:rStyle w:val="1Char"/>
          <w:rFonts w:ascii="仿宋_GB2312" w:eastAsia="仿宋_GB2312"/>
          <w:sz w:val="32"/>
          <w:szCs w:val="32"/>
        </w:rPr>
      </w:pPr>
    </w:p>
    <w:p>
      <w:pPr>
        <w:spacing w:line="600" w:lineRule="exact"/>
        <w:jc w:val="left"/>
        <w:outlineLvl w:val="0"/>
        <w:rPr>
          <w:rStyle w:val="1Char"/>
          <w:rFonts w:ascii="仿宋_GB2312" w:eastAsia="仿宋_GB2312"/>
          <w:sz w:val="32"/>
          <w:szCs w:val="32"/>
        </w:rPr>
      </w:pPr>
    </w:p>
    <w:p>
      <w:pPr>
        <w:spacing w:line="600" w:lineRule="exact"/>
        <w:jc w:val="left"/>
        <w:outlineLvl w:val="0"/>
        <w:rPr>
          <w:rStyle w:val="1Char"/>
          <w:rFonts w:ascii="仿宋_GB2312" w:eastAsia="仿宋_GB2312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小标宋简体">
    <w:altName w:val="黑体"/>
    <w:panose1 w:val="00000000000000000000"/>
    <w:charset w:val="86"/>
    <w:family w:val="auto"/>
    <w:pitch w:val="variable"/>
    <w:sig w:usb0="00000000" w:usb1="00000000" w:usb2="00000000" w:usb3="00000000" w:csb0="00040000" w:csb1="00000000"/>
  </w:font>
  <w:font w:name="宋体">
    <w:panose1 w:val="02010600030101010101"/>
    <w:charset w:val="86"/>
    <w:family w:val="auto"/>
    <w:pitch w:val="variable"/>
    <w:sig w:usb0="00000003" w:usb1="288F0000" w:usb2="00000006" w:usb3="00000000" w:csb0="00040001" w:csb1="00000000"/>
  </w:font>
  <w:font w:name="仿宋_GB2312">
    <w:altName w:val="仿宋"/>
    <w:panose1 w:val="02010609030101010101"/>
    <w:charset w:val="86"/>
    <w:family w:val="modern"/>
    <w:pitch w:val="variable"/>
    <w:sig w:usb0="00000000" w:usb1="00000000" w:usb2="00000010" w:usb3="00000000" w:csb0="00040000" w:csb1="00000000"/>
  </w:font>
  <w:font w:name="黑体"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Times New Roman">
    <w:panose1 w:val="02020603050405020304"/>
    <w:charset w:val="BA"/>
    <w:family w:val="auto"/>
    <w:pitch w:val="variable"/>
    <w:sig w:usb0="E0002EFF" w:usb1="C000785B" w:usb2="00000009" w:usb3="00000000" w:csb0="400001FF" w:csb1="FFFF0000"/>
  </w:font>
  <w:font w:name="Calibri">
    <w:altName w:val="Times New Roman"/>
    <w:panose1 w:val="020F0502020204030204"/>
    <w:charset w:val="00"/>
    <w:family w:val="swiss"/>
    <w:pitch w:val="variable"/>
    <w:sig w:usb0="E4002EFF" w:usb1="C000247B" w:usb2="00000009" w:usb3="00000000" w:csb0="200001FF" w:csb1="00000000"/>
  </w:font>
  <w:font w:name="Arial">
    <w:altName w:val="DejaVu Sans"/>
    <w:panose1 w:val="020B0604020202020204"/>
    <w:charset w:val="01"/>
    <w:family w:val="swiss"/>
    <w:pitch w:val="variable"/>
    <w:sig w:usb0="E0002EFF" w:usb1="C000785B" w:usb2="00000009" w:usb3="00000000" w:csb0="400001FF" w:csb1="FFFF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100"/>
  <w:bordersDoNotSurroundHeader/>
  <w:bordersDoNotSurroundFooter/>
  <w:documentProtection w:edit="readOnly"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compatSetting w:name="compatibilityMode" w:uri="http://schemas.microsoft.com/office/word" w:val="14"/>
  </w:compat>
  <w:docVars>
    <w:docVar w:name="commondata" w:val="eyJoZGlkIjoiZTgzNmEyOTFjMjZjODc0OGIyZjk3N2Q1Zjc3YWU5MjEifQ=="/>
  </w:docVars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next w:val="15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styleId="1">
    <w:name w:val="heading 1"/>
    <w:basedOn w:val="0"/>
    <w:next w:val="0"/>
    <w:link w:val="1Char"/>
    <w:pPr>
      <w:keepNext/>
      <w:keepLines/>
      <w:widowControl w:val="0"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customStyle="1" w:styleId="1Char">
    <w:name w:val="heading 1 Char"/>
    <w:basedOn w:val="10"/>
    <w:link w:val="1"/>
    <w:rPr>
      <w:rFonts w:ascii="Times New Roman" w:eastAsia="宋体" w:cs="Times New Roman" w:hAnsi="Times New Roman"/>
      <w:b/>
      <w:bCs/>
      <w:kern w:val="44"/>
      <w:sz w:val="44"/>
      <w:szCs w:val="44"/>
      <w:lang w:val="en-US" w:eastAsia="zh-CN" w:bidi="ar-SA"/>
    </w:rPr>
  </w:style>
  <w:style w:type="paragraph" w:styleId="2">
    <w:name w:val="heading 2"/>
    <w:basedOn w:val="0"/>
    <w:next w:val="0"/>
    <w:pPr>
      <w:keepNext/>
      <w:keepLines/>
      <w:spacing w:before="260" w:after="260" w:line="415" w:lineRule="auto"/>
      <w:outlineLvl w:val="1"/>
    </w:pPr>
    <w:rPr>
      <w:rFonts w:ascii="Times New Roman" w:eastAsia="黑体" w:hAnsi="Times New Roman"/>
      <w:b/>
      <w:sz w:val="32"/>
    </w:rPr>
  </w:style>
  <w:style w:type="paragraph" w:styleId="3">
    <w:name w:val="heading 3"/>
    <w:basedOn w:val="0"/>
    <w:next w:val="0"/>
    <w:pPr>
      <w:keepNext/>
      <w:keepLines/>
      <w:spacing w:before="260" w:after="260" w:line="415" w:lineRule="auto"/>
      <w:outlineLvl w:val="2"/>
    </w:pPr>
    <w:rPr>
      <w:b/>
      <w:sz w:val="32"/>
    </w:rPr>
  </w:style>
  <w:style w:type="character" w:default="1" w:styleId="10">
    <w:name w:val="Default Paragraph Font"/>
  </w:style>
  <w:style w:type="paragraph" w:styleId="15">
    <w:name w:val="Body Text"/>
    <w:basedOn w:val="0"/>
    <w:next w:val="0"/>
    <w:pPr>
      <w:spacing w:beforeLines="30" w:before="30"/>
    </w:pPr>
    <w:rPr>
      <w:rFonts w:ascii="仿宋_GB2312" w:eastAsia="仿宋_GB2312"/>
      <w:kern w:val="0"/>
      <w:sz w:val="30"/>
    </w:rPr>
  </w:style>
  <w:style w:type="paragraph" w:styleId="16">
    <w:name w:val="footer"/>
    <w:basedOn w:val="0"/>
    <w:pPr>
      <w:tabs>
        <w:tab w:val="center" w:pos="4153"/>
        <w:tab w:val="right" w:pos="8306"/>
      </w:tabs>
      <w:snapToGrid w:val="0"/>
      <w:jc w:val="left"/>
    </w:pPr>
    <w:rPr>
      <w:rFonts w:ascii="Calibri" w:eastAsia="宋体" w:cs="Arial" w:hAnsi="Calibri"/>
      <w:sz w:val="18"/>
      <w:szCs w:val="18"/>
    </w:rPr>
  </w:style>
  <w:style w:type="paragraph" w:styleId="17">
    <w:name w:val="header"/>
    <w:basedOn w:val="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Calibri" w:eastAsia="宋体" w:cs="Arial" w:hAnsi="Calibr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1</TotalTime>
  <Application>Yozo_Office27021597764231179</Application>
  <Pages>2</Pages>
  <Words>340</Words>
  <Characters>400</Characters>
  <Lines>51</Lines>
  <Paragraphs>26</Paragraphs>
  <CharactersWithSpaces>476</CharactersWithSpaces>
  <Company>Sky123.Org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Sky123.Org</dc:creator>
  <cp:lastModifiedBy>user</cp:lastModifiedBy>
  <cp:revision>2</cp:revision>
  <dcterms:created xsi:type="dcterms:W3CDTF">2019-08-19T01:06:00Z</dcterms:created>
  <dcterms:modified xsi:type="dcterms:W3CDTF">2025-08-27T07:54:09Z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KSOProductBuildVer">
    <vt:lpwstr>2052-11.1.0.10314</vt:lpwstr>
  </property>
  <property fmtid="{D5CDD505-2E9C-101B-9397-08002B2CF9AE}" pid="3" name="ICV">
    <vt:lpwstr>CD6206FD7CA5494EA3A683B62672B325</vt:lpwstr>
  </property>
</Properties>
</file>