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2024年人大经费项目绩效评价报告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w:t>
      </w:r>
      <w:r>
        <w:rPr>
          <w:rFonts w:hint="eastAsia" w:ascii="仿宋" w:eastAsia="仿宋" w:cs="仿宋"/>
          <w:sz w:val="32"/>
          <w:szCs w:val="32"/>
          <w:lang w:eastAsia="zh-CN"/>
        </w:rPr>
        <w:t>公众</w:t>
      </w:r>
      <w:bookmarkStart w:id="0" w:name="_GoBack"/>
      <w:bookmarkEnd w:id="0"/>
      <w:r>
        <w:rPr>
          <w:rFonts w:hint="eastAsia" w:ascii="仿宋" w:eastAsia="仿宋" w:cs="仿宋"/>
          <w:sz w:val="32"/>
          <w:szCs w:val="32"/>
        </w:rPr>
        <w:t>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adjustRightInd w:val="0"/>
        <w:snapToGrid w:val="0"/>
        <w:spacing w:line="520" w:lineRule="exact"/>
        <w:ind w:firstLine="640" w:firstLineChars="200"/>
        <w:rPr>
          <w:rFonts w:hint="eastAsia" w:ascii="仿宋" w:eastAsia="仿宋" w:cs="仿宋"/>
          <w:b/>
          <w:bCs/>
          <w:sz w:val="32"/>
          <w:szCs w:val="32"/>
          <w:lang w:val="en-US" w:eastAsia="zh-CN"/>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2023年年初预算1</w:t>
      </w:r>
      <w:r>
        <w:rPr>
          <w:rFonts w:hint="eastAsia" w:ascii="仿宋_GB2312" w:hAnsi="仿宋_GB2312" w:cs="仿宋_GB2312"/>
          <w:bCs/>
          <w:sz w:val="32"/>
          <w:szCs w:val="32"/>
          <w:highlight w:val="none"/>
          <w:lang w:val="en-US" w:eastAsia="zh-CN"/>
        </w:rPr>
        <w:t>0元，调整后预算数5.69万元，预算执行数5.69万元。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spacing w:line="560" w:lineRule="exact"/>
        <w:ind w:left="420" w:leftChars="200" w:firstLine="320" w:firstLineChars="100"/>
        <w:rPr>
          <w:rFonts w:hint="eastAsia" w:ascii="仿宋_GB2312" w:eastAsia="仿宋_GB2312" w:cs="Times New Roman"/>
          <w:sz w:val="32"/>
          <w:szCs w:val="32"/>
        </w:rPr>
      </w:pPr>
      <w:r>
        <w:rPr>
          <w:rFonts w:hint="eastAsia" w:ascii="仿宋_GB2312" w:eastAsia="仿宋_GB2312" w:cs="Times New Roman"/>
          <w:sz w:val="32"/>
          <w:szCs w:val="32"/>
          <w:lang w:val="en-US" w:eastAsia="zh-CN"/>
        </w:rPr>
        <w:t>我乡</w:t>
      </w:r>
      <w:r>
        <w:rPr>
          <w:rFonts w:hint="eastAsia" w:ascii="仿宋_GB2312" w:eastAsia="仿宋_GB2312" w:cs="Times New Roman"/>
          <w:sz w:val="32"/>
          <w:szCs w:val="32"/>
        </w:rPr>
        <w:t>承担专项资金绩效管理的主体责任，主要负责提出</w:t>
      </w:r>
    </w:p>
    <w:p>
      <w:pPr>
        <w:spacing w:line="560" w:lineRule="exact"/>
        <w:rPr>
          <w:rFonts w:hint="eastAsia" w:ascii="仿宋" w:eastAsia="仿宋" w:cs="仿宋"/>
          <w:b/>
          <w:bCs/>
          <w:kern w:val="2"/>
          <w:sz w:val="32"/>
          <w:szCs w:val="32"/>
          <w:lang w:val="en-US" w:eastAsia="zh-CN" w:bidi="ar-SA"/>
        </w:rPr>
      </w:pPr>
      <w:r>
        <w:rPr>
          <w:rFonts w:hint="eastAsia" w:ascii="仿宋_GB2312"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adjustRightInd w:val="0"/>
        <w:snapToGrid w:val="0"/>
        <w:spacing w:line="520" w:lineRule="exact"/>
        <w:ind w:firstLine="640" w:firstLineChars="200"/>
        <w:rPr>
          <w:rFonts w:hint="eastAsia" w:ascii="仿宋" w:eastAsia="仿宋" w:cs="仿宋"/>
          <w:sz w:val="32"/>
          <w:szCs w:val="32"/>
        </w:rPr>
      </w:pPr>
      <w:r>
        <w:rPr>
          <w:rFonts w:ascii="仿宋" w:eastAsia="仿宋" w:cs="仿宋"/>
          <w:sz w:val="32"/>
          <w:szCs w:val="32"/>
        </w:rPr>
        <w:t>龙坝</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5.随机访谈法。针对部分项目负责人及实施主体进行了询问和访谈，如项目实施情况的必要性、可行性和满意度等进行随机访谈。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hAns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hAns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highlight w:val="none"/>
        </w:rPr>
      </w:pPr>
      <w:r>
        <w:rPr>
          <w:rFonts w:hint="eastAsia" w:ascii="仿宋" w:eastAsia="仿宋" w:cs="仿宋"/>
          <w:sz w:val="32"/>
          <w:szCs w:val="32"/>
          <w:highlight w:val="none"/>
        </w:rPr>
        <w:t>（一）通用指标</w:t>
      </w:r>
      <w:r>
        <w:rPr>
          <w:rFonts w:hint="eastAsia" w:ascii="仿宋" w:eastAsia="仿宋" w:cs="仿宋"/>
          <w:bCs/>
          <w:sz w:val="32"/>
          <w:szCs w:val="32"/>
          <w:highlight w:val="none"/>
        </w:rPr>
        <w:t>绩效分析。指标分值54分，自评得分54分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1.项目决策。指标分值18分，自评得分18分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决策程序：项目设立、调整延续等方面符合资金管理基本规范和决策程序要求。指标分值6分，自评得分6分。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规划论证：项目规划论证符合</w:t>
      </w:r>
      <w:r>
        <w:rPr>
          <w:rFonts w:hint="eastAsia" w:ascii="仿宋" w:eastAsia="仿宋" w:cs="仿宋"/>
          <w:sz w:val="32"/>
          <w:szCs w:val="32"/>
          <w:lang w:eastAsia="zh-CN"/>
        </w:rPr>
        <w:t>中央、省委</w:t>
      </w:r>
      <w:r>
        <w:rPr>
          <w:rFonts w:hint="eastAsia" w:ascii="仿宋" w:eastAsia="仿宋" w:cs="仿宋"/>
          <w:sz w:val="32"/>
          <w:szCs w:val="32"/>
        </w:rPr>
        <w:t>要求，项目绩效目标设置科学合理，项目资金与项目总体规划、相关行业事业发展相匹配，聚焦重大任务、重点领域、重点环节和重点项目。指标分值6分，自评得分6分。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资金投向：项目资金是与项目总体规划、相关行业事业发展相匹配，聚焦重大任务、重点领域、重点环节和重点项目。体现“</w:t>
      </w:r>
      <w:r>
        <w:rPr>
          <w:rFonts w:hint="eastAsia" w:ascii="仿宋" w:eastAsia="仿宋" w:cs="仿宋"/>
          <w:sz w:val="32"/>
          <w:szCs w:val="32"/>
          <w:lang w:eastAsia="zh-CN"/>
        </w:rPr>
        <w:t>集中力量办大事</w:t>
      </w:r>
      <w:r>
        <w:rPr>
          <w:rFonts w:hint="eastAsia" w:ascii="仿宋" w:eastAsia="仿宋" w:cs="仿宋"/>
          <w:sz w:val="32"/>
          <w:szCs w:val="32"/>
        </w:rPr>
        <w:t>”原则，避免“撒胡椒面”。指标分值6分，自评得分6分。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2.项目管理。指标分值18分，自评得分18分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制度办法：项目制度办法体系健全、要素完备。资金管理办法等管理制度体系健全完善，不存在管理制度缺失、管理办法过期情况。指标分值2分，自评得分2分。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分配管理：项目资金分配因素选取、权重设置、区域分布，项目管理、审批符合管理要求，管资金、项目、政策管绩效，项目绩效监管按要求开展，对下指导有力有效。指标分值10分，自评得分10分。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3.项目实施。指标分值9分，自评得分9分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预算执行:项目预算资金8.1万元，支付8.1万元。指标分值6分，自评得分6分。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4.项目结果。指标分值9分，自评得分9分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完成时效：资金项目按照目标任务已于2023年底完成。指标分值3分，自评得分3分。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2" w:firstLineChars="200"/>
        <w:rPr>
          <w:rFonts w:hint="eastAsia" w:ascii="仿宋" w:eastAsia="仿宋" w:cs="仿宋"/>
          <w:sz w:val="32"/>
          <w:szCs w:val="32"/>
        </w:rPr>
      </w:pPr>
      <w:r>
        <w:rPr>
          <w:rFonts w:ascii="楷体_GB2312" w:eastAsia="楷体_GB2312" w:cs="楷体_GB2312"/>
          <w:b/>
          <w:sz w:val="32"/>
          <w:szCs w:val="32"/>
          <w:highlight w:val="none"/>
        </w:rPr>
        <w:t>（二）专用指标</w:t>
      </w:r>
      <w:r>
        <w:rPr>
          <w:rFonts w:ascii="楷体_GB2312" w:eastAsia="楷体_GB2312" w:cs="楷体_GB2312"/>
          <w:b/>
          <w:bCs/>
          <w:sz w:val="32"/>
          <w:szCs w:val="32"/>
          <w:highlight w:val="none"/>
        </w:rPr>
        <w:t>绩效分析。</w:t>
      </w:r>
      <w:r>
        <w:rPr>
          <w:rFonts w:hint="eastAsia" w:ascii="仿宋" w:eastAsia="仿宋" w:cs="仿宋"/>
          <w:bCs/>
          <w:sz w:val="32"/>
          <w:szCs w:val="32"/>
          <w:highlight w:val="none"/>
        </w:rPr>
        <w:t>指标分值30分，自评得分30分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项目验收：该项目已完成项目验收，出具项目验收报告。指标分值10分，自评得分10分。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lang w:eastAsia="zh-CN"/>
        </w:rPr>
        <w:t>项目功能实现</w:t>
      </w:r>
      <w:r>
        <w:rPr>
          <w:rFonts w:hint="eastAsia" w:ascii="仿宋" w:eastAsia="仿宋" w:cs="仿宋"/>
          <w:sz w:val="32"/>
          <w:szCs w:val="32"/>
        </w:rPr>
        <w:t>：目资金分配均衡公平，资金实际支持对象符合管理要求，符合支持对象范围，资金实际补贴标准符合资金管理办法规定的补助标准，及时按标准兑现，资金涉及服务对象满意度不低于90%，项目用途合规性、程序合规性、标准合规性。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bCs/>
          <w:sz w:val="32"/>
          <w:szCs w:val="32"/>
          <w:highlight w:val="none"/>
        </w:rPr>
      </w:pPr>
      <w:r>
        <w:rPr>
          <w:rFonts w:hint="eastAsia" w:ascii="仿宋" w:eastAsia="仿宋" w:cs="仿宋"/>
          <w:sz w:val="32"/>
          <w:szCs w:val="32"/>
          <w:highlight w:val="none"/>
        </w:rPr>
        <w:t>个性指标</w:t>
      </w:r>
      <w:r>
        <w:rPr>
          <w:rFonts w:hint="eastAsia" w:ascii="仿宋" w:eastAsia="仿宋" w:cs="仿宋"/>
          <w:bCs/>
          <w:sz w:val="32"/>
          <w:szCs w:val="32"/>
          <w:highlight w:val="none"/>
        </w:rPr>
        <w:t>绩效分析。指标分值16分，自评得分16分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人大工作知晓率:通过宣传和教育活动提高公众对人大工作的认识和参与度,以提高人大工作管理效率和质量。指标分值5分，自评得分5分。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项目公示:按照公开要求，在门户网站中决算公开内容进行公示。指标分值5分，自评得分5分。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指标分值6分，自评得分6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adjustRightInd/>
        <w:snapToGrid/>
        <w:spacing w:line="578" w:lineRule="exact"/>
        <w:ind w:left="640"/>
        <w:rPr>
          <w:rFonts w:ascii="楷体_GB2312" w:eastAsia="楷体_GB2312" w:cs="楷体_GB2312"/>
          <w:b/>
          <w:color w:val="000000"/>
          <w:kern w:val="0"/>
          <w:sz w:val="32"/>
          <w:szCs w:val="32"/>
          <w:shd w:val="clear" w:color="auto" w:fill="FFFFFF"/>
          <w:lang w:val="en-US" w:eastAsia="zh-CN"/>
        </w:rPr>
      </w:pPr>
      <w:r>
        <w:rPr>
          <w:rFonts w:ascii="楷体_GB2312" w:eastAsia="楷体_GB2312" w:cs="楷体_GB2312"/>
          <w:b/>
          <w:kern w:val="2"/>
          <w:sz w:val="32"/>
          <w:szCs w:val="32"/>
          <w:lang w:val="en-US" w:eastAsia="zh-CN"/>
        </w:rPr>
        <w:t>（三）个性指标</w:t>
      </w:r>
      <w:r>
        <w:rPr>
          <w:rFonts w:ascii="楷体_GB2312" w:eastAsia="楷体_GB2312" w:cs="楷体_GB2312"/>
          <w:b/>
          <w:color w:val="000000"/>
          <w:kern w:val="0"/>
          <w:sz w:val="32"/>
          <w:szCs w:val="32"/>
          <w:shd w:val="clear" w:color="auto" w:fill="FFFFFF"/>
          <w:lang w:val="en-US" w:eastAsia="zh-CN"/>
        </w:rPr>
        <w:t>绩效分析</w:t>
      </w:r>
    </w:p>
    <w:p>
      <w:pPr>
        <w:keepNext w:val="0"/>
        <w:keepLines w:val="0"/>
        <w:pageBreakBefore w:val="0"/>
        <w:widowControl w:val="0"/>
        <w:kinsoku/>
        <w:wordWrap/>
        <w:overflowPunct/>
        <w:topLinePunct w:val="0"/>
        <w:autoSpaceDE/>
        <w:autoSpaceDN/>
        <w:adjustRightInd/>
        <w:snapToGrid/>
        <w:spacing w:line="578" w:lineRule="exact"/>
        <w:ind w:left="640"/>
        <w:rPr>
          <w:rFonts w:hint="eastAsia" w:ascii="仿宋" w:eastAsia="仿宋" w:cs="仿宋"/>
          <w:bCs/>
          <w:sz w:val="32"/>
          <w:szCs w:val="32"/>
        </w:rPr>
      </w:pPr>
      <w:r>
        <w:rPr>
          <w:rFonts w:hint="eastAsia" w:ascii="仿宋" w:eastAsia="仿宋" w:cs="仿宋"/>
          <w:bCs/>
          <w:sz w:val="32"/>
          <w:szCs w:val="32"/>
          <w:highlight w:val="none"/>
        </w:rPr>
        <w:t>指标分值16分，自评得分16分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人大工作知晓率:通过宣传和教育活动提高公众对人大工作的认识和参与度,以提高人大工作管理效率和质量。</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项目公示:按照公开要求，在门户网站中决算公开内容进行公示。</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ascii="仿宋" w:eastAsia="仿宋" w:cs="仿宋"/>
          <w:sz w:val="32"/>
          <w:szCs w:val="32"/>
          <w:lang w:eastAsia="zh-CN"/>
        </w:rPr>
        <w:t>指标分值</w:t>
      </w:r>
      <w:r>
        <w:rPr>
          <w:rFonts w:hint="eastAsia" w:ascii="仿宋" w:eastAsia="仿宋" w:cs="仿宋"/>
          <w:sz w:val="32"/>
          <w:szCs w:val="32"/>
          <w:lang w:val="en-US" w:eastAsia="zh-CN"/>
        </w:rPr>
        <w:t>6分，自评得分6分。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四、评价结论</w:t>
      </w:r>
    </w:p>
    <w:p>
      <w:pPr>
        <w:adjustRightInd w:val="0"/>
        <w:snapToGrid w:val="0"/>
        <w:spacing w:line="520" w:lineRule="exact"/>
        <w:ind w:firstLine="640" w:firstLineChars="200"/>
        <w:rPr>
          <w:rFonts w:hint="eastAsia" w:ascii="仿宋" w:eastAsia="仿宋" w:cs="仿宋"/>
          <w:sz w:val="32"/>
          <w:szCs w:val="32"/>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_GB2312" w:eastAsia="仿宋_GB2312" w:cs="仿宋_GB2312"/>
          <w:b w:val="0"/>
          <w:bCs w:val="0"/>
          <w:kern w:val="0"/>
          <w:position w:val="0"/>
          <w:sz w:val="32"/>
          <w:szCs w:val="32"/>
          <w:highlight w:val="none"/>
          <w:lang w:val="en-US" w:eastAsia="zh-CN" w:bidi="ar-SA"/>
        </w:rPr>
        <w:t>通过汇总、整理、分析</w:t>
      </w:r>
      <w:r>
        <w:rPr>
          <w:rFonts w:ascii="仿宋_GB2312" w:eastAsia="仿宋_GB2312" w:cs="仿宋_GB2312"/>
          <w:b w:val="0"/>
          <w:bCs w:val="0"/>
          <w:kern w:val="0"/>
          <w:position w:val="0"/>
          <w:sz w:val="32"/>
          <w:szCs w:val="32"/>
          <w:highlight w:val="none"/>
          <w:lang w:val="en-US" w:eastAsia="zh-CN" w:bidi="ar-SA"/>
        </w:rPr>
        <w:t>人大建设</w:t>
      </w:r>
      <w:r>
        <w:rPr>
          <w:rFonts w:hint="eastAsia" w:ascii="仿宋_GB2312" w:eastAsia="仿宋_GB2312" w:cs="仿宋_GB2312"/>
          <w:b w:val="0"/>
          <w:bCs w:val="0"/>
          <w:kern w:val="0"/>
          <w:position w:val="0"/>
          <w:sz w:val="32"/>
          <w:szCs w:val="32"/>
          <w:highlight w:val="none"/>
          <w:lang w:val="en-US" w:eastAsia="zh-CN" w:bidi="ar-SA"/>
        </w:rPr>
        <w:t>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5</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 xml:space="preserve"> 8</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28</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br w:type="page"/>
      </w: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w:t>
            </w:r>
            <w:r>
              <w:rPr>
                <w:rFonts w:hint="eastAsia" w:ascii="宋体" w:cs="宋体"/>
                <w:color w:val="000000"/>
                <w:kern w:val="0"/>
                <w:sz w:val="24"/>
                <w:szCs w:val="24"/>
                <w:lang w:val="en-US" w:eastAsia="zh-CN"/>
              </w:rPr>
              <w:t>人大</w:t>
            </w:r>
            <w:r>
              <w:rPr>
                <w:rFonts w:hint="eastAsia" w:ascii="宋体" w:eastAsia="宋体" w:cs="宋体"/>
                <w:color w:val="000000"/>
                <w:kern w:val="0"/>
                <w:sz w:val="24"/>
                <w:szCs w:val="24"/>
                <w:lang w:val="en-US" w:eastAsia="zh-CN"/>
              </w:rPr>
              <w:t>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用于乡人大日常工作开展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w:t>
            </w:r>
            <w:r>
              <w:rPr>
                <w:rFonts w:hint="eastAsia" w:ascii="Times New Roman" w:hAnsi="Times New Roman" w:cs="宋体"/>
                <w:color w:val="000000"/>
                <w:kern w:val="0"/>
                <w:sz w:val="24"/>
                <w:szCs w:val="24"/>
                <w:lang w:val="en-US" w:eastAsia="zh-CN"/>
              </w:rPr>
              <w:t>4</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w:t>
            </w:r>
            <w:r>
              <w:rPr>
                <w:rFonts w:hint="eastAsia" w:ascii="Times New Roman" w:hAnsi="Times New Roman" w:cs="Times New Roman"/>
                <w:color w:val="000000"/>
                <w:kern w:val="0"/>
                <w:sz w:val="24"/>
                <w:szCs w:val="24"/>
                <w:lang w:val="en-US" w:eastAsia="zh-CN"/>
              </w:rPr>
              <w:t>4</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2"/>
                <w:sz w:val="24"/>
                <w:szCs w:val="24"/>
              </w:rPr>
            </w:pPr>
            <w:r>
              <w:rPr>
                <w:rFonts w:hint="eastAsia" w:ascii="等线" w:eastAsia="等线" w:cs="等线"/>
                <w:i w:val="0"/>
                <w:color w:val="000000"/>
                <w:kern w:val="0"/>
                <w:sz w:val="18"/>
                <w:szCs w:val="18"/>
                <w:u w:val="none"/>
                <w:lang w:val="en-US" w:eastAsia="zh-CN"/>
              </w:rPr>
              <w:t>产出指标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效益指标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经济效益指标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效益</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40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00D42449"/>
    <w:rsid w:val="02E05EDA"/>
    <w:rsid w:val="1CEF41BD"/>
    <w:rsid w:val="3A47135D"/>
    <w:rsid w:val="4F504627"/>
    <w:rsid w:val="9BB68A4C"/>
    <w:rsid w:val="CFFF5CED"/>
    <w:rsid w:val="DEB533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widowControl w:val="0"/>
      <w:spacing w:before="340" w:after="330" w:line="578" w:lineRule="auto"/>
      <w:outlineLvl w:val="0"/>
    </w:pPr>
    <w:rPr>
      <w:b/>
      <w:bCs/>
      <w:kern w:val="44"/>
      <w:sz w:val="44"/>
    </w:rPr>
  </w:style>
  <w:style w:type="paragraph" w:styleId="5">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13</Pages>
  <Words>5413</Words>
  <Characters>5524</Characters>
  <Lines>341</Lines>
  <Paragraphs>167</Paragraphs>
  <TotalTime>58</TotalTime>
  <ScaleCrop>false</ScaleCrop>
  <LinksUpToDate>false</LinksUpToDate>
  <CharactersWithSpaces>5618</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2025-09-26T16:39:59Z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F458B0F45099434FAC59F0EFC705C38F_13</vt:lpwstr>
  </property>
</Properties>
</file>