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黑水县龙坝乡</w:t>
      </w:r>
    </w:p>
    <w:p>
      <w:pPr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2024年安全饮水提升工程项目</w:t>
      </w:r>
    </w:p>
    <w:p>
      <w:pPr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绩效</w:t>
      </w:r>
      <w:r>
        <w:rPr>
          <w:rFonts w:hint="eastAsia" w:ascii="方正小标宋简体" w:eastAsia="方正小标宋简体" w:cs="黑体"/>
          <w:b w:val="0"/>
          <w:kern w:val="2"/>
          <w:sz w:val="40"/>
          <w:szCs w:val="40"/>
          <w:lang w:val="en-US" w:eastAsia="zh-CN" w:bidi="ar-SA"/>
        </w:rPr>
        <w:t>评价</w:t>
      </w:r>
      <w:r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  <w:t>报告</w:t>
      </w:r>
    </w:p>
    <w:p>
      <w:pPr>
        <w:jc w:val="center"/>
        <w:rPr>
          <w:rFonts w:hint="eastAsia" w:ascii="方正小标宋简体" w:hAnsi="Calibri" w:eastAsia="方正小标宋简体" w:cs="黑体"/>
          <w:b w:val="0"/>
          <w:kern w:val="2"/>
          <w:sz w:val="40"/>
          <w:szCs w:val="40"/>
          <w:lang w:val="en-US" w:eastAsia="zh-CN" w:bidi="ar-SA"/>
        </w:rPr>
      </w:pPr>
    </w:p>
    <w:p>
      <w:pPr>
        <w:ind w:firstLine="722" w:firstLineChars="200"/>
        <w:rPr>
          <w:rFonts w:hint="eastAsia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一、项目概况</w:t>
      </w:r>
    </w:p>
    <w:p>
      <w:pPr>
        <w:numPr>
          <w:ilvl w:val="0"/>
          <w:numId w:val="0"/>
        </w:numPr>
        <w:ind w:firstLine="642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（一）设立背景及基本情况。</w:t>
      </w:r>
    </w:p>
    <w:p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项目区内需解决的主要为原有饮水管道损坏，管径过小，水量不达标，蓄水池破损的问题，项目实施主要是对原已建饮水设施进行修复改造及巩固提升。工程建设的及时实施，可以提升供水工程的供水效率，可以有效保障项目区居民的生活用水需求，提高人民的生活水平，所以本次工程项目的实施是非常必要和迫切的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642" w:firstLineChars="20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实施目的及支持方向。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改建 2 座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20m3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蓄水池；更换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DN32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输水管线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222m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DN50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输水管线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629m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DN50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溢流管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380m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；改建阀门井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6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座、减压池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2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座、挡土墙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32.5m3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；恢复砼道路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7.5m2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；采购安装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1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套自动消毒器设备；拆除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20m3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蓄水池 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1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座。</w:t>
      </w:r>
    </w:p>
    <w:p>
      <w:pPr>
        <w:numPr>
          <w:ilvl w:val="0"/>
          <w:numId w:val="0"/>
        </w:numPr>
        <w:ind w:firstLine="642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（三）预算安排及分配管理。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2024年年初预算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36.56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万元，调整后预算数30.45万元，预算执行数30.45万元。</w:t>
      </w:r>
    </w:p>
    <w:p>
      <w:pPr>
        <w:numPr>
          <w:ilvl w:val="0"/>
          <w:numId w:val="0"/>
        </w:numPr>
        <w:spacing w:line="560" w:lineRule="exact"/>
        <w:ind w:leftChars="200"/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  <w:t>（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四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  <w:t>）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项目绩效目标设置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zh-CN" w:eastAsia="zh-CN" w:bidi="ar-SA"/>
        </w:rPr>
        <w:t>。</w:t>
      </w:r>
    </w:p>
    <w:p>
      <w:pPr>
        <w:numPr>
          <w:ilvl w:val="0"/>
          <w:numId w:val="0"/>
        </w:numPr>
        <w:spacing w:line="560" w:lineRule="exact"/>
        <w:ind w:leftChars="200" w:firstLine="320" w:firstLineChars="100"/>
        <w:rPr>
          <w:rFonts w:hint="eastAsia"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我乡</w:t>
      </w:r>
      <w:r>
        <w:rPr>
          <w:rFonts w:hint="eastAsia" w:ascii="仿宋_GB2312" w:hAnsi="宋体" w:eastAsia="仿宋_GB2312" w:cs="Times New Roman"/>
          <w:sz w:val="32"/>
          <w:szCs w:val="32"/>
        </w:rPr>
        <w:t>承担专项资金绩效管理的主体责任，主要负责提出</w:t>
      </w:r>
    </w:p>
    <w:p>
      <w:pPr>
        <w:numPr>
          <w:ilvl w:val="0"/>
          <w:numId w:val="0"/>
        </w:numPr>
        <w:spacing w:line="560" w:lineRule="exact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2024年安全饮水提升工程项目</w:t>
      </w:r>
      <w:r>
        <w:rPr>
          <w:rFonts w:hint="eastAsia" w:ascii="仿宋_GB2312" w:hAnsi="宋体" w:eastAsia="仿宋_GB2312" w:cs="Times New Roman"/>
          <w:sz w:val="32"/>
          <w:szCs w:val="32"/>
        </w:rPr>
        <w:t>资金分配方案，制定项目管理制度，组织项目评审和实施，开展项目验收、绩效评价和监督检查等工作。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78" w:lineRule="exact"/>
        <w:ind w:left="0" w:right="0" w:firstLine="640" w:firstLineChars="20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二、评价实施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78" w:lineRule="exact"/>
        <w:ind w:left="0" w:right="0" w:firstLine="640"/>
        <w:jc w:val="both"/>
        <w:rPr>
          <w:rFonts w:hint="default" w:ascii="Times New Roman" w:hAnsi="Times New Roman" w:eastAsia="仿宋_GB2312" w:cs="仿宋_GB2312"/>
          <w:kern w:val="2"/>
          <w:sz w:val="32"/>
          <w:szCs w:val="32"/>
        </w:rPr>
      </w:pPr>
      <w:r>
        <w:rPr>
          <w:rFonts w:hint="default" w:ascii="楷体_GB2312" w:hAnsi="宋体" w:eastAsia="楷体_GB2312" w:cs="楷体_GB2312"/>
          <w:b/>
          <w:kern w:val="2"/>
          <w:sz w:val="32"/>
          <w:szCs w:val="32"/>
          <w:lang w:val="en-US" w:eastAsia="zh-CN" w:bidi="ar"/>
        </w:rPr>
        <w:t>（一）评价目的。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通过绩效评价，及时发现项目实施中存在的薄弱环节，总结推广好的经验和做法，进一步规范项目管理。</w:t>
      </w:r>
    </w:p>
    <w:p>
      <w:pPr>
        <w:numPr>
          <w:ilvl w:val="0"/>
          <w:numId w:val="2"/>
        </w:numPr>
        <w:adjustRightInd w:val="0"/>
        <w:snapToGrid w:val="0"/>
        <w:spacing w:beforeLines="0" w:afterLines="0" w:line="578" w:lineRule="exact"/>
        <w:ind w:firstLine="642" w:firstLineChars="200"/>
        <w:rPr>
          <w:rFonts w:hint="eastAsia" w:ascii="楷体_GB2312" w:hAnsi="宋体" w:eastAsia="楷体_GB2312"/>
          <w:b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预设问题及评价重点。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1.长效机制建立情况。项目实施单位是否已建立项目实施管理制度等。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2.项目实施程序严密性。建设项目的招投标资料是否完整、真实，有无弄虚作假套取财政资金等问题。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古、挪用、截留等违纪违规等问题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4.信息的公开透明度。项目资金管理单位的公开公示情况。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6.项目实施单位绩效自评情况。项目实施单位是否严格按照预算绩效管理规定开展绩效自评。</w:t>
      </w:r>
    </w:p>
    <w:p>
      <w:pPr>
        <w:numPr>
          <w:ilvl w:val="0"/>
          <w:numId w:val="0"/>
        </w:numPr>
        <w:adjustRightInd w:val="0"/>
        <w:snapToGrid w:val="0"/>
        <w:spacing w:beforeLines="0" w:afterLines="0" w:line="578" w:lineRule="exact"/>
        <w:ind w:leftChars="200"/>
        <w:rPr>
          <w:rFonts w:hint="eastAsia" w:ascii="楷体_GB2312" w:hAnsi="宋体" w:eastAsia="楷体_GB2312"/>
          <w:b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（三）评价选点。</w:t>
      </w:r>
    </w:p>
    <w:p>
      <w:pPr>
        <w:numPr>
          <w:ilvl w:val="0"/>
          <w:numId w:val="0"/>
        </w:numPr>
        <w:adjustRightInd w:val="0"/>
        <w:snapToGrid w:val="0"/>
        <w:spacing w:beforeLines="0" w:afterLines="0" w:line="578" w:lineRule="exact"/>
        <w:ind w:leftChars="200" w:firstLine="320" w:firstLineChars="100"/>
        <w:rPr>
          <w:rFonts w:hint="eastAsia"/>
          <w:sz w:val="32"/>
          <w:lang w:val="zh-CN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全乡</w:t>
      </w:r>
    </w:p>
    <w:p>
      <w:pPr>
        <w:adjustRightInd w:val="0"/>
        <w:snapToGrid w:val="0"/>
        <w:spacing w:beforeLines="0" w:afterLines="0" w:line="578" w:lineRule="exact"/>
        <w:ind w:firstLine="642" w:firstLineChars="200"/>
        <w:rPr>
          <w:rFonts w:hint="eastAsia" w:ascii="楷体_GB2312" w:hAnsi="宋体" w:eastAsia="楷体_GB2312"/>
          <w:b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（四）评价方法。</w:t>
      </w:r>
    </w:p>
    <w:p>
      <w:pPr>
        <w:adjustRightInd w:val="0"/>
        <w:snapToGrid w:val="0"/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1.现场咨询。</w:t>
      </w:r>
    </w:p>
    <w:p>
      <w:pPr>
        <w:adjustRightInd w:val="0"/>
        <w:snapToGrid w:val="0"/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2.实施单位自评，形成完整自评资料。</w:t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（五）评价组织。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评价组人员由相关业务股室和项目单位代表组成，评价小组以检查账目、资料、电话核实等形式开展了现场评价。</w:t>
      </w:r>
    </w:p>
    <w:p>
      <w:pPr>
        <w:adjustRightInd w:val="0"/>
        <w:snapToGrid w:val="0"/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三、绩效分析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ab/>
      </w:r>
    </w:p>
    <w:p>
      <w:pPr>
        <w:spacing w:beforeLines="0" w:afterLines="0" w:line="578" w:lineRule="exact"/>
        <w:ind w:firstLine="64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（一）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通用指标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绩效分析。指标分值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54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分，自评得分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51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分</w:t>
      </w:r>
    </w:p>
    <w:p>
      <w:pPr>
        <w:spacing w:beforeLines="0" w:afterLines="0" w:line="578" w:lineRule="exact"/>
        <w:ind w:left="420" w:left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1.项目决策。指标分值18分，自评得分15分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决策程序：项目设立、调整延续等方面符合资金管理基本规范和决策程序要求。指标分值6分，自评得分5分。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规划论证：项目规划论证符合中央、省委要求，项目绩效目标设置科学合理，项目资金与项目总体规划、相关行业事业发展相匹配，聚焦重大任务、重点领域、重点环节和重点项目。指标分值6分，自评得分5分。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资金投向：项目资金是与项目总体规划、相关行业事业发展相匹配，聚焦重大任务、重点领域、重点环节和重点项目。体现“集中力量办大事”原则，避免“撒胡椒面”。指标分值6分，自评得分5分。</w:t>
      </w:r>
    </w:p>
    <w:p>
      <w:pPr>
        <w:numPr>
          <w:ilvl w:val="0"/>
          <w:numId w:val="0"/>
        </w:num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2.项目管理。指标分值18分，自评得分18分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制度办法：项目制度办法体系健全、要素完备。资金管理办法等管理制度体系健全完善，不存在管理制度缺失、管理办法过期情况。指标分值2分，自评得分2分。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分配管理：项目资金分配因素选取、权重设置、区域分布，项目管理、审批符合管理要求，管资金、项目、政策管绩效，项目绩效监管按要求开展，对下指导有力有效。指标分值10分，自评得分10分。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绩效监管:明确要求“事前评估”、“事中监控”、“事后评价”，层层把控，对相关人员进行绩效业务培训，使人人“懂理念、会分析”。并严抓项目决策是否科学的“牛鼻子”，力求项目决策科学。让项目“目标科学、全面”才能“拎得清”，“跟踪及时、严格”才能“管得准”，避免偏离轨道造成的损耗成本、影响质量、效率低下。“花钱必问效，无效必问责”，该局将绩效理念融入预算编制、执行、监督全过程，抓好项目效益是否提升的“落脚点”，发挥绩效评价导向作用，通过奖优惩劣，确保被评价单位把每一笔钱都用在刀刃上、紧要处，力求项目效益提升。指标分值6分，自评得分6分。</w:t>
      </w:r>
    </w:p>
    <w:p>
      <w:pPr>
        <w:numPr>
          <w:ilvl w:val="0"/>
          <w:numId w:val="0"/>
        </w:numPr>
        <w:spacing w:beforeLines="0" w:afterLines="0" w:line="578" w:lineRule="exact"/>
        <w:ind w:firstLine="640" w:firstLineChars="200"/>
        <w:rPr>
          <w:rFonts w:hint="eastAsia" w:ascii="楷体_GB2312" w:hAnsi="楷体_GB2312" w:eastAsia="楷体_GB2312"/>
          <w:color w:val="auto"/>
          <w:sz w:val="32"/>
        </w:rPr>
      </w:pPr>
      <w:r>
        <w:rPr>
          <w:rFonts w:hint="eastAsia" w:ascii="楷体_GB2312" w:hAnsi="楷体_GB2312" w:eastAsia="楷体_GB2312"/>
          <w:color w:val="auto"/>
          <w:sz w:val="32"/>
        </w:rPr>
        <w:t>3.项目实施。指标分值9分，自评得分9分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预算执行:项目预算资金170.96万元，支付170.96万元。指标分值6分，自评得分6分。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资金使用:项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。指标分值3分，自评得分3分。</w:t>
      </w:r>
    </w:p>
    <w:p>
      <w:pPr>
        <w:numPr>
          <w:ilvl w:val="0"/>
          <w:numId w:val="0"/>
        </w:numPr>
        <w:spacing w:beforeLines="0" w:afterLines="0" w:line="578" w:lineRule="exact"/>
        <w:ind w:firstLine="640" w:firstLineChars="200"/>
        <w:rPr>
          <w:rFonts w:hint="eastAsia" w:ascii="楷体_GB2312" w:hAnsi="楷体_GB2312" w:eastAsia="楷体_GB2312"/>
          <w:color w:val="auto"/>
          <w:sz w:val="32"/>
        </w:rPr>
      </w:pPr>
      <w:r>
        <w:rPr>
          <w:rFonts w:hint="eastAsia" w:ascii="楷体_GB2312" w:hAnsi="楷体_GB2312" w:eastAsia="楷体_GB2312"/>
          <w:color w:val="auto"/>
          <w:sz w:val="32"/>
        </w:rPr>
        <w:t>4.项目结果。指标分值9分，自评得分9分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目标完成：资金项目内容与具体实施内容相符的、申报目标是合理可行。项目运行成本、管理效率、履职效能、社会效应、可持续发展能力和服务对象满意度等方面均取得良好成果，预算绩效实现全覆盖。截止2023年底完成项目资金拨付。指标分值6分，自评得分6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完成时效：资金项目按照目标任务已于2023年底完成。指标分值3分，自评得分3分。</w:t>
      </w:r>
    </w:p>
    <w:p>
      <w:pPr>
        <w:spacing w:beforeLines="0" w:afterLines="0" w:line="578" w:lineRule="exact"/>
        <w:ind w:firstLine="642" w:firstLineChars="200"/>
        <w:rPr>
          <w:rFonts w:hint="eastAsia" w:ascii="楷体_GB2312" w:hAnsi="楷体_GB2312" w:eastAsia="楷体_GB2312"/>
          <w:color w:val="auto"/>
          <w:sz w:val="32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lang w:val="zh-CN"/>
        </w:rPr>
        <w:t>（二）</w:t>
      </w:r>
      <w:r>
        <w:rPr>
          <w:rFonts w:hint="eastAsia" w:ascii="楷体_GB2312" w:hAnsi="宋体" w:eastAsia="楷体_GB2312"/>
          <w:b/>
          <w:color w:val="auto"/>
          <w:sz w:val="32"/>
        </w:rPr>
        <w:t>专用指标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绩效分析。指标分值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30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分，自评得分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30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项目验收：该项目已完成项目验收，出具项目验收报告。指标分值10分，自评得分10分。</w:t>
      </w:r>
    </w:p>
    <w:p>
      <w:pPr>
        <w:spacing w:beforeLines="0" w:afterLines="0" w:line="578" w:lineRule="exact"/>
        <w:ind w:firstLine="640" w:firstLineChars="200"/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项功能实现：目资金分配均衡公平，资金实际支持对象符合管理要求，符合支持对象范围，资金实际补贴标准符合资金管理办法规定的补助标准，及时按标准兑现，资金涉及服务对象满意度不低于90%，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zh-CN" w:eastAsia="zh-CN" w:bidi="ar-SA"/>
        </w:rPr>
        <w:t>项目用途合规性、程序合规性、标准合规性。</w:t>
      </w: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指标分值10分，自评得分10分。</w:t>
      </w:r>
    </w:p>
    <w:p>
      <w:pPr>
        <w:spacing w:beforeLines="0" w:afterLines="0" w:line="578" w:lineRule="exact"/>
        <w:ind w:firstLine="640" w:firstLineChars="200"/>
        <w:rPr>
          <w:rFonts w:hint="default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后续管护:建立明确的责任制度，确保每个环节都有专人负责。通过宣传和教育活动提高公众对项目管护的认识和参与度,以提高管理效率和质量。确保项目的长期效益和持续运行，提高项目的整体价值和社会的整体福利。指标分值10分，自评得分10分。</w:t>
      </w:r>
    </w:p>
    <w:p>
      <w:pPr>
        <w:numPr>
          <w:ilvl w:val="0"/>
          <w:numId w:val="2"/>
        </w:numPr>
        <w:spacing w:beforeLines="0" w:afterLines="0" w:line="578" w:lineRule="exact"/>
        <w:ind w:firstLine="642" w:firstLineChars="200"/>
        <w:rPr>
          <w:rFonts w:hint="default" w:eastAsia="楷体_GB2312"/>
          <w:b/>
          <w:color w:val="000000"/>
          <w:kern w:val="0"/>
          <w:sz w:val="32"/>
          <w:shd w:val="clear" w:color="auto" w:fill="FFFFFF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</w:rPr>
        <w:t>个性指标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绩效分析。指标分值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16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分，自评得分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</w:rPr>
        <w:t>16</w:t>
      </w:r>
      <w:r>
        <w:rPr>
          <w:rFonts w:hint="eastAsia" w:eastAsia="楷体_GB2312"/>
          <w:b/>
          <w:color w:val="000000"/>
          <w:kern w:val="0"/>
          <w:sz w:val="32"/>
          <w:shd w:val="clear" w:color="auto" w:fill="FFFFFF"/>
          <w:lang w:val="zh-CN"/>
        </w:rPr>
        <w:t>分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我单位在规定内做好</w:t>
      </w:r>
      <w:r>
        <w:rPr>
          <w:rFonts w:hint="eastAsia" w:ascii="仿宋_GB2312" w:hAnsi="仿宋_GB2312" w:eastAsia="仿宋_GB2312" w:cs="Times New Roman"/>
          <w:sz w:val="32"/>
          <w:lang w:val="en-US" w:eastAsia="zh-CN"/>
        </w:rPr>
        <w:t>龙坝</w:t>
      </w:r>
      <w:r>
        <w:rPr>
          <w:rFonts w:hint="eastAsia" w:ascii="仿宋_GB2312" w:hAnsi="仿宋_GB2312" w:eastAsia="仿宋_GB2312" w:cs="Times New Roman"/>
          <w:sz w:val="32"/>
          <w:lang w:eastAsia="zh-CN"/>
        </w:rPr>
        <w:t>乡2023年</w:t>
      </w:r>
      <w:r>
        <w:rPr>
          <w:rFonts w:hint="eastAsia" w:ascii="仿宋_GB2312" w:hAnsi="仿宋_GB2312" w:eastAsia="仿宋_GB2312" w:cs="Times New Roman"/>
          <w:sz w:val="32"/>
          <w:lang w:val="en-US" w:eastAsia="zh-CN"/>
        </w:rPr>
        <w:t>瓜苏村基础设施建设</w:t>
      </w:r>
      <w:r>
        <w:rPr>
          <w:rFonts w:hint="eastAsia" w:ascii="仿宋_GB2312" w:hAnsi="仿宋_GB2312" w:eastAsia="仿宋_GB2312" w:cs="Times New Roman"/>
          <w:sz w:val="32"/>
          <w:lang w:eastAsia="zh-CN"/>
        </w:rPr>
        <w:t>提升项目经费个性化绩效评价指标具有特定的针对性，能够更好地反映其特定业务领域的表现，提高部门的整体绩效水平。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水质达标率:通过项目实施,提高农村水质管理效率和质量。指标分值5分，自评得分5分。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项目公示:按照公开要求，在门户网站中决算公开内容进行公示。指标分值5分，自评得分5分。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lang w:eastAsia="zh-CN"/>
        </w:rPr>
        <w:t>项目作用期：通过项目实施，进一步提升安全饮水项目工作的力度。按照项目管理要求，保障项目使用年限。指标分值6分，自评得分6分。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黑体" w:hAnsi="宋体" w:eastAsia="黑体"/>
          <w:color w:val="auto"/>
          <w:sz w:val="32"/>
        </w:rPr>
      </w:pPr>
      <w:r>
        <w:rPr>
          <w:rFonts w:hint="eastAsia" w:ascii="黑体" w:hAnsi="宋体" w:eastAsia="黑体"/>
          <w:color w:val="auto"/>
          <w:sz w:val="32"/>
          <w:lang w:eastAsia="zh-CN"/>
        </w:rPr>
        <w:t>四</w:t>
      </w:r>
      <w:r>
        <w:rPr>
          <w:rFonts w:hint="eastAsia" w:ascii="黑体" w:hAnsi="宋体" w:eastAsia="黑体"/>
          <w:color w:val="auto"/>
          <w:sz w:val="32"/>
        </w:rPr>
        <w:t>、评价结论</w:t>
      </w:r>
    </w:p>
    <w:p>
      <w:pPr>
        <w:pStyle w:val="4"/>
        <w:numPr>
          <w:ilvl w:val="0"/>
          <w:numId w:val="0"/>
        </w:numPr>
        <w:tabs>
          <w:tab w:val="left" w:pos="2160"/>
        </w:tabs>
        <w:spacing w:beforeLines="0" w:afterLines="0" w:line="600" w:lineRule="exact"/>
        <w:ind w:firstLine="640" w:firstLineChars="200"/>
        <w:rPr>
          <w:rFonts w:hint="eastAsia" w:ascii="仿宋_GB2312" w:hAnsi="仿宋_GB2312" w:eastAsia="仿宋_GB2312"/>
          <w:sz w:val="32"/>
          <w:lang w:eastAsia="zh-CN"/>
        </w:rPr>
      </w:pPr>
      <w:r>
        <w:rPr>
          <w:rFonts w:hint="eastAsia" w:ascii="仿宋_GB2312" w:hAnsi="仿宋_GB2312" w:eastAsia="仿宋_GB2312"/>
          <w:sz w:val="32"/>
          <w:lang w:eastAsia="zh-CN"/>
        </w:rPr>
        <w:t>通过汇总、整理、分析</w:t>
      </w:r>
      <w:r>
        <w:rPr>
          <w:rFonts w:hint="eastAsia" w:ascii="仿宋_GB2312" w:hAnsi="仿宋_GB2312" w:eastAsia="仿宋_GB2312"/>
          <w:sz w:val="32"/>
          <w:lang w:val="en-US" w:eastAsia="zh-CN"/>
        </w:rPr>
        <w:t>龙坝</w:t>
      </w:r>
      <w:r>
        <w:rPr>
          <w:rFonts w:hint="eastAsia" w:ascii="仿宋_GB2312" w:hAnsi="仿宋_GB2312" w:eastAsia="仿宋_GB2312"/>
          <w:sz w:val="32"/>
          <w:lang w:eastAsia="zh-CN"/>
        </w:rPr>
        <w:t>乡2023年农村安全饮水巩固提升项目绩效评价指标体系，绩效目标基本实现，自评得分为</w:t>
      </w:r>
      <w:r>
        <w:rPr>
          <w:rFonts w:hint="eastAsia" w:ascii="仿宋_GB2312" w:hAnsi="仿宋_GB2312" w:eastAsia="仿宋_GB2312"/>
          <w:sz w:val="32"/>
          <w:lang w:val="en-US" w:eastAsia="zh-CN"/>
        </w:rPr>
        <w:t>97</w:t>
      </w:r>
      <w:r>
        <w:rPr>
          <w:rFonts w:hint="eastAsia" w:ascii="仿宋_GB2312" w:hAnsi="仿宋_GB2312" w:eastAsia="仿宋_GB2312"/>
          <w:sz w:val="32"/>
          <w:lang w:eastAsia="zh-CN"/>
        </w:rPr>
        <w:t>分。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40" w:firstLineChars="200"/>
        <w:jc w:val="left"/>
        <w:rPr>
          <w:rFonts w:hint="eastAsia" w:ascii="黑体" w:hAnsi="宋体" w:eastAsia="黑体" w:cs="黑体"/>
          <w:kern w:val="0"/>
          <w:position w:val="3"/>
          <w:sz w:val="32"/>
          <w:szCs w:val="32"/>
        </w:rPr>
      </w:pPr>
      <w:r>
        <w:rPr>
          <w:rFonts w:hint="eastAsia" w:ascii="黑体" w:hAnsi="宋体" w:eastAsia="黑体" w:cs="黑体"/>
          <w:kern w:val="0"/>
          <w:position w:val="3"/>
          <w:sz w:val="32"/>
          <w:szCs w:val="32"/>
          <w:lang w:val="en-US" w:eastAsia="zh-CN" w:bidi="ar"/>
        </w:rPr>
        <w:t>五、存在主要问题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1、内部管理上较为粗糙。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2、预算执行力度不够。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3、预算编制的前瞻性不够,导致预算和实际支出存在调整。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黑体" w:hAnsi="宋体" w:eastAsia="黑体" w:cs="黑体"/>
          <w:kern w:val="0"/>
          <w:position w:val="3"/>
          <w:sz w:val="32"/>
          <w:szCs w:val="32"/>
        </w:rPr>
      </w:pPr>
      <w:r>
        <w:rPr>
          <w:rFonts w:hint="eastAsia" w:ascii="黑体" w:hAnsi="宋体" w:eastAsia="黑体" w:cs="黑体"/>
          <w:kern w:val="0"/>
          <w:position w:val="3"/>
          <w:sz w:val="32"/>
          <w:szCs w:val="32"/>
          <w:lang w:val="en-US" w:eastAsia="zh-CN" w:bidi="ar"/>
        </w:rPr>
        <w:t>六、改进建议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1、</w:t>
      </w: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建议加强对</w:t>
      </w:r>
      <w:r>
        <w:rPr>
          <w:rFonts w:hint="eastAsia" w:ascii="仿宋" w:hAnsi="仿宋" w:eastAsia="仿宋" w:cs="仿宋"/>
          <w:sz w:val="32"/>
          <w:szCs w:val="32"/>
        </w:rPr>
        <w:t>项目</w:t>
      </w: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工作的培训和指导，进一步优化项目专项</w:t>
      </w:r>
      <w:r>
        <w:rPr>
          <w:rFonts w:hint="eastAsia" w:ascii="仿宋" w:hAnsi="仿宋" w:eastAsia="仿宋" w:cs="仿宋"/>
          <w:sz w:val="32"/>
          <w:szCs w:val="32"/>
        </w:rPr>
        <w:t>预算项目支出绩效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做到合理性与可操作性的有机统一。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</w:rPr>
      </w:pPr>
      <w:r>
        <w:rPr>
          <w:rFonts w:hint="eastAsia" w:ascii="仿宋" w:hAnsi="Calibri" w:eastAsia="仿宋" w:cs="仿宋"/>
          <w:kern w:val="2"/>
          <w:sz w:val="32"/>
          <w:szCs w:val="32"/>
          <w:lang w:val="en-US" w:eastAsia="zh-CN" w:bidi="ar-SA"/>
        </w:rPr>
        <w:t>2、细化预算编制工作，加强单位内部机构的预算管理意识，科学规划，提高财政资金使用效率，减少预算资金的调整、结转和结余的情形</w:t>
      </w: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 w:firstLine="640" w:firstLineChars="200"/>
        <w:jc w:val="both"/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</w:rPr>
      </w:pPr>
      <w:r>
        <w:rPr>
          <w:rFonts w:hint="default" w:ascii="仿宋_GB2312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附表：</w:t>
      </w: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1.</w:t>
      </w:r>
      <w:r>
        <w:rPr>
          <w:rFonts w:hint="default" w:ascii="仿宋_GB2312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项目资金分配涉及所有点位自评得分情况表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 w:firstLine="1600" w:firstLineChars="5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2.</w:t>
      </w:r>
      <w:r>
        <w:rPr>
          <w:rFonts w:hint="default" w:ascii="仿宋_GB2312" w:hAnsi="Times New Roman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专项预算项目绩效目标完成情况自评表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黑水县龙坝乡人民政府</w:t>
      </w:r>
    </w:p>
    <w:p>
      <w:pPr>
        <w:pStyle w:val="12"/>
        <w:jc w:val="right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 xml:space="preserve"> 8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bCs/>
          <w:sz w:val="32"/>
          <w:szCs w:val="32"/>
          <w:lang w:val="en-US" w:eastAsia="zh-CN"/>
        </w:rPr>
        <w:t xml:space="preserve"> 30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日</w:t>
      </w:r>
    </w:p>
    <w:p>
      <w:pPr>
        <w:pStyle w:val="9"/>
        <w:ind w:left="0" w:leftChars="0" w:firstLine="0" w:firstLineChars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78" w:lineRule="exact"/>
        <w:ind w:left="0" w:right="0"/>
        <w:jc w:val="both"/>
        <w:rPr>
          <w:rFonts w:hint="eastAsia" w:ascii="黑体" w:hAnsi="宋体" w:eastAsia="黑体" w:cs="黑体"/>
          <w:kern w:val="0"/>
          <w:sz w:val="32"/>
          <w:szCs w:val="32"/>
          <w:shd w:val="clear" w:fill="FFFFFF"/>
        </w:rPr>
      </w:pPr>
      <w:r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  <w:t>附表1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78" w:lineRule="exact"/>
        <w:ind w:left="0" w:right="0"/>
        <w:jc w:val="center"/>
        <w:rPr>
          <w:rFonts w:hint="default" w:ascii="方正小标宋_GBK" w:hAnsi="方正小标宋_GBK" w:eastAsia="方正小标宋_GBK" w:cs="方正小标宋_GBK"/>
          <w:kern w:val="2"/>
          <w:sz w:val="40"/>
          <w:szCs w:val="40"/>
        </w:rPr>
      </w:pPr>
      <w:r>
        <w:rPr>
          <w:rFonts w:hint="default" w:ascii="方正小标宋_GBK" w:hAnsi="方正小标宋_GBK" w:eastAsia="方正小标宋_GBK" w:cs="方正小标宋_GBK"/>
          <w:kern w:val="2"/>
          <w:sz w:val="40"/>
          <w:szCs w:val="40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78" w:lineRule="exact"/>
        <w:ind w:left="0" w:right="0"/>
        <w:jc w:val="center"/>
        <w:rPr>
          <w:rFonts w:hint="default" w:ascii="方正小标宋_GBK" w:hAnsi="方正小标宋_GBK" w:eastAsia="方正小标宋_GBK" w:cs="方正小标宋_GBK"/>
          <w:kern w:val="2"/>
          <w:sz w:val="40"/>
          <w:szCs w:val="40"/>
        </w:rPr>
      </w:pPr>
      <w:r>
        <w:rPr>
          <w:rFonts w:hint="default" w:ascii="方正小标宋_GBK" w:hAnsi="方正小标宋_GBK" w:eastAsia="方正小标宋_GBK" w:cs="方正小标宋_GBK"/>
          <w:kern w:val="2"/>
          <w:sz w:val="40"/>
          <w:szCs w:val="40"/>
          <w:lang w:val="en-US" w:eastAsia="zh-CN" w:bidi="ar"/>
        </w:rPr>
        <w:t>项目资金分配涉及所有点位自评得分情况表</w:t>
      </w:r>
    </w:p>
    <w:tbl>
      <w:tblPr>
        <w:tblStyle w:val="10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3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项目资金末端分配点位</w:t>
            </w:r>
          </w:p>
        </w:tc>
        <w:tc>
          <w:tcPr>
            <w:tcW w:w="2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自评得分（百分制）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 w:eastAsia="仿宋_GB2312" w:cs="宋体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仿宋_GB2312" w:cs="宋体"/>
                <w:kern w:val="2"/>
                <w:sz w:val="24"/>
                <w:szCs w:val="24"/>
                <w:lang w:val="en-US" w:eastAsia="zh-CN" w:bidi="ar"/>
              </w:rPr>
              <w:t>龙坝乡人民政府</w:t>
            </w:r>
          </w:p>
        </w:tc>
        <w:tc>
          <w:tcPr>
            <w:tcW w:w="2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 w:eastAsia="仿宋_GB2312" w:cs="宋体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仿宋_GB2312" w:cs="宋体"/>
                <w:kern w:val="2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 w:eastAsia="仿宋_GB2312" w:cs="宋体"/>
                <w:kern w:val="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/>
        <w:jc w:val="left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备注：1.项目资金末端分配点位包括市（州）本级、县（市、区）、省级部门下属单位及一次性单位等。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 w:firstLine="630" w:firstLineChars="300"/>
        <w:jc w:val="left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仿宋_GB2312" w:eastAsia="仿宋_GB2312" w:cs="仿宋_GB2312"/>
          <w:kern w:val="0"/>
          <w:sz w:val="32"/>
          <w:szCs w:val="32"/>
        </w:rPr>
      </w:pPr>
      <w:r>
        <w:rPr>
          <w:rFonts w:hint="default" w:ascii="Times New Roman" w:hAnsi="Times New Roman" w:eastAsia="仿宋_GB2312" w:cs="仿宋_GB2312"/>
          <w:kern w:val="2"/>
          <w:sz w:val="32"/>
          <w:szCs w:val="32"/>
          <w:lang w:val="en-US" w:eastAsia="zh-CN" w:bidi="ar"/>
        </w:rPr>
        <w:br w:type="page"/>
      </w:r>
      <w:r>
        <w:rPr>
          <w:rFonts w:hint="default" w:ascii="仿宋_GB2312" w:hAnsi="Times New Roman" w:eastAsia="仿宋_GB2312" w:cs="仿宋_GB2312"/>
          <w:kern w:val="0"/>
          <w:sz w:val="32"/>
          <w:szCs w:val="32"/>
          <w:lang w:val="en-US" w:eastAsia="zh-CN" w:bidi="ar"/>
        </w:rPr>
        <w:t>附表2</w:t>
      </w:r>
    </w:p>
    <w:tbl>
      <w:tblPr>
        <w:tblStyle w:val="10"/>
        <w:tblW w:w="10233" w:type="dxa"/>
        <w:jc w:val="center"/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5"/>
        <w:gridCol w:w="898"/>
        <w:gridCol w:w="1250"/>
        <w:gridCol w:w="1312"/>
        <w:gridCol w:w="1127"/>
        <w:gridCol w:w="971"/>
        <w:gridCol w:w="1061"/>
        <w:gridCol w:w="938"/>
        <w:gridCol w:w="1841"/>
      </w:tblGrid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val="en-US" w:eastAsia="zh-CN" w:bidi="ar"/>
              </w:rPr>
              <w:t>专项预算项目绩效目标完成情况自评表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龙坝乡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2024年安全饮水提升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黑水县龙坝乡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经常性项目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 概况</w:t>
            </w: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Wingdings 2" w:hAnsi="Wingdings 2" w:eastAsia="Wingdings 2" w:cs="Wingdings 2"/>
                <w:color w:val="000000"/>
                <w:kern w:val="0"/>
                <w:sz w:val="24"/>
                <w:szCs w:val="24"/>
                <w:lang w:val="en-US" w:eastAsia="zh-CN" w:bidi="ar"/>
              </w:rPr>
              <w:t>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Wingdings 2" w:hAnsi="Wingdings 2" w:eastAsia="Wingdings 2" w:cs="Wingdings 2"/>
                <w:color w:val="000000"/>
                <w:kern w:val="0"/>
                <w:sz w:val="24"/>
                <w:szCs w:val="24"/>
                <w:lang w:val="en-US" w:eastAsia="zh-CN" w:bidi="ar"/>
              </w:rPr>
              <w:t>£项目法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Wingdings 2" w:hAnsi="Wingdings 2" w:eastAsia="Wingdings 2" w:cs="Wingdings 2"/>
                <w:color w:val="000000"/>
                <w:kern w:val="0"/>
                <w:sz w:val="24"/>
                <w:szCs w:val="24"/>
                <w:lang w:val="en-US" w:eastAsia="zh-CN" w:bidi="ar"/>
              </w:rPr>
              <w:t>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据实据效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Wingdings 2" w:hAnsi="Wingdings 2" w:eastAsia="Wingdings 2" w:cs="Wingdings 2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4"/>
                <w:szCs w:val="24"/>
                <w:lang w:val="en-US" w:eastAsia="zh-CN" w:bidi="ar"/>
              </w:rPr>
              <w:t>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因素法与项目法相结合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加强华润捐赠资金经费保障，充分发挥各村基础设施建设履职积极性，确保各村工作能力水平和效果不断提升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该项目资金主要用于黑水县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龙坝乡各村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无。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1月至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2月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 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总体 目标</w:t>
            </w:r>
          </w:p>
        </w:tc>
        <w:tc>
          <w:tcPr>
            <w:tcW w:w="9398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年度目标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98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加强华润捐赠资金经费保障，充分发挥各村基础设施建设履职积极性，确保各村工作能力水平和效果不断提升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绩效 指标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度量单位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权重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实际完成指标值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新建或改善农业设施数量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受益人口数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项目完成及时率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项目验收合格率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农业设施建成后达标率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项目作用期（年）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8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受益人口满意度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新建或改善农业设施数量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83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受益人口数</w:t>
            </w:r>
          </w:p>
        </w:tc>
        <w:tc>
          <w:tcPr>
            <w:tcW w:w="1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10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9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</w:rPr>
            </w:pPr>
          </w:p>
        </w:tc>
      </w:tr>
    </w:tbl>
    <w:p>
      <w:pPr>
        <w:pStyle w:val="4"/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F1FE72"/>
    <w:multiLevelType w:val="multilevel"/>
    <w:tmpl w:val="C0F1FE72"/>
    <w:lvl w:ilvl="0" w:tentative="0">
      <w:start w:val="2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1">
    <w:nsid w:val="C96F349F"/>
    <w:multiLevelType w:val="singleLevel"/>
    <w:tmpl w:val="C96F349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kOTAyNTNiN2RjZTVmYzdkNmJkZjc0ZTg5ZTc3YWIifQ=="/>
  </w:docVars>
  <w:rsids>
    <w:rsidRoot w:val="00172A27"/>
    <w:rsid w:val="0302767D"/>
    <w:rsid w:val="0E16063C"/>
    <w:rsid w:val="0F62578A"/>
    <w:rsid w:val="13EA4793"/>
    <w:rsid w:val="159119A5"/>
    <w:rsid w:val="18AC26C9"/>
    <w:rsid w:val="1B452727"/>
    <w:rsid w:val="1F0D1040"/>
    <w:rsid w:val="1F4B4D4C"/>
    <w:rsid w:val="201F0A1E"/>
    <w:rsid w:val="242D2F69"/>
    <w:rsid w:val="25987D07"/>
    <w:rsid w:val="27671BA1"/>
    <w:rsid w:val="28F155C8"/>
    <w:rsid w:val="29920157"/>
    <w:rsid w:val="2BD02EFB"/>
    <w:rsid w:val="2D1155F0"/>
    <w:rsid w:val="335A1288"/>
    <w:rsid w:val="412F731A"/>
    <w:rsid w:val="45372643"/>
    <w:rsid w:val="4A221AAC"/>
    <w:rsid w:val="4ABA18BB"/>
    <w:rsid w:val="4B72431E"/>
    <w:rsid w:val="4BCA41C3"/>
    <w:rsid w:val="51FC6DA4"/>
    <w:rsid w:val="553D2C50"/>
    <w:rsid w:val="5C961BA3"/>
    <w:rsid w:val="668A6938"/>
    <w:rsid w:val="69B62A2C"/>
    <w:rsid w:val="6A6F2BEC"/>
    <w:rsid w:val="6AED4CA6"/>
    <w:rsid w:val="7037476A"/>
    <w:rsid w:val="798E5FEA"/>
    <w:rsid w:val="7C0208C0"/>
    <w:rsid w:val="7D307A98"/>
    <w:rsid w:val="7FA356F2"/>
    <w:rsid w:val="DFF7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semiHidden/>
    <w:qFormat/>
    <w:uiPriority w:val="0"/>
    <w:pPr>
      <w:ind w:leftChars="200" w:hanging="200" w:hangingChars="200"/>
    </w:pPr>
  </w:style>
  <w:style w:type="paragraph" w:styleId="4">
    <w:name w:val="Body Text"/>
    <w:basedOn w:val="1"/>
    <w:unhideWhenUsed/>
    <w:qFormat/>
    <w:uiPriority w:val="99"/>
    <w:pPr>
      <w:spacing w:before="100" w:beforeAutospacing="1" w:after="120"/>
    </w:pPr>
  </w:style>
  <w:style w:type="paragraph" w:styleId="5">
    <w:name w:val="Body Text Indent"/>
    <w:basedOn w:val="1"/>
    <w:qFormat/>
    <w:uiPriority w:val="0"/>
    <w:pPr>
      <w:spacing w:line="500" w:lineRule="exact"/>
      <w:ind w:firstLine="720" w:firstLineChars="240"/>
    </w:pPr>
    <w:rPr>
      <w:rFonts w:ascii="仿宋_GB2312"/>
      <w:b/>
      <w:sz w:val="30"/>
      <w:szCs w:val="24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7">
    <w:name w:val="Normal (Web)"/>
    <w:basedOn w:val="1"/>
    <w:qFormat/>
    <w:uiPriority w:val="0"/>
    <w:rPr>
      <w:sz w:val="24"/>
    </w:rPr>
  </w:style>
  <w:style w:type="paragraph" w:styleId="8">
    <w:name w:val="Body Text First Indent"/>
    <w:basedOn w:val="4"/>
    <w:qFormat/>
    <w:uiPriority w:val="0"/>
    <w:pPr>
      <w:ind w:firstLine="420" w:firstLineChars="100"/>
    </w:pPr>
  </w:style>
  <w:style w:type="paragraph" w:styleId="9">
    <w:name w:val="Body Text First Indent 2"/>
    <w:basedOn w:val="5"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120" w:afterAutospacing="0"/>
      <w:ind w:left="420" w:leftChars="200" w:right="0" w:firstLine="420" w:firstLineChars="200"/>
      <w:jc w:val="both"/>
    </w:pPr>
    <w:rPr>
      <w:rFonts w:hint="eastAsia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图表目录1"/>
    <w:basedOn w:val="1"/>
    <w:next w:val="1"/>
    <w:qFormat/>
    <w:uiPriority w:val="0"/>
    <w:pPr>
      <w:ind w:left="200" w:leftChars="200" w:hanging="200" w:hangingChars="200"/>
    </w:pPr>
    <w:rPr>
      <w:rFonts w:ascii="Times New Roman" w:hAnsi="Times New Roman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1438</Words>
  <Characters>1459</Characters>
  <Lines>1</Lines>
  <Paragraphs>1</Paragraphs>
  <TotalTime>11</TotalTime>
  <ScaleCrop>false</ScaleCrop>
  <LinksUpToDate>false</LinksUpToDate>
  <CharactersWithSpaces>1534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2023-08-24T15:37:00Z</dcterms:created>
  <dc:creator>两个人的烟火</dc:creator>
  <cp:lastModifiedBy>user</cp:lastModifiedBy>
  <dcterms:modified xsi:type="dcterms:W3CDTF">2025-09-26T11:13:14Z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F458B0F45099434FAC59F0EFC705C38F_13</vt:lpwstr>
  </property>
</Properties>
</file>