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龙坝乡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人民政府（事业）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2024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年决算支出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持平。</w:t>
      </w:r>
      <w:bookmarkStart w:id="0" w:name="_GoBack"/>
      <w:bookmarkEnd w:id="0"/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年决算（增长/减少），主要原因是。其中：国内公务接待费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增长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  <w:lang w:val="en-US" w:eastAsia="zh-CN"/>
        </w:rPr>
        <w:t>0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  <w:lang w:eastAsia="zh-CN"/>
        </w:rPr>
        <w:t>，</w:t>
      </w:r>
      <w:r>
        <w:rPr>
          <w:rFonts w:ascii="仿宋_GB2312" w:eastAsia="仿宋_GB2312" w:hint="eastAsia"/>
          <w:sz w:val="32"/>
          <w:szCs w:val="32"/>
          <w:lang w:eastAsia="zh-CN"/>
        </w:rPr>
        <w:t>决算数与今年预算数持平。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主要原因：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龙坝乡（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事业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）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黑体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BA"/>
    <w:family w:val="auto"/>
    <w:pitch w:val="variable"/>
    <w:sig w:usb0="E0002AFF" w:usb1="C0007841" w:usb2="00000009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ZTgzNmEyOTFjMjZjODc0OGIyZjk3N2Q1Zjc3YWU5MjE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2</Pages>
  <Words>372</Words>
  <Characters>408</Characters>
  <Lines>50</Lines>
  <Paragraphs>26</Paragraphs>
  <CharactersWithSpaces>487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2025-08-27T08:19:48Z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2052-11.1.0.12358</vt:lpwstr>
  </property>
  <property fmtid="{D5CDD505-2E9C-101B-9397-08002B2CF9AE}" pid="3" name="ICV">
    <vt:lpwstr>61BB3F96E96742AC91305FAB595143DB_13</vt:lpwstr>
  </property>
</Properties>
</file>