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
        <w:jc w:val="center"/>
        <w:rPr>
          <w:color w:val="FF0000"/>
          <w:sz w:val="72"/>
          <w:szCs w:val="72"/>
        </w:rPr>
      </w:pPr>
      <w:r>
        <w:rPr>
          <w:color w:val="FF0000"/>
          <w:sz w:val="72"/>
          <w:szCs w:val="72"/>
        </w:rPr>
        <w:t>黑水县石碉楼乡人民政府</w:t>
      </w:r>
    </w:p>
    <w:p>
      <w:pPr>
        <w:adjustRightInd w:val="0"/>
        <w:snapToGrid w:val="0"/>
        <w:spacing w:line="560" w:lineRule="exact"/>
        <w:ind w:firstLineChars="200" w:firstLine="402"/>
        <w:rPr>
          <w:rFonts w:ascii="仿宋_GB2312" w:eastAsia="仿宋_GB2312" w:cs="仿宋_GB2312"/>
          <w:sz w:val="32"/>
          <w:szCs w:val="32"/>
        </w:rPr>
      </w:pPr>
      <w:r>
        <mc:AlternateContent>
          <mc:Choice Requires="wps">
            <w:drawing>
              <wp:anchor distT="0" distB="0" distL="114297" distR="114297" simplePos="0" relativeHeight="13" behindDoc="0" locked="0" layoutInCell="1" hidden="0" allowOverlap="1">
                <wp:simplePos x="0" y="0"/>
                <wp:positionH relativeFrom="column">
                  <wp:posOffset>28575</wp:posOffset>
                </wp:positionH>
                <wp:positionV relativeFrom="paragraph">
                  <wp:posOffset>349250</wp:posOffset>
                </wp:positionV>
                <wp:extent cx="5464810" cy="634"/>
                <wp:effectExtent l="0" t="0" r="0" b="0"/>
                <wp:wrapNone/>
                <wp:docPr id="1" name="直线 2 2"/>
                <wp:cNvGraphicFramePr>
                  <a:graphicFrameLocks noChangeAspect="0"/>
                </wp:cNvGraphicFramePr>
                <a:graphic>
                  <a:graphicData uri="http://schemas.microsoft.com/office/word/2010/wordprocessingShape">
                    <wps:wsp>
                      <wps:cNvSpPr/>
                      <wps:spPr>
                        <a:xfrm rot="0">
                          <a:off x="0" y="0"/>
                          <a:ext cx="5464810" cy="634"/>
                        </a:xfrm>
                        <a:prstGeom prst="line"/>
                        <a:noFill/>
                        <a:ln w="28575" cmpd="sng" cap="flat">
                          <a:solidFill>
                            <a:srgbClr val="FF0000"/>
                          </a:solidFill>
                          <a:prstDash val="solid"/>
                          <a:miter/>
                        </a:ln>
                      </wps:spPr>
                      <wps:bodyPr vert="horz" wrap="square" lIns="91440" tIns="45720" rIns="91440" bIns="45720" anchor="t" anchorCtr="0" upright="1">
                        <a:noAutofit/>
                      </wps:bodyPr>
                    </wps:wsp>
                  </a:graphicData>
                </a:graphic>
              </wp:anchor>
            </w:drawing>
          </mc:Choice>
          <mc:Fallback>
            <w:pict>
              <v:line type="#_x0000_t20" id="直线 2 2 2" o:spid="_x0000_s2" from="2.25pt,27.5pt" to="432.55pt,27.55pt" filled="f" stroked="t" strokeweight="2.25pt" style="position:absolute;z-index:13;mso-position-horizontal:absolute;mso-position-vertical:absolute;mso-wrap-distance-left:8.99983pt;mso-wrap-distance-right:8.99983pt;visibility:visible;">
                <v:stroke color="#FF0000"/>
              </v:line>
            </w:pict>
          </mc:Fallback>
        </mc:AlternateContent>
      </w:r>
      <w:r>
        <w:rPr>
          <w:rFonts w:ascii="仿宋_GB2312" w:eastAsia="仿宋_GB2312" w:cs="仿宋_GB2312" w:hint="eastAsia"/>
          <w:sz w:val="32"/>
          <w:szCs w:val="32"/>
        </w:rPr>
        <w:t>黑</w:t>
      </w:r>
      <w:r>
        <w:rPr>
          <w:rFonts w:ascii="仿宋_GB2312" w:eastAsia="仿宋_GB2312" w:cs="仿宋_GB2312"/>
          <w:sz w:val="32"/>
          <w:szCs w:val="32"/>
        </w:rPr>
        <w:t>石</w:t>
      </w:r>
      <w:r>
        <w:rPr>
          <w:rFonts w:ascii="仿宋_GB2312" w:eastAsia="仿宋_GB2312" w:cs="仿宋_GB2312" w:hint="eastAsia"/>
          <w:sz w:val="32"/>
          <w:szCs w:val="32"/>
        </w:rPr>
        <w:t>府〔</w:t>
      </w:r>
      <w:r>
        <w:rPr>
          <w:rFonts w:ascii="仿宋_GB2312" w:eastAsia="仿宋_GB2312" w:cs="仿宋_GB2312"/>
          <w:sz w:val="32"/>
          <w:szCs w:val="32"/>
        </w:rPr>
        <w:t>20</w:t>
      </w:r>
      <w:r>
        <w:rPr>
          <w:rFonts w:ascii="仿宋_GB2312" w:eastAsia="仿宋_GB2312" w:cs="仿宋_GB2312" w:hint="eastAsia"/>
          <w:sz w:val="32"/>
          <w:szCs w:val="32"/>
        </w:rPr>
        <w:t>25〕17号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44"/>
          <w:szCs w:val="44"/>
        </w:rPr>
      </w:pPr>
      <w:r>
        <w:rPr>
          <w:rFonts w:ascii="方正小标宋简体" w:eastAsia="方正小标宋简体" w:cs="方正小标宋简体" w:hint="eastAsia"/>
          <w:kern w:val="0"/>
          <w:sz w:val="44"/>
          <w:szCs w:val="44"/>
        </w:rPr>
        <w:t>2024年度石碉楼乡人民政府</w:t>
      </w:r>
    </w:p>
    <w:p>
      <w:pPr>
        <w:spacing w:line="580" w:lineRule="exact"/>
        <w:jc w:val="center"/>
        <w:rPr>
          <w:rFonts w:ascii="仿宋_GB2312" w:eastAsia="仿宋_GB2312" w:cs="方正小标宋简体"/>
          <w:b/>
          <w:sz w:val="32"/>
          <w:szCs w:val="32"/>
        </w:rPr>
      </w:pPr>
      <w:r>
        <w:rPr>
          <w:rFonts w:ascii="方正小标宋简体" w:eastAsia="方正小标宋简体" w:cs="方正小标宋简体" w:hint="eastAsia"/>
          <w:kern w:val="0"/>
          <w:sz w:val="44"/>
          <w:szCs w:val="44"/>
        </w:rPr>
        <w:t>驻村工作队经费项目支出绩效评价报告</w:t>
      </w:r>
    </w:p>
    <w:p>
      <w:pPr>
        <w:spacing w:line="580" w:lineRule="exact"/>
        <w:ind w:firstLineChars="200" w:firstLine="622"/>
        <w:rPr>
          <w:rFonts w:ascii="仿宋_GB2312" w:eastAsia="仿宋_GB2312" w:cs="仿宋_GB2312"/>
          <w:sz w:val="32"/>
          <w:szCs w:val="32"/>
        </w:rPr>
      </w:pPr>
    </w:p>
    <w:p>
      <w:pPr>
        <w:numPr>
          <w:ilvl w:val="0"/>
          <w:numId w:val="1"/>
        </w:numPr>
        <w:spacing w:line="576" w:lineRule="exact"/>
        <w:ind w:left="0" w:firstLineChars="200" w:firstLine="622"/>
        <w:rPr>
          <w:rFonts w:ascii="黑体" w:eastAsia="黑体" w:cs="黑体"/>
          <w:sz w:val="32"/>
          <w:szCs w:val="32"/>
        </w:rPr>
      </w:pPr>
      <w:r>
        <w:rPr>
          <w:rFonts w:ascii="黑体" w:eastAsia="黑体" w:cs="黑体" w:hint="eastAsia"/>
          <w:sz w:val="32"/>
          <w:szCs w:val="32"/>
        </w:rPr>
        <w:t>项目概况</w:t>
      </w:r>
    </w:p>
    <w:p>
      <w:pPr>
        <w:spacing w:line="576" w:lineRule="exact"/>
        <w:ind w:firstLineChars="200" w:firstLine="622"/>
        <w:rPr>
          <w:rFonts w:ascii="仿宋_GB2312" w:eastAsia="仿宋_GB2312" w:cs="仿宋_GB2312"/>
          <w:sz w:val="32"/>
          <w:szCs w:val="32"/>
          <w:lang w:val="zh-CN"/>
        </w:rPr>
      </w:pPr>
      <w:r>
        <w:rPr>
          <w:rFonts w:ascii="楷体_GB2312" w:eastAsia="楷体_GB2312" w:hint="eastAsia"/>
          <w:b/>
          <w:sz w:val="32"/>
          <w:szCs w:val="32"/>
          <w:lang w:val="zh-CN"/>
        </w:rPr>
        <w:t>（一）设立背景及基本情况</w:t>
      </w:r>
      <w:r>
        <w:rPr>
          <w:rFonts w:ascii="仿宋_GB2312" w:eastAsia="仿宋_GB2312" w:cs="仿宋_GB2312" w:hint="eastAsia"/>
          <w:sz w:val="32"/>
          <w:szCs w:val="32"/>
          <w:lang w:val="zh-CN"/>
        </w:rPr>
        <w:t>。</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石碉楼乡2024年度驻村工作队经费，项目支出95000元。资金申报后在规定的时间内下发给我们单位，本单位也在规定时间内及时进行了支出。该项目均符合资金管理办法等相关规定。</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（二）实施目的及支持方向。</w:t>
      </w:r>
    </w:p>
    <w:p>
      <w:pPr>
        <w:adjustRightInd w:val="0"/>
        <w:snapToGrid w:val="0"/>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rPr>
        <w:t>石碉楼乡2024年度驻村工作队经费，主要用于工作队驻村期间必要的工作和生活性支出，不得用于固定资产购置，主要用于:办公费用、水电费与生活易耗品、人工费、交通费等</w:t>
      </w:r>
      <w:r>
        <w:rPr>
          <w:rFonts w:ascii="仿宋_GB2312" w:eastAsia="仿宋_GB2312" w:cs="仿宋_GB2312" w:hint="eastAsia"/>
          <w:sz w:val="32"/>
          <w:szCs w:val="32"/>
          <w:lang w:val="zh-CN"/>
        </w:rPr>
        <w:t>。</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（三）预算安排及分配管理。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该项目</w:t>
      </w:r>
      <w:r>
        <w:rPr>
          <w:rFonts w:ascii="仿宋_GB2312" w:eastAsia="仿宋_GB2312" w:cs="仿宋_GB2312"/>
          <w:sz w:val="32"/>
          <w:szCs w:val="32"/>
        </w:rPr>
        <w:t>预算安排</w:t>
      </w:r>
      <w:r>
        <w:rPr>
          <w:rFonts w:ascii="仿宋_GB2312" w:eastAsia="仿宋_GB2312" w:cs="仿宋_GB2312" w:hint="eastAsia"/>
          <w:sz w:val="32"/>
          <w:szCs w:val="32"/>
        </w:rPr>
        <w:t>0.</w:t>
      </w:r>
      <w:r>
        <w:rPr>
          <w:rFonts w:ascii="仿宋_GB2312" w:eastAsia="仿宋_GB2312" w:cs="仿宋_GB2312"/>
          <w:sz w:val="32"/>
          <w:szCs w:val="32"/>
        </w:rPr>
        <w:t>5万元/</w:t>
      </w:r>
      <w:r>
        <w:rPr>
          <w:rFonts w:ascii="仿宋_GB2312" w:eastAsia="仿宋_GB2312" w:cs="仿宋_GB2312" w:hint="eastAsia"/>
          <w:sz w:val="32"/>
          <w:szCs w:val="32"/>
        </w:rPr>
        <w:t>名</w:t>
      </w:r>
      <w:r>
        <w:rPr>
          <w:rFonts w:ascii="仿宋_GB2312" w:eastAsia="仿宋_GB2312" w:cs="仿宋_GB2312"/>
          <w:sz w:val="32"/>
          <w:szCs w:val="32"/>
        </w:rPr>
        <w:t>,石碉楼有</w:t>
      </w:r>
      <w:r>
        <w:rPr>
          <w:rFonts w:ascii="仿宋_GB2312" w:eastAsia="仿宋_GB2312" w:cs="仿宋_GB2312" w:hint="eastAsia"/>
          <w:sz w:val="32"/>
          <w:szCs w:val="32"/>
        </w:rPr>
        <w:t>19名驻村工作人员</w:t>
      </w:r>
      <w:r>
        <w:rPr>
          <w:rFonts w:ascii="仿宋_GB2312" w:eastAsia="仿宋_GB2312" w:cs="仿宋_GB2312"/>
          <w:sz w:val="32"/>
          <w:szCs w:val="32"/>
        </w:rPr>
        <w:t>共计</w:t>
      </w:r>
      <w:r>
        <w:rPr>
          <w:rFonts w:ascii="仿宋_GB2312" w:eastAsia="仿宋_GB2312" w:cs="仿宋_GB2312" w:hint="eastAsia"/>
          <w:sz w:val="32"/>
          <w:szCs w:val="32"/>
        </w:rPr>
        <w:t>9.5</w:t>
      </w:r>
      <w:r>
        <w:rPr>
          <w:rFonts w:ascii="仿宋_GB2312" w:eastAsia="仿宋_GB2312" w:cs="仿宋_GB2312"/>
          <w:sz w:val="32"/>
          <w:szCs w:val="32"/>
        </w:rPr>
        <w:t>万元,</w:t>
      </w:r>
      <w:r>
        <w:rPr>
          <w:rFonts w:ascii="仿宋_GB2312" w:eastAsia="仿宋_GB2312" w:cs="仿宋_GB2312" w:hint="eastAsia"/>
          <w:sz w:val="32"/>
          <w:szCs w:val="32"/>
        </w:rPr>
        <w:t>截止评价时点实际到位及时，资金到位情况与资金计划基本一致。</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(四)项目绩效目标设置</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石碉楼乡2024年度驻村工作队经费支出，保障脱贫村巩固拓展脱贫攻坚成果同乡村振兴有效衔接工作顺利开展。</w:t>
      </w:r>
    </w:p>
    <w:p>
      <w:pPr>
        <w:adjustRightInd w:val="0"/>
        <w:snapToGrid w:val="0"/>
        <w:spacing w:line="576" w:lineRule="exact"/>
        <w:ind w:firstLineChars="200" w:firstLine="622"/>
        <w:rPr>
          <w:rFonts w:ascii="黑体" w:eastAsia="黑体" w:cs="黑体"/>
          <w:color w:val="000000"/>
          <w:sz w:val="32"/>
          <w:szCs w:val="32"/>
        </w:rPr>
      </w:pPr>
      <w:r>
        <w:rPr>
          <w:rFonts w:ascii="黑体" w:eastAsia="黑体" w:cs="黑体" w:hint="eastAsia"/>
          <w:color w:val="000000"/>
          <w:sz w:val="32"/>
          <w:szCs w:val="32"/>
        </w:rPr>
        <w:t>二、评价实施</w:t>
      </w:r>
    </w:p>
    <w:p>
      <w:pPr>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（一）评价目的。</w:t>
      </w:r>
      <w:r>
        <w:rPr>
          <w:rFonts w:ascii="仿宋_GB2312" w:eastAsia="仿宋_GB2312" w:cs="仿宋_GB2312" w:hint="eastAsia"/>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Chars="200" w:firstLine="622"/>
        <w:rPr>
          <w:rFonts w:ascii="仿宋_GB2312" w:eastAsia="仿宋_GB2312" w:cs="仿宋_GB2312"/>
          <w:sz w:val="32"/>
          <w:szCs w:val="32"/>
          <w:lang w:val="zh-CN"/>
        </w:rPr>
      </w:pPr>
      <w:r>
        <w:rPr>
          <w:rFonts w:ascii="楷体_GB2312" w:eastAsia="楷体_GB2312" w:hint="eastAsia"/>
          <w:b/>
          <w:sz w:val="32"/>
          <w:szCs w:val="32"/>
          <w:lang w:val="zh-CN"/>
        </w:rPr>
        <w:t>（二）预设问题及评价重点。</w:t>
      </w:r>
      <w:r>
        <w:rPr>
          <w:rFonts w:ascii="仿宋_GB2312" w:eastAsia="仿宋_GB2312" w:cs="仿宋_GB2312" w:hint="eastAsia"/>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（三）评价选点。</w:t>
      </w:r>
      <w:r>
        <w:rPr>
          <w:rFonts w:ascii="仿宋_GB2312" w:eastAsia="仿宋_GB2312" w:cs="仿宋_GB2312" w:hint="eastAsia"/>
          <w:sz w:val="32"/>
          <w:szCs w:val="32"/>
        </w:rPr>
        <w:t>石碉楼乡2024年驻村工作队经费项目主要开展工作地点为黑水县石碉楼乡，本次绩效评价主体为黑水县石碉楼乡人民政府，项目不涉及其他。</w:t>
      </w:r>
    </w:p>
    <w:p>
      <w:pPr>
        <w:adjustRightInd w:val="0"/>
        <w:snapToGrid w:val="0"/>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（四）评价方法。</w:t>
      </w:r>
      <w:r>
        <w:rPr>
          <w:rFonts w:ascii="仿宋_GB2312" w:eastAsia="仿宋_GB2312" w:cs="仿宋_GB2312" w:hint="eastAsia"/>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2、因素分析法。是指通过综合分析影响绩效目标实现、实施效果的内外因素，评价绩效目标实现程度。</w:t>
      </w:r>
    </w:p>
    <w:p>
      <w:pPr>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（五）评价组织。</w:t>
      </w:r>
    </w:p>
    <w:p>
      <w:pPr>
        <w:spacing w:line="576" w:lineRule="exact"/>
        <w:ind w:firstLineChars="200" w:firstLine="622"/>
        <w:rPr>
          <w:rFonts w:ascii="仿宋_GB2312" w:eastAsia="仿宋_GB2312" w:cs="仿宋_GB2312"/>
          <w:bCs/>
          <w:sz w:val="32"/>
          <w:szCs w:val="32"/>
        </w:rPr>
      </w:pPr>
      <w:r>
        <w:rPr>
          <w:rFonts w:ascii="仿宋_GB2312" w:eastAsia="仿宋_GB2312" w:cs="仿宋_GB2312" w:hint="eastAsia"/>
          <w:sz w:val="32"/>
          <w:szCs w:val="32"/>
        </w:rPr>
        <w:t>评价组人员构成和职责分工。</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1、领导小组职责：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（1）研究和决定</w:t>
      </w:r>
      <w:r>
        <w:rPr>
          <w:rFonts w:ascii="仿宋_GB2312" w:eastAsia="仿宋_GB2312" w:cs="仿宋_GB2312"/>
          <w:sz w:val="32"/>
          <w:szCs w:val="32"/>
        </w:rPr>
        <w:t>单位</w:t>
      </w:r>
      <w:r>
        <w:rPr>
          <w:rFonts w:ascii="仿宋_GB2312" w:eastAsia="仿宋_GB2312" w:cs="仿宋_GB2312" w:hint="eastAsia"/>
          <w:sz w:val="32"/>
          <w:szCs w:val="32"/>
        </w:rPr>
        <w:t>管理绩效评价中的重大问题。</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（2）组织协调绩效评价工作，确保评价的顺利进行。</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（3）对各</w:t>
      </w:r>
      <w:r>
        <w:rPr>
          <w:rFonts w:ascii="仿宋_GB2312" w:eastAsia="仿宋_GB2312" w:cs="仿宋_GB2312"/>
          <w:sz w:val="32"/>
          <w:szCs w:val="32"/>
        </w:rPr>
        <w:t>站、所</w:t>
      </w:r>
      <w:r>
        <w:rPr>
          <w:rFonts w:ascii="仿宋_GB2312" w:eastAsia="仿宋_GB2312" w:cs="仿宋_GB2312" w:hint="eastAsia"/>
          <w:sz w:val="32"/>
          <w:szCs w:val="32"/>
        </w:rPr>
        <w:t>的工作目标、绩效考核结果和等次、奖惩方案进行审核，并报</w:t>
      </w:r>
      <w:r>
        <w:rPr>
          <w:rFonts w:ascii="仿宋_GB2312" w:eastAsia="仿宋_GB2312" w:cs="仿宋_GB2312"/>
          <w:sz w:val="32"/>
          <w:szCs w:val="32"/>
        </w:rPr>
        <w:t>乡</w:t>
      </w:r>
      <w:r>
        <w:rPr>
          <w:rFonts w:ascii="仿宋_GB2312" w:eastAsia="仿宋_GB2312" w:cs="仿宋_GB2312" w:hint="eastAsia"/>
          <w:sz w:val="32"/>
          <w:szCs w:val="32"/>
        </w:rPr>
        <w:t>党委和政府审定。</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2、办公室职责：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（1）提出政府绩效评价的工作方案，并负责具体组织实施。</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（2）综合评价信息，提出评价结果等次认定方案及奖惩方案等。</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（3）负责绩效评价的日常工作，包括宣传、沟通、协调等。</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（4）根据评价结果撰写绩效评价报告，并递交给领导小组。</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3、具体执行人员职责：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（1）组长：审批绩效自评方案，监督、检查、核实绩效自评结果。</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w:t>
      </w:r>
      <w:r>
        <w:rPr>
          <w:rFonts w:ascii="仿宋_GB2312" w:eastAsia="仿宋_GB2312" w:cs="仿宋_GB2312"/>
          <w:sz w:val="32"/>
          <w:szCs w:val="32"/>
        </w:rPr>
        <w:t>2</w:t>
      </w:r>
      <w:r>
        <w:rPr>
          <w:rFonts w:ascii="仿宋_GB2312" w:eastAsia="仿宋_GB2312" w:cs="仿宋_GB2312" w:hint="eastAsia"/>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Chars="200" w:firstLine="622"/>
        <w:rPr>
          <w:rFonts w:ascii="黑体" w:eastAsia="黑体" w:cs="黑体"/>
          <w:color w:val="FFC000"/>
          <w:sz w:val="32"/>
          <w:szCs w:val="32"/>
        </w:rPr>
      </w:pPr>
      <w:r>
        <w:rPr>
          <w:rFonts w:ascii="黑体" w:eastAsia="黑体" w:hint="eastAsia"/>
          <w:sz w:val="32"/>
          <w:szCs w:val="32"/>
        </w:rPr>
        <w:t>三、绩效分析</w:t>
      </w:r>
    </w:p>
    <w:p>
      <w:pPr>
        <w:spacing w:line="576" w:lineRule="exact"/>
        <w:ind w:firstLineChars="200" w:firstLine="622"/>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ascii="楷体_GB2312" w:eastAsia="楷体_GB2312" w:hint="eastAsia"/>
          <w:b/>
          <w:bCs/>
          <w:sz w:val="32"/>
          <w:szCs w:val="32"/>
        </w:rPr>
        <w:t>绩效分析。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（1）决策程序</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项目设立、调整延续等方面符合资金管理基本规范和决策程序要求，该项指标得分6分。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（2）规划论证</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（3）资金投向</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2.项目管理。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（1）制度办法</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项目未制定资金管理办法，管理制度体系有所欠缺，存在管理制度缺失、管理办法过期情况，该项指标得分0分。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（2）分配管理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（3）绩效监管</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3.项目实施。围绕、进行绩效分析。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（1）预算执行</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财政资金已按照要求拨付完毕，拨付率100%，该项指标得分=财政资金拨付率×100%×6=6分。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（2）资金使用</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4.项目结果。</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（1）目标完成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项目完成预期目标，实施结果与绩效目标相匹配，该项指标得分6分。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（2）完成时效</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项目实际完成时间与计划完成时间相符，该项指标得分3分。</w:t>
      </w:r>
    </w:p>
    <w:p>
      <w:pPr>
        <w:spacing w:line="576" w:lineRule="exact"/>
        <w:ind w:firstLineChars="200" w:firstLine="622"/>
        <w:rPr>
          <w:rFonts w:ascii="楷体_GB2312" w:eastAsia="楷体_GB2312"/>
          <w:b/>
          <w:bCs/>
          <w:sz w:val="32"/>
          <w:szCs w:val="32"/>
          <w:lang w:val="zh-CN"/>
        </w:rPr>
      </w:pPr>
      <w:r>
        <w:rPr>
          <w:rFonts w:ascii="楷体_GB2312" w:eastAsia="楷体_GB2312" w:hint="eastAsia"/>
          <w:b/>
          <w:sz w:val="32"/>
          <w:szCs w:val="32"/>
          <w:lang w:val="zh-CN"/>
        </w:rPr>
        <w:t>（二）专用指标</w:t>
      </w:r>
      <w:r>
        <w:rPr>
          <w:rFonts w:ascii="楷体_GB2312" w:eastAsia="楷体_GB2312" w:hint="eastAsia"/>
          <w:b/>
          <w:bCs/>
          <w:sz w:val="32"/>
          <w:szCs w:val="32"/>
          <w:lang w:val="zh-CN"/>
        </w:rPr>
        <w:t>绩效分析。</w:t>
      </w:r>
    </w:p>
    <w:p>
      <w:pPr>
        <w:spacing w:line="576" w:lineRule="exact"/>
        <w:ind w:firstLineChars="200" w:firstLine="622"/>
        <w:rPr>
          <w:rFonts w:ascii="楷体_GB2312" w:eastAsia="楷体_GB2312"/>
          <w:b/>
          <w:bCs/>
          <w:sz w:val="32"/>
          <w:szCs w:val="32"/>
          <w:lang w:val="zh-CN"/>
        </w:rPr>
      </w:pPr>
      <w:r>
        <w:rPr>
          <w:rFonts w:ascii="楷体_GB2312" w:eastAsia="楷体_GB2312"/>
          <w:b/>
          <w:bCs/>
          <w:sz w:val="32"/>
          <w:szCs w:val="32"/>
          <w:lang w:val="zh-CN"/>
        </w:rPr>
        <w:t>行政运转</w:t>
      </w:r>
    </w:p>
    <w:p>
      <w:pPr>
        <w:adjustRightInd w:val="0"/>
        <w:snapToGrid w:val="0"/>
        <w:spacing w:line="576" w:lineRule="exact"/>
        <w:ind w:firstLineChars="200" w:firstLine="622"/>
        <w:rPr>
          <w:kern w:val="0"/>
          <w:szCs w:val="28"/>
        </w:rPr>
      </w:pPr>
      <w:r>
        <w:rPr>
          <w:rFonts w:ascii="仿宋_GB2312" w:eastAsia="仿宋_GB2312" w:cs="仿宋_GB2312" w:hint="eastAsia"/>
          <w:bCs/>
          <w:sz w:val="32"/>
          <w:szCs w:val="32"/>
          <w:lang w:val="zh-CN"/>
        </w:rPr>
        <w:t>按规定用途、适用范围进行本地区专项资金分配</w:t>
      </w:r>
      <w:r>
        <w:rPr>
          <w:rFonts w:ascii="仿宋_GB2312" w:eastAsia="仿宋_GB2312" w:cs="仿宋_GB2312"/>
          <w:bCs/>
          <w:sz w:val="32"/>
          <w:szCs w:val="32"/>
          <w:lang w:val="zh-CN"/>
        </w:rPr>
        <w:t>得10分</w:t>
      </w:r>
      <w:r>
        <w:rPr>
          <w:rFonts w:ascii="仿宋_GB2312" w:eastAsia="仿宋_GB2312" w:cs="仿宋_GB2312" w:hint="eastAsia"/>
          <w:bCs/>
          <w:sz w:val="32"/>
          <w:szCs w:val="32"/>
          <w:lang w:val="zh-CN"/>
        </w:rPr>
        <w:t>；</w:t>
      </w:r>
      <w:r>
        <w:rPr>
          <w:rFonts w:ascii="仿宋_GB2312" w:eastAsia="仿宋_GB2312" w:cs="仿宋_GB2312"/>
          <w:bCs/>
          <w:sz w:val="32"/>
          <w:szCs w:val="32"/>
          <w:lang w:val="zh-CN"/>
        </w:rPr>
        <w:t>按资金管理程序符合专项资金管理要求得10分；按金分配标准符合专项资金管理要求得10分，</w:t>
      </w:r>
      <w:r>
        <w:rPr>
          <w:rFonts w:ascii="仿宋_GB2312" w:eastAsia="仿宋_GB2312" w:cs="仿宋_GB2312" w:hint="eastAsia"/>
          <w:bCs/>
          <w:sz w:val="32"/>
          <w:szCs w:val="32"/>
          <w:lang w:val="zh-CN"/>
        </w:rPr>
        <w:t>该项指标</w:t>
      </w:r>
      <w:r>
        <w:rPr>
          <w:rFonts w:ascii="仿宋_GB2312" w:eastAsia="仿宋_GB2312" w:cs="仿宋_GB2312"/>
          <w:bCs/>
          <w:sz w:val="32"/>
          <w:szCs w:val="32"/>
          <w:lang w:val="zh-CN"/>
        </w:rPr>
        <w:t>总</w:t>
      </w:r>
      <w:bookmarkStart w:id="0" w:name="_GoBack"/>
      <w:bookmarkEnd w:id="0"/>
      <w:r>
        <w:rPr>
          <w:rFonts w:ascii="仿宋_GB2312" w:eastAsia="仿宋_GB2312" w:cs="仿宋_GB2312" w:hint="eastAsia"/>
          <w:bCs/>
          <w:sz w:val="32"/>
          <w:szCs w:val="32"/>
          <w:lang w:val="zh-CN"/>
        </w:rPr>
        <w:t>得分30分。</w:t>
      </w:r>
    </w:p>
    <w:p>
      <w:pPr>
        <w:spacing w:line="576" w:lineRule="exact"/>
        <w:ind w:firstLineChars="200" w:firstLine="622"/>
        <w:rPr>
          <w:rFonts w:ascii="仿宋_GB2312" w:eastAsia="仿宋_GB2312" w:cs="仿宋_GB2312"/>
          <w:bCs/>
          <w:sz w:val="32"/>
          <w:szCs w:val="32"/>
          <w:lang w:val="zh-CN"/>
        </w:rPr>
      </w:pPr>
      <w:r>
        <w:rPr>
          <w:rFonts w:ascii="楷体_GB2312" w:eastAsia="楷体_GB2312" w:hint="eastAsia"/>
          <w:b/>
          <w:sz w:val="32"/>
          <w:szCs w:val="32"/>
          <w:lang w:val="zh-CN"/>
        </w:rPr>
        <w:t>（三）个性指标</w:t>
      </w:r>
      <w:r>
        <w:rPr>
          <w:rFonts w:ascii="楷体_GB2312" w:eastAsia="楷体_GB2312" w:hint="eastAsia"/>
          <w:b/>
          <w:bCs/>
          <w:sz w:val="32"/>
          <w:szCs w:val="32"/>
          <w:lang w:val="zh-CN"/>
        </w:rPr>
        <w:t>绩效分析。</w:t>
      </w:r>
      <w:r>
        <w:rPr>
          <w:rFonts w:ascii="仿宋_GB2312" w:eastAsia="仿宋_GB2312" w:cs="仿宋_GB2312" w:hint="eastAsia"/>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ascii="仿宋_GB2312" w:eastAsia="仿宋_GB2312" w:cs="仿宋_GB2312" w:hint="eastAsia"/>
          <w:bCs/>
          <w:sz w:val="32"/>
          <w:szCs w:val="32"/>
          <w:lang w:val="zh-CN"/>
        </w:rPr>
        <w:t>分。</w:t>
      </w:r>
    </w:p>
    <w:p>
      <w:pPr>
        <w:ind w:firstLineChars="200" w:firstLine="622"/>
        <w:rPr>
          <w:rFonts w:ascii="方正黑体_GBK" w:eastAsia="方正黑体_GBK" w:cs="方正黑体_GBK"/>
          <w:sz w:val="32"/>
          <w:szCs w:val="32"/>
        </w:rPr>
      </w:pPr>
      <w:r>
        <w:rPr>
          <w:rFonts w:ascii="方正黑体_GBK" w:eastAsia="方正黑体_GBK" w:cs="方正黑体_GBK" w:hint="eastAsia"/>
          <w:sz w:val="32"/>
          <w:szCs w:val="32"/>
        </w:rPr>
        <w:t>四、评价结论</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驻村工作队经费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支出绩效自评工作，经对各类指标进行评分和汇总分析，</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驻村工作队经费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支出绩效评价综合得分95分。评价结果显示，</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驻村工作队经费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按照相关规定进行使用和管理，程序较为规范，项目支出使用效益达到预期。</w:t>
      </w:r>
    </w:p>
    <w:p>
      <w:pPr>
        <w:pStyle w:val="16"/>
        <w:tabs>
          <w:tab w:val="left" w:pos="2160"/>
        </w:tabs>
        <w:spacing w:line="576" w:lineRule="exact"/>
        <w:ind w:firstLineChars="200" w:firstLine="622"/>
        <w:jc w:val="both"/>
        <w:rPr>
          <w:rFonts w:ascii="黑体"/>
          <w:sz w:val="32"/>
          <w:szCs w:val="32"/>
        </w:rPr>
      </w:pPr>
      <w:r>
        <w:rPr>
          <w:rFonts w:ascii="黑体" w:hint="eastAsia"/>
          <w:sz w:val="32"/>
          <w:szCs w:val="32"/>
        </w:rPr>
        <w:t>五、存在主要问题</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无</w:t>
      </w:r>
    </w:p>
    <w:p>
      <w:pPr>
        <w:pStyle w:val="16"/>
        <w:tabs>
          <w:tab w:val="left" w:pos="2160"/>
        </w:tabs>
        <w:spacing w:line="576" w:lineRule="exact"/>
        <w:ind w:firstLineChars="200" w:firstLine="622"/>
        <w:jc w:val="both"/>
        <w:rPr>
          <w:rFonts w:ascii="黑体"/>
          <w:sz w:val="32"/>
          <w:szCs w:val="32"/>
          <w:lang w:val="zh-CN"/>
        </w:rPr>
      </w:pPr>
      <w:r>
        <w:rPr>
          <w:rFonts w:ascii="黑体" w:hint="eastAsia"/>
          <w:sz w:val="32"/>
          <w:szCs w:val="32"/>
          <w:lang w:val="zh-CN"/>
        </w:rPr>
        <w:t>六、改进建议</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无</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附表：1.项目资金分配涉及所有点位自评得分情况表</w:t>
      </w:r>
    </w:p>
    <w:p>
      <w:pPr>
        <w:adjustRightInd w:val="0"/>
        <w:snapToGrid w:val="0"/>
        <w:spacing w:line="576" w:lineRule="exact"/>
        <w:ind w:firstLineChars="500" w:firstLine="1555"/>
        <w:rPr>
          <w:rFonts w:ascii="仿宋_GB2312" w:eastAsia="仿宋_GB2312" w:cs="仿宋_GB2312"/>
          <w:bCs/>
          <w:sz w:val="32"/>
          <w:szCs w:val="32"/>
          <w:lang w:val="zh-CN"/>
        </w:rPr>
      </w:pPr>
      <w:r>
        <w:rPr>
          <w:rFonts w:ascii="仿宋_GB2312" w:eastAsia="仿宋_GB2312" w:cs="仿宋_GB2312" w:hint="eastAsia"/>
          <w:bCs/>
          <w:sz w:val="32"/>
          <w:szCs w:val="32"/>
        </w:rPr>
        <w:drawing>
          <wp:anchor distT="0" distB="0" distL="114300" distR="114300" simplePos="0" relativeHeight="15" behindDoc="0" locked="0" layoutInCell="1" hidden="0" allowOverlap="1">
            <wp:simplePos x="0" y="0"/>
            <wp:positionH relativeFrom="column">
              <wp:posOffset>3688080</wp:posOffset>
            </wp:positionH>
            <wp:positionV relativeFrom="paragraph">
              <wp:posOffset>198120</wp:posOffset>
            </wp:positionV>
            <wp:extent cx="1638300" cy="1619250"/>
            <wp:effectExtent l="0" t="0" r="0" b="0"/>
            <wp:wrapNone/>
            <wp:docPr id="3" name="图片 2" descr="公章电子章"/>
            <wp:cNvGraphicFramePr>
              <a:graphicFrameLocks noChangeAspect="1"/>
            </wp:cNvGraphicFramePr>
            <a:graphic>
              <a:graphicData uri="http://schemas.openxmlformats.org/drawingml/2006/picture">
                <pic:pic>
                  <pic:nvPicPr>
                    <pic:cNvPr id="5" name="图片 2 5"/>
                    <pic:cNvPicPr/>
                  </pic:nvPicPr>
                  <pic:blipFill>
                    <a:blip r:embed="rId2"/>
                    <a:stretch>
                      <a:fillRect/>
                    </a:stretch>
                  </pic:blipFill>
                  <pic:spPr>
                    <a:xfrm rot="0">
                      <a:off x="0" y="0"/>
                      <a:ext cx="1638300" cy="1619250"/>
                    </a:xfrm>
                    <a:prstGeom prst="rect"/>
                    <a:noFill/>
                    <a:ln w="9525" cmpd="sng" cap="flat">
                      <a:noFill/>
                      <a:prstDash val="solid"/>
                      <a:round/>
                    </a:ln>
                  </pic:spPr>
                </pic:pic>
              </a:graphicData>
            </a:graphic>
          </wp:anchor>
        </w:drawing>
      </w:r>
      <w:r>
        <w:rPr>
          <w:rFonts w:ascii="仿宋_GB2312" w:eastAsia="仿宋_GB2312" w:cs="仿宋_GB2312" w:hint="eastAsia"/>
          <w:bCs/>
          <w:sz w:val="32"/>
          <w:szCs w:val="32"/>
        </w:rPr>
        <w:t>2.</w:t>
      </w:r>
      <w:r>
        <w:rPr>
          <w:rFonts w:ascii="仿宋_GB2312" w:eastAsia="仿宋_GB2312" w:cs="仿宋_GB2312"/>
          <w:bCs/>
          <w:sz w:val="32"/>
          <w:szCs w:val="32"/>
          <w:lang w:val="zh-CN"/>
        </w:rPr>
        <w:t>专项预算项目绩效目标完成情况自评表</w:t>
      </w:r>
    </w:p>
    <w:p>
      <w:pPr>
        <w:adjustRightInd w:val="0"/>
        <w:snapToGrid w:val="0"/>
        <w:spacing w:line="576" w:lineRule="exact"/>
        <w:ind w:firstLineChars="200" w:firstLine="622"/>
        <w:rPr>
          <w:rFonts w:ascii="仿宋_GB2312" w:eastAsia="仿宋_GB2312" w:cs="仿宋_GB2312"/>
          <w:bCs/>
          <w:sz w:val="32"/>
          <w:szCs w:val="32"/>
          <w:lang w:val="zh-CN"/>
        </w:rPr>
      </w:pPr>
    </w:p>
    <w:p>
      <w:pPr>
        <w:spacing w:line="576" w:lineRule="exact"/>
        <w:ind w:firstLineChars="1600" w:firstLine="4976"/>
        <w:rPr>
          <w:rFonts w:ascii="仿宋_GB2312" w:eastAsia="仿宋_GB2312" w:cs="仿宋_GB2312"/>
          <w:sz w:val="32"/>
          <w:szCs w:val="32"/>
        </w:rPr>
      </w:pPr>
      <w:r>
        <w:rPr>
          <w:rFonts w:ascii="仿宋_GB2312" w:eastAsia="仿宋_GB2312" w:cs="仿宋_GB2312" w:hint="eastAsia"/>
          <w:sz w:val="32"/>
          <w:szCs w:val="32"/>
        </w:rPr>
        <w:t>黑水县石碉楼乡人民政府</w:t>
      </w:r>
    </w:p>
    <w:p>
      <w:pPr>
        <w:spacing w:line="576" w:lineRule="exact"/>
        <w:ind w:firstLineChars="1800" w:firstLine="5598"/>
        <w:rPr>
          <w:rFonts w:ascii="仿宋_GB2312" w:eastAsia="仿宋_GB2312" w:cs="仿宋_GB2312"/>
          <w:sz w:val="32"/>
          <w:szCs w:val="32"/>
        </w:rPr>
      </w:pPr>
      <w:r>
        <w:rPr>
          <w:rFonts w:ascii="仿宋_GB2312" w:eastAsia="仿宋_GB2312" w:cs="仿宋_GB2312" w:hint="eastAsia"/>
          <w:sz w:val="32"/>
          <w:szCs w:val="32"/>
        </w:rPr>
        <w:t>2025年4月29日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lang w:val="zh-CN"/>
        </w:rPr>
      </w:pPr>
    </w:p>
    <w:p>
      <w:pPr>
        <w:pBdr>
          <w:top w:val="single" w:sz="6" w:space="1" w:color="auto"/>
          <w:bottom w:val="single" w:sz="6" w:space="1" w:color="auto"/>
        </w:pBdr>
      </w:pPr>
      <w:r>
        <w:rPr>
          <w:rFonts w:ascii="仿宋" w:eastAsia="仿宋" w:cs="仿宋" w:hint="eastAsia"/>
          <w:sz w:val="32"/>
          <w:szCs w:val="32"/>
        </w:rPr>
        <w:t>石碉楼乡人民政府                   2025年4月29日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r>
        <w:rPr>
          <w:rFonts w:ascii="黑体" w:eastAsia="黑体" w:cs="黑体" w:hint="eastAsia"/>
          <w:kern w:val="0"/>
          <w:sz w:val="32"/>
          <w:szCs w:val="32"/>
          <w:shd w:val="clear" w:color="auto" w:fill="FFFFFF"/>
          <w:lang w:val="zh-CN"/>
        </w:rPr>
        <w:t>附表</w:t>
      </w:r>
      <w:r>
        <w:rPr>
          <w:rFonts w:ascii="黑体" w:eastAsia="黑体" w:cs="黑体" w:hint="eastAsia"/>
          <w:kern w:val="0"/>
          <w:sz w:val="32"/>
          <w:szCs w:val="32"/>
          <w:shd w:val="clear" w:color="auto" w:fill="FFFFFF"/>
        </w:rPr>
        <w:t>1</w:t>
      </w:r>
    </w:p>
    <w:p>
      <w:pPr>
        <w:spacing w:line="578" w:lineRule="exact"/>
        <w:jc w:val="center"/>
        <w:rPr>
          <w:rFonts w:ascii="方正小标宋_GBK" w:eastAsia="方正小标宋_GBK" w:cs="方正小标宋_GBK"/>
          <w:sz w:val="40"/>
          <w:szCs w:val="40"/>
        </w:rPr>
      </w:pPr>
      <w:r>
        <w:rPr>
          <w:rFonts w:ascii="方正小标宋_GBK" w:eastAsia="方正小标宋_GBK" w:cs="方正小标宋_GBK" w:hint="eastAsia"/>
          <w:sz w:val="40"/>
          <w:szCs w:val="40"/>
        </w:rPr>
        <w:t>项目资金分配涉及所有点位自评得分情况表</w:t>
      </w:r>
    </w:p>
    <w:tbl>
      <w:tblPr>
        <w:jc w:val="cente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23"/>
        <w:gridCol w:w="3843"/>
        <w:gridCol w:w="2861"/>
        <w:gridCol w:w="993"/>
      </w:tblGrid>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序号</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项目资金末端分配点位</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自评得分（百分制）</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备注</w:t>
            </w:r>
          </w:p>
        </w:tc>
      </w:tr>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宋体" w:cs="宋体"/>
                <w:sz w:val="24"/>
              </w:rPr>
            </w:pPr>
            <w:r>
              <w:rPr>
                <w:rFonts w:ascii="宋体" w:cs="宋体" w:hint="eastAsia"/>
                <w:sz w:val="24"/>
              </w:rPr>
              <w:t>1</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r>
              <w:rPr>
                <w:rFonts w:ascii="宋体" w:cs="宋体"/>
                <w:sz w:val="24"/>
              </w:rPr>
              <w:t>黑水县石碉楼乡人民政府</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r>
              <w:rPr>
                <w:rFonts w:ascii="宋体" w:cs="宋体"/>
                <w:sz w:val="24"/>
              </w:rPr>
              <w:t>95</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p>
        </w:tc>
      </w:tr>
    </w:tbl>
    <w:p>
      <w:pPr>
        <w:spacing w:line="400" w:lineRule="exact"/>
        <w:jc w:val="left"/>
        <w:rPr>
          <w:rFonts w:ascii="宋体" w:cs="宋体"/>
          <w:szCs w:val="21"/>
        </w:rPr>
      </w:pPr>
      <w:r>
        <w:rPr>
          <w:rFonts w:ascii="宋体" w:cs="宋体" w:hint="eastAsia"/>
          <w:szCs w:val="21"/>
        </w:rPr>
        <w:t>备注：1.项目资金末端分配点位包括州本级、县（市）、州级部门下属单位及一次性单位等。</w:t>
      </w:r>
    </w:p>
    <w:p>
      <w:pPr>
        <w:spacing w:line="400" w:lineRule="exact"/>
        <w:ind w:firstLineChars="300" w:firstLine="603"/>
        <w:jc w:val="left"/>
        <w:rPr>
          <w:rFonts w:ascii="宋体" w:cs="宋体"/>
          <w:szCs w:val="21"/>
        </w:rPr>
      </w:pPr>
      <w:r>
        <w:rPr>
          <w:rFonts w:ascii="宋体" w:cs="宋体" w:hint="eastAsia"/>
          <w:szCs w:val="21"/>
        </w:rPr>
        <w:t>2.自评得分（百分制）从高到低划分为优、良、中、差四个档次，各个档次数量占比分别为20%、20%、55%、5%，且不同档次间得分分值应体现差异化，同档次得分分值相同的比例不超过该档次总数量的10%。</w:t>
      </w:r>
    </w:p>
    <w:p>
      <w:pPr>
        <w:rPr>
          <w:rFonts w:eastAsia="仿宋_GB2312"/>
          <w:sz w:val="32"/>
        </w:rPr>
      </w:pPr>
      <w:r>
        <w:rPr>
          <w:rFonts w:eastAsia="仿宋_GB2312" w:hint="eastAsia"/>
          <w:sz w:val="32"/>
        </w:rPr>
        <w:br w:type="page"/>
      </w:r>
    </w:p>
    <w:p>
      <w:pPr>
        <w:pStyle w:val="19"/>
        <w:spacing w:after="0" w:line="578" w:lineRule="exact"/>
        <w:ind w:leftChars="0" w:left="0" w:firstLineChars="0" w:firstLine="0"/>
        <w:rPr>
          <w:rFonts w:ascii="Times New Roman" w:eastAsia="黑体" w:hAnsi="Times New Roman"/>
          <w:szCs w:val="24"/>
        </w:rPr>
      </w:pPr>
      <w:r>
        <w:rPr>
          <w:rFonts w:ascii="Times New Roman" w:eastAsia="黑体" w:hAnsi="Times New Roman"/>
          <w:szCs w:val="24"/>
        </w:rPr>
        <w:t>附表2</w:t>
      </w:r>
    </w:p>
    <w:tbl>
      <w:tblPr>
        <w:jc w:val="center"/>
        <w:tblW w:w="10232"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48"/>
        <w:gridCol w:w="1282"/>
        <w:gridCol w:w="1313"/>
        <w:gridCol w:w="1127"/>
        <w:gridCol w:w="971"/>
        <w:gridCol w:w="1061"/>
        <w:gridCol w:w="938"/>
        <w:gridCol w:w="1841"/>
      </w:tblGrid>
      <w:tr>
        <w:trPr>
          <w:trHeight w:val="576"/>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仿宋_GB2312" w:eastAsia="仿宋_GB2312" w:cs="仿宋_GB2312" w:hint="eastAsia"/>
                <w:bCs/>
                <w:sz w:val="32"/>
                <w:szCs w:val="32"/>
                <w:lang w:val="zh-CN"/>
              </w:rPr>
              <w:t>2024年</w:t>
            </w:r>
            <w:r>
              <w:rPr>
                <w:rFonts w:ascii="仿宋_GB2312" w:eastAsia="仿宋_GB2312" w:cs="仿宋_GB2312"/>
                <w:bCs/>
                <w:sz w:val="32"/>
                <w:szCs w:val="32"/>
                <w:lang w:val="zh-CN"/>
              </w:rPr>
              <w:t>驻村工作队经费</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kern w:val="0"/>
                <w:sz w:val="24"/>
              </w:rPr>
              <w:t>经常性项目</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kern w:val="0"/>
                <w:sz w:val="24"/>
              </w:rPr>
              <w:t>加强乡驻村工作队经费保障，充分发挥乡驻村工作队员履职积极性，确保乡驻村工作能力水平和效果不断提升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石碉楼乡涉及</w:t>
            </w:r>
            <w:r>
              <w:rPr>
                <w:rFonts w:ascii="宋体" w:cs="宋体" w:hint="eastAsia"/>
                <w:color w:val="000000"/>
                <w:sz w:val="24"/>
              </w:rPr>
              <w:t>19名</w:t>
            </w:r>
            <w:r>
              <w:rPr>
                <w:rFonts w:ascii="宋体" w:cs="宋体"/>
                <w:color w:val="000000"/>
                <w:sz w:val="24"/>
              </w:rPr>
              <w:t>驻村工作</w:t>
            </w:r>
            <w:r>
              <w:rPr>
                <w:rFonts w:ascii="宋体" w:cs="宋体" w:hint="eastAsia"/>
                <w:color w:val="000000"/>
                <w:sz w:val="24"/>
              </w:rPr>
              <w:t>人员</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驻村工作队</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hint="eastAsia"/>
                <w:color w:val="000000"/>
                <w:kern w:val="0"/>
                <w:sz w:val="24"/>
              </w:rPr>
              <w:t>2024年1月至</w:t>
            </w:r>
            <w:r>
              <w:rPr>
                <w:color w:val="000000"/>
                <w:kern w:val="0"/>
                <w:sz w:val="24"/>
              </w:rPr>
              <w:t>202</w:t>
            </w:r>
            <w:r>
              <w:rPr>
                <w:rFonts w:hint="eastAsia"/>
                <w:color w:val="000000"/>
                <w:kern w:val="0"/>
                <w:sz w:val="24"/>
              </w:rPr>
              <w:t>4年12月</w:t>
            </w:r>
          </w:p>
        </w:tc>
      </w:tr>
      <w:tr>
        <w:trPr>
          <w:trHeight w:val="23"/>
        </w:trPr>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hint="eastAsia"/>
                <w:color w:val="000000"/>
                <w:sz w:val="24"/>
              </w:rPr>
              <w:t>9.5</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hint="eastAsia"/>
                <w:color w:val="000000"/>
                <w:sz w:val="24"/>
              </w:rPr>
              <w:t>9</w:t>
            </w:r>
            <w:r>
              <w:rPr>
                <w:rFonts w:ascii="宋体" w:cs="宋体"/>
                <w:color w:val="000000"/>
                <w:sz w:val="24"/>
              </w:rPr>
              <w:t>.5</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right"/>
              <w:rPr>
                <w:rFonts w:ascii="宋体" w:cs="宋体"/>
                <w:color w:val="000000"/>
                <w:sz w:val="24"/>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580"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kern w:val="0"/>
                <w:sz w:val="24"/>
              </w:rPr>
              <w:t>加强乡驻村工作队经费保障，充分发挥乡驻村工作队员履职积极性，确保乡驻村工作能力水平和效果不断提升</w:t>
            </w:r>
          </w:p>
        </w:tc>
      </w:tr>
      <w:tr>
        <w:trPr>
          <w:trHeight w:val="23"/>
        </w:trPr>
        <w:tc>
          <w:tcPr>
            <w:tcW w:w="652" w:type="dxa"/>
            <w:vMerge w:val="restart"/>
            <w:tcBorders>
              <w:top w:val="single" w:sz="4" w:space="0" w:color="000000"/>
              <w:left w:val="single" w:sz="4" w:space="0" w:color="000000"/>
              <w:bottom w:val="single" w:sz="4" w:space="0" w:color="00000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7</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2</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保障驻村工作队经费按时发放</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82"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保障驻村工作队经费足额发放</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sz="4" w:space="0" w:color="000000"/>
              <w:left w:val="nil"/>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hint="eastAsia"/>
                <w:color w:val="000000"/>
                <w:sz w:val="24"/>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万元</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3</w:t>
            </w:r>
          </w:p>
        </w:tc>
      </w:tr>
    </w:tbl>
    <w:p>
      <w:pPr>
        <w:spacing w:line="580" w:lineRule="exact"/>
        <w:rPr>
          <w:rStyle w:val="1Char"/>
          <w:rFonts w:ascii="仿宋_GB2312" w:eastAsia="仿宋_GB2312" w:cs="仿宋_GB2312"/>
          <w:b w:val="0"/>
          <w:bCs w:val="0"/>
          <w:color w:val="FFC000"/>
          <w:sz w:val="32"/>
          <w:szCs w:val="32"/>
        </w:rPr>
      </w:pPr>
    </w:p>
    <w:p/>
    <w:sectPr>
      <w:pgSz w:w="11906" w:h="16838"/>
      <w:pgMar w:top="2098" w:right="1474" w:bottom="1984" w:left="1587" w:header="851" w:footer="1587" w:gutter="0"/>
      <w:rtlGutter/>
      <w:docGrid w:type="linesAndChars" w:linePitch="289" w:charSpace="-1839"/>
    </w:sectPr>
  </w:body>
</w:document>
</file>

<file path=word/fontTable.xml><?xml version="1.0" encoding="utf-8"?>
<w:fonts xmlns:w="http://schemas.openxmlformats.org/wordprocessingml/2006/main" xmlns:r="http://schemas.openxmlformats.org/officeDocument/2006/relationships">
  <w:font w:name="仿宋_GB2312">
    <w:altName w:val="仿宋"/>
    <w:panose1 w:val="02010609030101010101"/>
    <w:charset w:val="86"/>
    <w:family w:val="modern"/>
    <w:pitch w:val="variable"/>
    <w:sig w:usb0="00000001" w:usb1="080E0000" w:usb2="00000010" w:usb3="00000000" w:csb0="00040000" w:csb1="00000000"/>
  </w:font>
  <w:font w:name="楷体">
    <w:altName w:val="楷体_GB2312"/>
    <w:panose1 w:val="02010609060101010101"/>
    <w:charset w:val="86"/>
    <w:family w:val="modern"/>
    <w:pitch w:val="variable"/>
    <w:sig w:usb0="800002BF" w:usb1="38CF7CFA" w:usb2="00000016" w:usb3="00000000" w:csb0="00040001" w:csb1="00000000"/>
  </w:font>
  <w:font w:name="方正小标宋简体">
    <w:altName w:val="方正黑体_GBK"/>
    <w:panose1 w:val="00000000000000000000"/>
    <w:charset w:val="86"/>
    <w:family w:val="auto"/>
    <w:pitch w:val="variable"/>
    <w:sig w:usb0="00000000" w:usb1="00000000" w:usb2="00000012" w:usb3="00000000" w:csb0="00040001" w:csb1="00000000"/>
  </w:font>
  <w:font w:name="黑体">
    <w:altName w:val="AR PL UKai CN"/>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modern"/>
    <w:pitch w:val="variable"/>
    <w:sig w:usb0="00000001" w:usb1="080E0000" w:usb2="00000010" w:usb3="00000000" w:csb0="00040000" w:csb1="00000000"/>
  </w:font>
  <w:font w:name="方正黑体_GBK">
    <w:altName w:val="微软雅黑"/>
    <w:panose1 w:val="03000509000000000000"/>
    <w:charset w:val="86"/>
    <w:family w:val="script"/>
    <w:pitch w:val="variable"/>
    <w:sig w:usb0="00000001" w:usb1="080E0000" w:usb2="00000010" w:usb3="00000000" w:csb0="00040000" w:csb1="00000000"/>
  </w:font>
  <w:font w:name="仿宋">
    <w:altName w:val="仿宋_GB2312"/>
    <w:panose1 w:val="02010609060101010101"/>
    <w:charset w:val="86"/>
    <w:family w:val="modern"/>
    <w:pitch w:val="variable"/>
    <w:sig w:usb0="800002BF" w:usb1="38CF7CFA" w:usb2="00000016" w:usb3="00000000" w:csb0="00040001" w:csb1="00000000"/>
  </w:font>
  <w:font w:name="方正小标宋_GBK">
    <w:altName w:val="微软雅黑"/>
    <w:panose1 w:val="03000509000000000000"/>
    <w:charset w:val="86"/>
    <w:family w:val="script"/>
    <w:pitch w:val="variable"/>
    <w:sig w:usb0="00000001" w:usb1="080E0000" w:usb2="00000010" w:usb3="00000000" w:csb0="00040000" w:csb1="00000000"/>
  </w:font>
  <w:font w:name="宋体">
    <w:altName w:val="AR PL UKai CN"/>
    <w:panose1 w:val="02010600030101010101"/>
    <w:charset w:val="86"/>
    <w:family w:val="auto"/>
    <w:pitch w:val="variable"/>
    <w:sig w:usb0="00000003" w:usb1="288F0000" w:usb2="00000016" w:usb3="00000000" w:csb0="00040001" w:csb1="00000000"/>
  </w:font>
  <w:font w:name="Times New Roman">
    <w:altName w:val="DejaVu Sans"/>
    <w:panose1 w:val="02020603050405020304"/>
    <w:charset w:val="00"/>
    <w:family w:val="roman"/>
    <w:pitch w:val="variable"/>
    <w:sig w:usb0="E0002AFF" w:usb1="C0007841"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Luxi Sans">
    <w:altName w:val="DejaVu Sans"/>
    <w:panose1 w:val="00000000000000000000"/>
    <w:charset w:val="00"/>
    <w:family w:val="auto"/>
    <w:pitch w:val="variable"/>
    <w:sig w:usb0="00000000" w:usb1="00000000" w:usb2="00000000" w:usb3="00000000" w:csb0="00000000" w:csb1="00000000"/>
  </w:font>
  <w:font w:name="Calibri">
    <w:altName w:val="DejaVu Sans"/>
    <w:panose1 w:val="020F0502020204030204"/>
    <w:charset w:val="00"/>
    <w:family w:val="swiss"/>
    <w:pitch w:val="variable"/>
    <w:sig w:usb0="E10002FF" w:usb1="4000ACFF" w:usb2="00000009"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105E464"/>
    <w:multiLevelType w:val="singleLevel"/>
    <w:tmpl w:val="4105E464"/>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1"/>
  <w:drawingGridVerticalSpacing w:val="144"/>
  <w:displayHorizontalDrawingGridEvery w:val="2"/>
  <w:displayVerticalDrawingGridEvery w:val="2"/>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NmQ4NDliYzVkNjM0YTUyZjVhYThjYjZkNjBhMDUwYj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able of figures"/>
    <w:basedOn w:val="0"/>
    <w:next w:val="0"/>
    <w:pPr>
      <w:ind w:leftChars="200" w:left="400" w:hangingChars="200" w:hanging="200"/>
    </w:pPr>
  </w:style>
  <w:style w:type="paragraph" w:styleId="16">
    <w:name w:val="Body Text"/>
    <w:next w:val="17"/>
    <w:pPr>
      <w:tabs>
        <w:tab w:val="left" w:pos="2160"/>
      </w:tabs>
      <w:spacing w:line="480" w:lineRule="auto"/>
    </w:pPr>
    <w:rPr>
      <w:rFonts w:ascii="楷体_GB2312" w:eastAsia="黑体" w:cs="Times New Roman" w:hAnsi="楷体_GB2312"/>
      <w:position w:val="3"/>
      <w:sz w:val="20"/>
      <w:szCs w:val="20"/>
      <w:lang w:val="en-US" w:eastAsia="zh-CN" w:bidi="ar-SA"/>
    </w:rPr>
  </w:style>
  <w:style w:type="paragraph" w:styleId="17">
    <w:name w:val="header"/>
    <w:basedOn w:val="0"/>
    <w:pPr>
      <w:pBdr>
        <w:bottom w:val="single" w:sz="6" w:space="1" w:color="auto"/>
      </w:pBdr>
      <w:tabs>
        <w:tab w:val="center" w:pos="4153"/>
        <w:tab w:val="right" w:pos="8306"/>
      </w:tabs>
      <w:snapToGrid w:val="0"/>
      <w:jc w:val="center"/>
    </w:pPr>
    <w:rPr>
      <w:rFonts w:ascii="Calibri" w:cs="Arial" w:hAnsi="Calibri"/>
      <w:sz w:val="18"/>
      <w:szCs w:val="18"/>
    </w:rPr>
  </w:style>
  <w:style w:type="paragraph" w:styleId="18">
    <w:name w:val="footer"/>
    <w:basedOn w:val="0"/>
    <w:pPr>
      <w:tabs>
        <w:tab w:val="center" w:pos="4153"/>
        <w:tab w:val="right" w:pos="8306"/>
      </w:tabs>
      <w:snapToGrid w:val="0"/>
      <w:jc w:val="left"/>
    </w:pPr>
    <w:rPr>
      <w:rFonts w:ascii="Calibri" w:cs="Arial" w:hAnsi="Calibri"/>
      <w:sz w:val="18"/>
      <w:szCs w:val="18"/>
    </w:rPr>
  </w:style>
  <w:style w:type="paragraph" w:styleId="19">
    <w:name w:val="Body Text First Indent 2"/>
    <w:pPr>
      <w:widowControl w:val="0"/>
      <w:spacing w:after="120"/>
      <w:ind w:leftChars="200" w:left="200" w:firstLineChars="200" w:firstLine="200"/>
      <w:jc w:val="both"/>
    </w:pPr>
    <w:rPr>
      <w:rFonts w:ascii="仿宋_GB2312" w:eastAsia="仿宋_GB2312" w:cs="Times New Roman"/>
      <w:kern w:val="2"/>
      <w:sz w:val="32"/>
      <w:szCs w:val="32"/>
      <w:lang w:val="en-US" w:eastAsia="zh-CN" w:bidi="ar-SA"/>
    </w:rPr>
  </w:style>
  <w:style w:type="character" w:styleId="20">
    <w:name w:val="Strong"/>
    <w:basedOn w:val="10"/>
    <w:rPr>
      <w:b/>
    </w:rPr>
  </w:style>
  <w:style w:type="paragraph" w:styleId="21">
    <w:name w:val="List Paragraph"/>
    <w:basedOn w:val="0"/>
    <w:pPr>
      <w:ind w:firstLineChars="200" w:firstLine="200"/>
    </w:pPr>
  </w:style>
  <w:style w:type="paragraph" w:customStyle="1" w:styleId="22">
    <w:name w:val="正文2"/>
    <w:next w:val="0"/>
    <w:pPr>
      <w:widowControl w:val="0"/>
      <w:jc w:val="both"/>
    </w:pPr>
    <w:rPr>
      <w:rFonts w:ascii="Times New Roman" w:eastAsia="仿宋_GB2312" w:cs="Times New Roman" w:hAnsi="Times New Roman"/>
      <w:kern w:val="2"/>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4.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16</TotalTime>
  <Application>Yozo_Office27021597764231179</Application>
  <Pages>9</Pages>
  <Words>3466</Words>
  <Characters>3575</Characters>
  <Lines>270</Lines>
  <Paragraphs>174</Paragraphs>
  <CharactersWithSpaces>3630</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user</cp:lastModifiedBy>
  <cp:revision>3</cp:revision>
  <dcterms:created xsi:type="dcterms:W3CDTF">2025-05-19T09:48:00Z</dcterms:created>
  <dcterms:modified xsi:type="dcterms:W3CDTF">2025-05-23T03:00:21Z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2052-12.1.0.16120</vt:lpwstr>
  </property>
  <property fmtid="{D5CDD505-2E9C-101B-9397-08002B2CF9AE}" pid="3" name="ICV">
    <vt:lpwstr>4350A57336A2442D954B84C7EE9661A9_13</vt:lpwstr>
  </property>
</Properties>
</file>