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480" w:lineRule="atLeast"/>
        <w:jc w:val="distribute"/>
        <w:rPr>
          <w:rFonts w:ascii="宋体" w:cs="宋体"/>
          <w:b/>
          <w:bCs/>
          <w:color w:val="FF0000"/>
          <w:w w:val="60"/>
          <w:sz w:val="112"/>
          <w:szCs w:val="112"/>
        </w:rPr>
      </w:pPr>
      <w:r>
        <w:rPr>
          <w:rFonts w:ascii="宋体" w:cs="宋体" w:hint="eastAsia"/>
          <w:b/>
          <w:bCs/>
          <w:color w:val="FF0000"/>
          <w:w w:val="60"/>
          <w:sz w:val="112"/>
          <w:szCs w:val="112"/>
        </w:rPr>
        <w:t>黑水县石碉楼乡人民政府</w:t>
      </w:r>
    </w:p>
    <w:p>
      <w:pPr>
        <w:adjustRightInd w:val="0"/>
        <w:snapToGrid w:val="0"/>
        <w:spacing w:line="560" w:lineRule="exact"/>
        <w:ind w:firstLineChars="200" w:firstLine="402"/>
        <w:rPr>
          <w:rFonts w:ascii="仿宋_GB2312" w:eastAsia="仿宋_GB2312" w:cs="仿宋_GB2312"/>
          <w:sz w:val="32"/>
          <w:szCs w:val="32"/>
        </w:rPr>
      </w:pPr>
      <w:r>
        <mc:AlternateContent>
          <mc:Choice Requires="wps">
            <w:drawing>
              <wp:anchor distT="0" distB="0" distL="114297" distR="114297" simplePos="0" relativeHeight="13" behindDoc="0" locked="0" layoutInCell="1" hidden="0" allowOverlap="1">
                <wp:simplePos x="0" y="0"/>
                <wp:positionH relativeFrom="column">
                  <wp:posOffset>28575</wp:posOffset>
                </wp:positionH>
                <wp:positionV relativeFrom="paragraph">
                  <wp:posOffset>349250</wp:posOffset>
                </wp:positionV>
                <wp:extent cx="5464810" cy="634"/>
                <wp:effectExtent l="0" t="0" r="0" b="0"/>
                <wp:wrapNone/>
                <wp:docPr id="1" name="直线 2 2"/>
                <wp:cNvGraphicFramePr>
                  <a:graphicFrameLocks noChangeAspect="0"/>
                </wp:cNvGraphicFramePr>
                <a:graphic>
                  <a:graphicData uri="http://schemas.microsoft.com/office/word/2010/wordprocessingShape">
                    <wps:wsp>
                      <wps:cNvSpPr/>
                      <wps:spPr>
                        <a:xfrm rot="0">
                          <a:off x="0" y="0"/>
                          <a:ext cx="5464810" cy="634"/>
                        </a:xfrm>
                        <a:prstGeom prst="line"/>
                        <a:noFill/>
                        <a:ln w="28575" cmpd="sng" cap="flat">
                          <a:solidFill>
                            <a:srgbClr val="FF0000"/>
                          </a:solidFill>
                          <a:prstDash val="solid"/>
                          <a:miter/>
                        </a:ln>
                      </wps:spPr>
                      <wps:bodyPr vert="horz" wrap="square" lIns="91440" tIns="45720" rIns="91440" bIns="45720" anchor="t" anchorCtr="0" upright="1">
                        <a:noAutofit/>
                      </wps:bodyPr>
                    </wps:wsp>
                  </a:graphicData>
                </a:graphic>
              </wp:anchor>
            </w:drawing>
          </mc:Choice>
          <mc:Fallback>
            <w:pict>
              <v:line type="#_x0000_t20" id="直线 2 2 2" o:spid="_x0000_s2" from="2.25pt,27.5pt" to="432.55pt,27.55pt" filled="f" stroked="t" strokeweight="2.25pt" style="position:absolute;z-index:13;mso-position-horizontal:absolute;mso-position-vertical:absolute;mso-wrap-distance-left:8.99983pt;mso-wrap-distance-right:8.99983pt;visibility:visible;">
                <v:stroke color="#FF0000"/>
              </v:line>
            </w:pict>
          </mc:Fallback>
        </mc:AlternateContent>
      </w:r>
      <w:r>
        <w:rPr>
          <w:rFonts w:ascii="仿宋_GB2312" w:eastAsia="仿宋_GB2312" w:cs="仿宋_GB2312" w:hint="eastAsia"/>
          <w:sz w:val="32"/>
          <w:szCs w:val="32"/>
        </w:rPr>
        <w:t>黑石府〔</w:t>
      </w:r>
      <w:r>
        <w:rPr>
          <w:rFonts w:ascii="仿宋_GB2312" w:eastAsia="仿宋_GB2312" w:cs="仿宋_GB2312"/>
          <w:sz w:val="32"/>
          <w:szCs w:val="32"/>
        </w:rPr>
        <w:t>20</w:t>
      </w:r>
      <w:r>
        <w:rPr>
          <w:rFonts w:ascii="仿宋_GB2312" w:eastAsia="仿宋_GB2312" w:cs="仿宋_GB2312" w:hint="eastAsia"/>
          <w:sz w:val="32"/>
          <w:szCs w:val="32"/>
        </w:rPr>
        <w:t>25〕号</w:t>
      </w:r>
      <w:r>
        <w:rPr>
          <w:rFonts w:ascii="仿宋_GB2312" w:eastAsia="仿宋_GB2312" w:cs="仿宋_GB2312"/>
          <w:sz w:val="32"/>
          <w:szCs w:val="32"/>
        </w:rPr>
        <w:t>2</w:t>
      </w:r>
      <w:r>
        <w:rPr>
          <w:rFonts w:ascii="仿宋_GB2312" w:eastAsia="仿宋_GB2312" w:cs="仿宋_GB2312" w:hint="eastAsia"/>
          <w:sz w:val="32"/>
          <w:szCs w:val="32"/>
        </w:rPr>
        <w:t>0</w:t>
      </w:r>
      <w:r>
        <w:rPr>
          <w:rFonts w:ascii="仿宋_GB2312" w:eastAsia="仿宋_GB2312" w:cs="仿宋_GB2312"/>
          <w:sz w:val="32"/>
          <w:szCs w:val="32"/>
        </w:rPr>
        <w:t xml:space="preserve">号       </w:t>
      </w:r>
      <w:r>
        <w:rPr>
          <w:rFonts w:ascii="仿宋_GB2312" w:eastAsia="仿宋_GB2312" w:cs="仿宋_GB2312" w:hint="eastAsia"/>
          <w:sz w:val="32"/>
          <w:szCs w:val="32"/>
        </w:rPr>
        <w:t>签发人：</w:t>
      </w:r>
      <w:r>
        <w:rPr>
          <w:rFonts w:ascii="楷体" w:eastAsia="楷体" w:cs="楷体" w:hint="eastAsia"/>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40"/>
          <w:szCs w:val="40"/>
        </w:rPr>
      </w:pPr>
      <w:r>
        <w:rPr>
          <w:rFonts w:ascii="方正小标宋简体" w:eastAsia="方正小标宋简体" w:cs="方正小标宋简体" w:hint="eastAsia"/>
          <w:kern w:val="0"/>
          <w:sz w:val="40"/>
          <w:szCs w:val="40"/>
        </w:rPr>
        <w:t>石碉楼乡人民政府</w:t>
      </w:r>
    </w:p>
    <w:p>
      <w:pPr>
        <w:spacing w:line="580" w:lineRule="exact"/>
        <w:jc w:val="center"/>
        <w:rPr>
          <w:rFonts w:ascii="仿宋_GB2312" w:eastAsia="仿宋_GB2312" w:cs="方正小标宋简体"/>
          <w:b/>
          <w:sz w:val="28"/>
          <w:szCs w:val="28"/>
        </w:rPr>
      </w:pPr>
      <w:r>
        <w:rPr>
          <w:rFonts w:ascii="方正小标宋简体" w:eastAsia="方正小标宋简体" w:cs="方正小标宋简体" w:hint="eastAsia"/>
          <w:kern w:val="0"/>
          <w:sz w:val="40"/>
          <w:szCs w:val="40"/>
        </w:rPr>
        <w:t>2024年捐赠资金项目支出绩效评价报告</w:t>
      </w:r>
    </w:p>
    <w:p>
      <w:pPr>
        <w:spacing w:line="580" w:lineRule="exact"/>
        <w:ind w:firstLineChars="200" w:firstLine="622"/>
        <w:rPr>
          <w:rFonts w:ascii="仿宋_GB2312" w:eastAsia="仿宋_GB2312" w:cs="仿宋_GB2312"/>
          <w:sz w:val="32"/>
          <w:szCs w:val="32"/>
        </w:rPr>
      </w:pPr>
    </w:p>
    <w:p>
      <w:pPr>
        <w:adjustRightInd w:val="0"/>
        <w:snapToGrid w:val="0"/>
        <w:spacing w:line="576" w:lineRule="exact"/>
        <w:ind w:firstLineChars="200" w:firstLine="622"/>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（一）设立背景及基本情况。</w:t>
      </w:r>
    </w:p>
    <w:p>
      <w:pPr>
        <w:spacing w:line="576" w:lineRule="exact"/>
        <w:ind w:firstLineChars="200" w:firstLine="622"/>
        <w:rPr>
          <w:rFonts w:eastAsia="仿宋_GB2312"/>
          <w:kern w:val="0"/>
          <w:sz w:val="32"/>
          <w:szCs w:val="28"/>
        </w:rPr>
      </w:pPr>
      <w:r>
        <w:rPr>
          <w:rFonts w:eastAsia="仿宋_GB2312" w:hint="eastAsia"/>
          <w:kern w:val="0"/>
          <w:sz w:val="32"/>
          <w:szCs w:val="28"/>
        </w:rPr>
        <w:t>1.项目设立原因及背景</w:t>
      </w:r>
    </w:p>
    <w:p>
      <w:pPr>
        <w:adjustRightInd w:val="0"/>
        <w:snapToGrid w:val="0"/>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石碉楼乡2024年华润捐赠资金项目，</w:t>
      </w:r>
      <w:r>
        <w:rPr>
          <w:rFonts w:ascii="仿宋_GB2312" w:eastAsia="仿宋_GB2312" w:hint="eastAsia"/>
          <w:sz w:val="32"/>
          <w:szCs w:val="32"/>
          <w:lang w:val="zh-CN"/>
        </w:rPr>
        <w:t>华润捐赠资金分红，</w:t>
      </w:r>
      <w:r>
        <w:rPr>
          <w:rFonts w:ascii="仿宋_GB2312" w:eastAsia="仿宋_GB2312" w:hint="eastAsia"/>
          <w:sz w:val="32"/>
          <w:szCs w:val="32"/>
        </w:rPr>
        <w:t>主要用于公益性岗位，村级基础设施建设，村级专项资金等。</w:t>
      </w:r>
      <w:r>
        <w:rPr>
          <w:rFonts w:ascii="仿宋_GB2312" w:eastAsia="仿宋_GB2312" w:cs="仿宋_GB2312" w:hint="eastAsia"/>
          <w:sz w:val="32"/>
          <w:szCs w:val="32"/>
        </w:rPr>
        <w:t>资金申报后在规定的时间内下发给我们单位，本单位也在规定时间内及时进行了支出。该项目均符合资金管理办法等相关规定。</w:t>
      </w:r>
    </w:p>
    <w:p>
      <w:pPr>
        <w:numPr>
          <w:ilvl w:val="0"/>
          <w:numId w:val="1"/>
        </w:numPr>
        <w:spacing w:line="576" w:lineRule="exact"/>
        <w:ind w:left="0" w:firstLineChars="200" w:firstLine="622"/>
        <w:rPr>
          <w:rFonts w:eastAsia="仿宋_GB2312"/>
          <w:kern w:val="0"/>
          <w:sz w:val="32"/>
          <w:szCs w:val="28"/>
        </w:rPr>
      </w:pPr>
      <w:r>
        <w:rPr>
          <w:rFonts w:eastAsia="仿宋_GB2312" w:hint="eastAsia"/>
          <w:kern w:val="0"/>
          <w:sz w:val="32"/>
          <w:szCs w:val="28"/>
        </w:rPr>
        <w:t>项目立项、资金申报的依据</w:t>
      </w:r>
    </w:p>
    <w:p>
      <w:pPr>
        <w:adjustRightInd w:val="0"/>
        <w:snapToGrid w:val="0"/>
        <w:spacing w:line="576" w:lineRule="exact"/>
        <w:ind w:firstLine="642"/>
        <w:rPr>
          <w:rFonts w:eastAsia="仿宋_GB2312"/>
        </w:rPr>
      </w:pPr>
      <w:r>
        <w:rPr>
          <w:rFonts w:ascii="仿宋_GB2312" w:eastAsia="仿宋_GB2312" w:hint="eastAsia"/>
          <w:sz w:val="32"/>
          <w:szCs w:val="32"/>
        </w:rPr>
        <w:t>经费按照黑水县财政局关于下达黑水县黑水县华润捐赠资金帮扶资金的通知的分配方案，具有现实需求，依法依规认真履行。</w:t>
      </w:r>
    </w:p>
    <w:p>
      <w:pPr>
        <w:numPr>
          <w:ilvl w:val="0"/>
          <w:numId w:val="1"/>
        </w:numPr>
        <w:spacing w:line="576" w:lineRule="exact"/>
        <w:ind w:left="0" w:firstLineChars="200" w:firstLine="622"/>
        <w:rPr>
          <w:rFonts w:eastAsia="仿宋_GB2312"/>
          <w:kern w:val="0"/>
          <w:sz w:val="32"/>
          <w:szCs w:val="28"/>
        </w:rPr>
      </w:pPr>
      <w:r>
        <w:rPr>
          <w:rFonts w:eastAsia="仿宋_GB2312" w:hint="eastAsia"/>
          <w:kern w:val="0"/>
          <w:sz w:val="32"/>
          <w:szCs w:val="28"/>
        </w:rPr>
        <w:t>项目主要内容</w:t>
      </w:r>
    </w:p>
    <w:p>
      <w:pPr>
        <w:adjustRightInd w:val="0"/>
        <w:snapToGrid w:val="0"/>
        <w:spacing w:line="576" w:lineRule="exact"/>
        <w:ind w:firstLine="642"/>
        <w:rPr>
          <w:rFonts w:ascii="仿宋_GB2312" w:eastAsia="仿宋_GB2312"/>
          <w:sz w:val="32"/>
          <w:szCs w:val="32"/>
        </w:rPr>
      </w:pPr>
      <w:r>
        <w:rPr>
          <w:rFonts w:ascii="仿宋_GB2312" w:eastAsia="仿宋_GB2312" w:hint="eastAsia"/>
          <w:sz w:val="32"/>
          <w:szCs w:val="32"/>
        </w:rPr>
        <w:t>此次捐赠资金发放对象为辖区扎基村、丁寨村、木须村、俄尔村、瓦洛村、苦瓜村6个村，具体分配金额为：扎基村：22,900.23元 ；丁寨村: 22,900.23元；木须村：22,900.23元；俄尔村：22,900.23元；瓦洛村：322,900.23元；苦瓜村：22,900.23元。合计：137401.38元。</w:t>
      </w:r>
    </w:p>
    <w:p>
      <w:pPr>
        <w:spacing w:line="576" w:lineRule="exact"/>
        <w:ind w:firstLineChars="200" w:firstLine="622"/>
        <w:rPr>
          <w:kern w:val="0"/>
          <w:szCs w:val="28"/>
        </w:rPr>
      </w:pPr>
      <w:r>
        <w:rPr>
          <w:rFonts w:eastAsia="仿宋_GB2312" w:hint="eastAsia"/>
          <w:kern w:val="0"/>
          <w:sz w:val="32"/>
          <w:szCs w:val="28"/>
        </w:rPr>
        <w:t>4.主管部门职能</w:t>
      </w:r>
    </w:p>
    <w:p>
      <w:pPr>
        <w:spacing w:line="576" w:lineRule="exact"/>
        <w:ind w:firstLineChars="200" w:firstLine="622"/>
        <w:rPr>
          <w:rFonts w:eastAsia="仿宋_GB2312"/>
          <w:kern w:val="0"/>
          <w:sz w:val="32"/>
          <w:szCs w:val="28"/>
        </w:rPr>
      </w:pPr>
      <w:r>
        <w:rPr>
          <w:rFonts w:eastAsia="仿宋_GB2312" w:hint="eastAsia"/>
          <w:kern w:val="0"/>
          <w:sz w:val="32"/>
          <w:szCs w:val="28"/>
        </w:rPr>
        <w:t>我单位承担专项资金绩效管理的主体责任，主要负责提出专项资金分配方案，制定项目管理制度，组织项目评审和实施，开展项目验收、绩效评价和监督检查等工作。</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（二）实施目的及支持方向。</w:t>
      </w:r>
    </w:p>
    <w:p>
      <w:pPr>
        <w:spacing w:line="576" w:lineRule="exact"/>
        <w:ind w:firstLineChars="200" w:firstLine="622"/>
        <w:rPr>
          <w:rFonts w:eastAsia="仿宋_GB2312"/>
          <w:kern w:val="0"/>
          <w:sz w:val="32"/>
          <w:szCs w:val="28"/>
        </w:rPr>
      </w:pPr>
      <w:r>
        <w:rPr>
          <w:rFonts w:eastAsia="仿宋_GB2312" w:hint="eastAsia"/>
          <w:kern w:val="0"/>
          <w:sz w:val="32"/>
          <w:szCs w:val="28"/>
        </w:rPr>
        <w:t>1.项目资金管理办法制定情况</w:t>
      </w:r>
    </w:p>
    <w:p>
      <w:pPr>
        <w:spacing w:line="576" w:lineRule="exact"/>
        <w:ind w:firstLineChars="200" w:firstLine="622"/>
        <w:rPr>
          <w:rFonts w:eastAsia="仿宋_GB2312"/>
          <w:kern w:val="0"/>
          <w:sz w:val="32"/>
          <w:szCs w:val="28"/>
        </w:rPr>
      </w:pPr>
      <w:r>
        <w:rPr>
          <w:rFonts w:eastAsia="仿宋_GB2312" w:hint="eastAsia"/>
          <w:kern w:val="0"/>
          <w:sz w:val="32"/>
          <w:szCs w:val="28"/>
        </w:rPr>
        <w:t>我单位结合实际制定和完善了项目资金管理办法，项目管理办法有效执行。</w:t>
      </w:r>
    </w:p>
    <w:p>
      <w:pPr>
        <w:spacing w:line="576" w:lineRule="exact"/>
        <w:ind w:firstLineChars="200" w:firstLine="622"/>
        <w:rPr>
          <w:rFonts w:eastAsia="仿宋_GB2312"/>
          <w:kern w:val="0"/>
          <w:sz w:val="32"/>
          <w:szCs w:val="28"/>
        </w:rPr>
      </w:pPr>
      <w:r>
        <w:rPr>
          <w:rFonts w:eastAsia="仿宋_GB2312" w:hint="eastAsia"/>
          <w:kern w:val="0"/>
          <w:sz w:val="32"/>
          <w:szCs w:val="28"/>
        </w:rPr>
        <w:t>2.项目实施目的和主要工作任务</w:t>
      </w:r>
    </w:p>
    <w:p>
      <w:pPr>
        <w:spacing w:line="576" w:lineRule="exact"/>
        <w:ind w:firstLineChars="200" w:firstLine="622"/>
        <w:rPr>
          <w:rFonts w:eastAsia="仿宋_GB2312"/>
          <w:kern w:val="0"/>
          <w:sz w:val="32"/>
          <w:szCs w:val="28"/>
        </w:rPr>
      </w:pPr>
      <w:r>
        <w:rPr>
          <w:rFonts w:ascii="仿宋_GB2312" w:eastAsia="仿宋_GB2312" w:hint="eastAsia"/>
          <w:sz w:val="32"/>
          <w:szCs w:val="32"/>
        </w:rPr>
        <w:t>保障两个村华润</w:t>
      </w:r>
      <w:r>
        <w:rPr>
          <w:rFonts w:ascii="仿宋_GB2312" w:eastAsia="仿宋_GB2312" w:hint="eastAsia"/>
          <w:sz w:val="32"/>
          <w:szCs w:val="32"/>
          <w:lang w:val="zh-CN"/>
        </w:rPr>
        <w:t>捐赠资金分红，</w:t>
      </w:r>
      <w:r>
        <w:rPr>
          <w:rFonts w:ascii="仿宋_GB2312" w:eastAsia="仿宋_GB2312" w:hint="eastAsia"/>
          <w:sz w:val="32"/>
          <w:szCs w:val="32"/>
        </w:rPr>
        <w:t>主要用于公益性岗位，村级基础设施建设，村级专项资金等。</w:t>
      </w:r>
    </w:p>
    <w:p>
      <w:pPr>
        <w:spacing w:line="576" w:lineRule="exact"/>
        <w:ind w:firstLineChars="200" w:firstLine="622"/>
        <w:rPr>
          <w:rFonts w:eastAsia="仿宋_GB2312"/>
          <w:kern w:val="0"/>
          <w:sz w:val="32"/>
          <w:szCs w:val="28"/>
        </w:rPr>
      </w:pPr>
      <w:r>
        <w:rPr>
          <w:rFonts w:eastAsia="仿宋_GB2312" w:hint="eastAsia"/>
          <w:kern w:val="0"/>
          <w:sz w:val="32"/>
          <w:szCs w:val="28"/>
        </w:rPr>
        <w:t>3.项目支持方向</w:t>
      </w:r>
    </w:p>
    <w:p>
      <w:pPr>
        <w:spacing w:line="576" w:lineRule="exact"/>
        <w:ind w:firstLineChars="200" w:firstLine="622"/>
        <w:rPr>
          <w:rFonts w:eastAsia="仿宋_GB2312"/>
          <w:kern w:val="0"/>
          <w:sz w:val="32"/>
          <w:szCs w:val="28"/>
        </w:rPr>
      </w:pPr>
      <w:r>
        <w:rPr>
          <w:rFonts w:eastAsia="仿宋_GB2312" w:hint="eastAsia"/>
          <w:kern w:val="0"/>
          <w:sz w:val="32"/>
          <w:szCs w:val="28"/>
        </w:rPr>
        <w:t>保障基层村级运行正常。</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（三）预算安排及分配管理。</w:t>
      </w:r>
    </w:p>
    <w:p>
      <w:pPr>
        <w:spacing w:line="576" w:lineRule="exact"/>
        <w:ind w:firstLineChars="200" w:firstLine="622"/>
        <w:rPr>
          <w:rFonts w:eastAsia="仿宋_GB2312"/>
          <w:kern w:val="0"/>
          <w:sz w:val="32"/>
          <w:szCs w:val="28"/>
        </w:rPr>
      </w:pPr>
      <w:r>
        <w:rPr>
          <w:rFonts w:eastAsia="仿宋_GB2312" w:hint="eastAsia"/>
          <w:kern w:val="0"/>
          <w:sz w:val="32"/>
          <w:szCs w:val="28"/>
        </w:rPr>
        <w:t>1.项目预算安排情况</w:t>
      </w:r>
    </w:p>
    <w:p>
      <w:pPr>
        <w:spacing w:line="576" w:lineRule="exact"/>
        <w:ind w:firstLineChars="200" w:firstLine="622"/>
        <w:rPr>
          <w:rFonts w:eastAsia="仿宋_GB2312"/>
          <w:kern w:val="0"/>
          <w:sz w:val="32"/>
          <w:szCs w:val="28"/>
        </w:rPr>
      </w:pPr>
      <w:r>
        <w:rPr>
          <w:rFonts w:eastAsia="仿宋_GB2312" w:hint="eastAsia"/>
          <w:kern w:val="0"/>
          <w:sz w:val="32"/>
          <w:szCs w:val="28"/>
        </w:rPr>
        <w:t>预算项目资金金额为</w:t>
      </w:r>
      <w:r>
        <w:rPr>
          <w:rFonts w:ascii="仿宋_GB2312" w:eastAsia="仿宋_GB2312" w:hint="eastAsia"/>
          <w:sz w:val="32"/>
          <w:szCs w:val="32"/>
        </w:rPr>
        <w:t>137401.38元</w:t>
      </w:r>
      <w:r>
        <w:rPr>
          <w:rFonts w:eastAsia="仿宋_GB2312" w:hint="eastAsia"/>
          <w:kern w:val="0"/>
          <w:sz w:val="32"/>
          <w:szCs w:val="28"/>
        </w:rPr>
        <w:t>，批复金额为</w:t>
      </w:r>
      <w:r>
        <w:rPr>
          <w:rFonts w:ascii="仿宋_GB2312" w:eastAsia="仿宋_GB2312" w:hint="eastAsia"/>
          <w:sz w:val="32"/>
          <w:szCs w:val="32"/>
        </w:rPr>
        <w:t>137401.38元</w:t>
      </w:r>
      <w:r>
        <w:rPr>
          <w:rFonts w:eastAsia="仿宋_GB2312" w:hint="eastAsia"/>
          <w:kern w:val="0"/>
          <w:sz w:val="32"/>
          <w:szCs w:val="28"/>
        </w:rPr>
        <w:t>，实际使用金额</w:t>
      </w:r>
      <w:r>
        <w:rPr>
          <w:rFonts w:ascii="仿宋_GB2312" w:eastAsia="仿宋_GB2312" w:hint="eastAsia"/>
          <w:sz w:val="32"/>
          <w:szCs w:val="32"/>
        </w:rPr>
        <w:t>137401.38元</w:t>
      </w:r>
      <w:r>
        <w:rPr>
          <w:rFonts w:eastAsia="仿宋_GB2312" w:hint="eastAsia"/>
          <w:kern w:val="0"/>
          <w:sz w:val="32"/>
          <w:szCs w:val="28"/>
        </w:rPr>
        <w:t>，项目资金符合资金管理办法等相关规定。资金按批复金额在项目实施前全部到位，与资金计划相契合，资金到位率、到位及时性均为100%，保障项目能够如期开展。</w:t>
      </w:r>
    </w:p>
    <w:p>
      <w:pPr>
        <w:spacing w:line="576" w:lineRule="exact"/>
        <w:ind w:firstLineChars="200" w:firstLine="622"/>
        <w:rPr>
          <w:rFonts w:eastAsia="仿宋_GB2312"/>
          <w:kern w:val="0"/>
          <w:sz w:val="32"/>
          <w:szCs w:val="28"/>
        </w:rPr>
      </w:pPr>
      <w:r>
        <w:rPr>
          <w:rFonts w:eastAsia="仿宋_GB2312" w:hint="eastAsia"/>
          <w:kern w:val="0"/>
          <w:sz w:val="32"/>
          <w:szCs w:val="28"/>
        </w:rPr>
        <w:t>2.项目资金分配原则及考虑因素</w:t>
      </w:r>
    </w:p>
    <w:p>
      <w:pPr>
        <w:spacing w:line="576" w:lineRule="exact"/>
        <w:ind w:firstLineChars="200" w:firstLine="622"/>
        <w:rPr>
          <w:rFonts w:eastAsia="仿宋_GB2312"/>
          <w:kern w:val="0"/>
          <w:sz w:val="32"/>
          <w:szCs w:val="28"/>
        </w:rPr>
      </w:pPr>
      <w:r>
        <w:rPr>
          <w:rFonts w:eastAsia="仿宋_GB2312" w:hint="eastAsia"/>
          <w:kern w:val="0"/>
          <w:sz w:val="32"/>
          <w:szCs w:val="28"/>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spacing w:line="576" w:lineRule="exact"/>
        <w:ind w:firstLineChars="200" w:firstLine="622"/>
        <w:rPr>
          <w:rFonts w:eastAsia="仿宋_GB2312"/>
          <w:kern w:val="0"/>
          <w:sz w:val="32"/>
          <w:szCs w:val="28"/>
        </w:rPr>
      </w:pPr>
      <w:r>
        <w:rPr>
          <w:rFonts w:eastAsia="仿宋_GB2312" w:hint="eastAsia"/>
          <w:kern w:val="0"/>
          <w:sz w:val="32"/>
          <w:szCs w:val="28"/>
        </w:rPr>
        <w:t>3.项目资金分配情况</w:t>
      </w:r>
    </w:p>
    <w:p>
      <w:pPr>
        <w:spacing w:line="576" w:lineRule="exact"/>
        <w:ind w:firstLineChars="200" w:firstLine="622"/>
        <w:rPr>
          <w:rFonts w:eastAsia="仿宋_GB2312"/>
          <w:kern w:val="0"/>
          <w:sz w:val="32"/>
          <w:szCs w:val="28"/>
        </w:rPr>
      </w:pPr>
      <w:r>
        <w:rPr>
          <w:rFonts w:eastAsia="仿宋_GB2312" w:hint="eastAsia"/>
          <w:kern w:val="0"/>
          <w:sz w:val="32"/>
          <w:szCs w:val="28"/>
        </w:rPr>
        <w:t>项目总预算资金</w:t>
      </w:r>
      <w:r>
        <w:rPr>
          <w:rFonts w:ascii="仿宋_GB2312" w:eastAsia="仿宋_GB2312" w:hint="eastAsia"/>
          <w:sz w:val="32"/>
          <w:szCs w:val="32"/>
        </w:rPr>
        <w:t>137401.38元</w:t>
      </w:r>
      <w:r>
        <w:rPr>
          <w:rFonts w:eastAsia="仿宋_GB2312" w:hint="eastAsia"/>
          <w:kern w:val="0"/>
          <w:sz w:val="32"/>
          <w:szCs w:val="28"/>
        </w:rPr>
        <w:t>，来源为华润捐赠资金，预算资金分配充分，资金分配额度合理，与项目单位实际相适应。目前项目资金已全部支出，支付范围为包含村</w:t>
      </w:r>
      <w:r>
        <w:rPr>
          <w:rFonts w:ascii="仿宋_GB2312" w:eastAsia="仿宋_GB2312" w:hint="eastAsia"/>
          <w:sz w:val="32"/>
          <w:szCs w:val="32"/>
        </w:rPr>
        <w:t>公益性岗位，村级基础设施建设，村级专项资金</w:t>
      </w:r>
      <w:r>
        <w:rPr>
          <w:rFonts w:eastAsia="仿宋_GB2312" w:hint="eastAsia"/>
          <w:kern w:val="0"/>
          <w:sz w:val="32"/>
          <w:szCs w:val="28"/>
        </w:rPr>
        <w:t>费，支付依据合规合法，与预算相符。</w:t>
      </w:r>
    </w:p>
    <w:p>
      <w:pPr>
        <w:adjustRightInd w:val="0"/>
        <w:snapToGrid w:val="0"/>
        <w:spacing w:line="576" w:lineRule="exact"/>
        <w:ind w:firstLineChars="200" w:firstLine="622"/>
        <w:rPr>
          <w:rFonts w:eastAsia="仿宋_GB2312"/>
          <w:kern w:val="0"/>
          <w:sz w:val="32"/>
          <w:szCs w:val="28"/>
        </w:rPr>
      </w:pPr>
      <w:r>
        <w:rPr>
          <w:rFonts w:ascii="楷体_GB2312" w:eastAsia="楷体_GB2312" w:hint="eastAsia"/>
          <w:b/>
          <w:sz w:val="32"/>
          <w:szCs w:val="32"/>
          <w:lang w:val="zh-CN"/>
        </w:rPr>
        <w:t>（四）项目绩效目标设置。</w:t>
      </w:r>
    </w:p>
    <w:p>
      <w:pPr>
        <w:spacing w:line="576" w:lineRule="exact"/>
        <w:ind w:firstLineChars="200" w:firstLine="622"/>
        <w:rPr>
          <w:rFonts w:eastAsia="仿宋_GB2312"/>
          <w:kern w:val="0"/>
          <w:sz w:val="32"/>
          <w:szCs w:val="28"/>
        </w:rPr>
      </w:pPr>
      <w:r>
        <w:rPr>
          <w:rFonts w:ascii="仿宋_GB2312" w:eastAsia="仿宋_GB2312" w:cs="仿宋_GB2312" w:hint="eastAsia"/>
          <w:sz w:val="32"/>
          <w:szCs w:val="32"/>
        </w:rPr>
        <w:t>石碉楼乡华润捐赠资金实施范围为</w:t>
      </w:r>
      <w:r>
        <w:rPr>
          <w:rFonts w:ascii="仿宋_GB2312" w:eastAsia="仿宋_GB2312" w:hint="eastAsia"/>
          <w:sz w:val="32"/>
          <w:szCs w:val="32"/>
        </w:rPr>
        <w:t>扎基村、丁寨村、木须村、俄尔村、瓦洛村、苦瓜村6个村</w:t>
      </w:r>
      <w:r>
        <w:rPr>
          <w:rFonts w:ascii="仿宋_GB2312" w:eastAsia="仿宋_GB2312" w:cs="仿宋_GB2312" w:hint="eastAsia"/>
          <w:sz w:val="32"/>
          <w:szCs w:val="32"/>
        </w:rPr>
        <w:t>，主要用于公益性岗位、村级基础设施建设、村级专项资金等</w:t>
      </w:r>
      <w:r>
        <w:rPr>
          <w:rFonts w:ascii="仿宋_GB2312" w:eastAsia="仿宋_GB2312" w:cs="仿宋_GB2312"/>
          <w:sz w:val="32"/>
          <w:szCs w:val="32"/>
        </w:rPr>
        <w:t>。</w:t>
      </w:r>
    </w:p>
    <w:p>
      <w:pPr>
        <w:adjustRightInd w:val="0"/>
        <w:snapToGrid w:val="0"/>
        <w:spacing w:line="576" w:lineRule="exact"/>
        <w:ind w:firstLineChars="200" w:firstLine="622"/>
        <w:rPr>
          <w:rFonts w:ascii="黑体" w:eastAsia="黑体"/>
          <w:sz w:val="32"/>
          <w:szCs w:val="32"/>
        </w:rPr>
      </w:pPr>
      <w:r>
        <w:rPr>
          <w:rFonts w:ascii="黑体" w:eastAsia="黑体" w:hint="eastAsia"/>
          <w:sz w:val="32"/>
          <w:szCs w:val="32"/>
        </w:rPr>
        <w:t>二、评价实施</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（一）评价目的。</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黑水县财政局印发的《关于开展2025年县级部门绩效自评工作的通知》要求，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 xml:space="preserve">（二）预设问题及评价重点。 </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（三）评价选点。</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项目主要开展工作地点为黑水县石碉楼乡，本次绩效评价主体为黑水县石碉楼乡人民政府，项目不涉及其他单位。</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（四）评价方法。</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采用先进的绩效评价方法和科学的数据分析是取得正确客观评价结论的重要保障，评价组从采取以下几个方法对项目实施评价，通过定量和定性分析得出评价结论。</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1.比较分析法。是指通过对绩效目标与实施效果、历史与当期情况、不同部门和地区同类支出的比较，综合分析绩效目标实现程度。</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2.因素分析法。是指通过综合分析影响绩效目标实现、实施效果的内外因素，评价绩效目标实现程度。</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（五）评价组织。</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1.领导小组职责：</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（1）研究和决定同级政府公共事业管理绩效评价中的重大问题。</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（2）组织协调绩效评价工作，确保评价的顺利进行。</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（3）对各单位的工作目标、绩效考核结果和等次、奖惩方案进行审核，并报同级党委和政府审定。</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2.办公室职责：</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（1）提出全省（市、县）政府公共事业管理绩效评价的工作方案，并负责具体组织实施。</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（2）综合评价信息，提出评价结果等次认定方案及奖惩方案等。</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（3）负责绩效评价的日常工作，包括宣传、沟通、协调等。</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（4）根据评价结果撰写绩效评价报告，并递交给领导小组。</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3.具体执行人员职责：</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（1）组长：审批绩效自评方案，监督、检查、核实绩效自评结果。</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（2）副组长：审核修改拟定的绩效自评方案，并提交考评工作组会议讨论通过；监督、部署、确认绩效自评过程及反馈意见的处理。</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adjustRightInd w:val="0"/>
        <w:snapToGrid w:val="0"/>
        <w:spacing w:line="576" w:lineRule="exact"/>
        <w:ind w:firstLineChars="200" w:firstLine="622"/>
        <w:rPr>
          <w:rFonts w:ascii="黑体" w:eastAsia="黑体"/>
          <w:sz w:val="32"/>
          <w:szCs w:val="32"/>
          <w:lang w:val="zh-CN"/>
        </w:rPr>
      </w:pPr>
      <w:r>
        <w:rPr>
          <w:rFonts w:ascii="黑体" w:eastAsia="黑体" w:hint="eastAsia"/>
          <w:sz w:val="32"/>
          <w:szCs w:val="32"/>
        </w:rPr>
        <w:t>三、绩效分析</w:t>
      </w:r>
      <w:r>
        <w:rPr>
          <w:rFonts w:ascii="黑体" w:eastAsia="黑体" w:hint="eastAsia"/>
          <w:sz w:val="32"/>
          <w:szCs w:val="32"/>
          <w:lang w:val="zh-CN"/>
        </w:rPr>
        <w:tab/>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（一）通用指标绩效分析。</w:t>
      </w:r>
    </w:p>
    <w:p>
      <w:pPr>
        <w:spacing w:line="576" w:lineRule="exact"/>
        <w:ind w:firstLineChars="200" w:firstLine="622"/>
        <w:rPr>
          <w:rFonts w:ascii="仿宋_GB2312" w:eastAsia="仿宋_GB2312" w:cs="仿宋_GB2312"/>
          <w:b/>
          <w:bCs/>
          <w:sz w:val="32"/>
          <w:szCs w:val="32"/>
          <w:lang w:val="zh-CN"/>
        </w:rPr>
      </w:pPr>
      <w:r>
        <w:rPr>
          <w:rFonts w:ascii="仿宋_GB2312" w:eastAsia="仿宋_GB2312" w:cs="仿宋_GB2312" w:hint="eastAsia"/>
          <w:b/>
          <w:bCs/>
          <w:sz w:val="32"/>
          <w:szCs w:val="32"/>
          <w:lang w:val="zh-CN"/>
        </w:rPr>
        <w:t>1.项目决策。</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（1）决策程序</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项目设立、调整延续等方面符合资金管理基本规范和决策程序要求，该项指标得分6分。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（2）规划论证</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（3）资金投向</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Chars="200" w:firstLine="622"/>
        <w:rPr>
          <w:rFonts w:ascii="仿宋_GB2312" w:eastAsia="仿宋_GB2312" w:cs="仿宋_GB2312"/>
          <w:b/>
          <w:bCs/>
          <w:sz w:val="32"/>
          <w:szCs w:val="32"/>
          <w:lang w:val="zh-CN"/>
        </w:rPr>
      </w:pPr>
      <w:r>
        <w:rPr>
          <w:rFonts w:ascii="仿宋_GB2312" w:eastAsia="仿宋_GB2312" w:cs="仿宋_GB2312" w:hint="eastAsia"/>
          <w:b/>
          <w:bCs/>
          <w:sz w:val="32"/>
          <w:szCs w:val="32"/>
          <w:lang w:val="zh-CN"/>
        </w:rPr>
        <w:t>2.项目管理。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（1）制度办法</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资金管理办法等管理制度体系健全完善，不存在管理制度缺失、管理办法过期情况，</w:t>
      </w:r>
      <w:r>
        <w:rPr>
          <w:rFonts w:ascii="仿宋_GB2312" w:eastAsia="仿宋_GB2312" w:cs="仿宋_GB2312" w:hint="eastAsia"/>
          <w:sz w:val="32"/>
          <w:szCs w:val="32"/>
          <w:lang w:val="zh-CN"/>
        </w:rPr>
        <w:t>该项指标得分</w:t>
      </w:r>
      <w:r>
        <w:rPr>
          <w:rFonts w:ascii="仿宋_GB2312" w:eastAsia="仿宋_GB2312" w:cs="仿宋_GB2312" w:hint="eastAsia"/>
          <w:sz w:val="32"/>
          <w:szCs w:val="32"/>
        </w:rPr>
        <w:t>2</w:t>
      </w:r>
      <w:r>
        <w:rPr>
          <w:rFonts w:ascii="仿宋_GB2312" w:eastAsia="仿宋_GB2312" w:cs="仿宋_GB2312" w:hint="eastAsia"/>
          <w:sz w:val="32"/>
          <w:szCs w:val="32"/>
          <w:lang w:val="zh-CN"/>
        </w:rPr>
        <w:t>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（2）分配管理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（3）绩效监管</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Chars="200" w:firstLine="622"/>
        <w:rPr>
          <w:rFonts w:ascii="仿宋_GB2312" w:eastAsia="仿宋_GB2312" w:cs="仿宋_GB2312"/>
          <w:b/>
          <w:bCs/>
          <w:sz w:val="32"/>
          <w:szCs w:val="32"/>
          <w:lang w:val="zh-CN"/>
        </w:rPr>
      </w:pPr>
      <w:r>
        <w:rPr>
          <w:rFonts w:ascii="仿宋_GB2312" w:eastAsia="仿宋_GB2312" w:cs="仿宋_GB2312" w:hint="eastAsia"/>
          <w:b/>
          <w:bCs/>
          <w:sz w:val="32"/>
          <w:szCs w:val="32"/>
          <w:lang w:val="zh-CN"/>
        </w:rPr>
        <w:t>3.项目实施。围绕、进行绩效分析。</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（1）预算执行</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财政资金已按照要求拨付完毕，拨付率100%，该项指标得分=财政资金拨付率×100%×6=6分。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（2）资金使用</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Chars="200" w:firstLine="622"/>
        <w:rPr>
          <w:rFonts w:ascii="仿宋_GB2312" w:eastAsia="仿宋_GB2312" w:cs="仿宋_GB2312"/>
          <w:b/>
          <w:bCs/>
          <w:sz w:val="32"/>
          <w:szCs w:val="32"/>
          <w:lang w:val="zh-CN"/>
        </w:rPr>
      </w:pPr>
      <w:r>
        <w:rPr>
          <w:rFonts w:ascii="仿宋_GB2312" w:eastAsia="仿宋_GB2312" w:cs="仿宋_GB2312" w:hint="eastAsia"/>
          <w:b/>
          <w:bCs/>
          <w:sz w:val="32"/>
          <w:szCs w:val="32"/>
          <w:lang w:val="zh-CN"/>
        </w:rPr>
        <w:t>4.项目结果。</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（1）目标完成</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项目完成预期目标，实施结果与绩效目标相匹配，该项指标得分6分。</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（2）完成时效</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项目实际完成时间与计划完成时间相符，该项指标得分3分。</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（二）专用指标绩效分析。</w:t>
      </w:r>
    </w:p>
    <w:p>
      <w:pPr>
        <w:spacing w:line="576" w:lineRule="exact"/>
        <w:ind w:firstLineChars="200" w:firstLine="622"/>
        <w:rPr>
          <w:rFonts w:ascii="仿宋_GB2312" w:eastAsia="仿宋_GB2312" w:cs="仿宋_GB2312"/>
          <w:sz w:val="32"/>
          <w:szCs w:val="32"/>
        </w:rPr>
      </w:pPr>
      <w:r>
        <w:rPr>
          <w:rFonts w:ascii="仿宋_GB2312" w:eastAsia="仿宋_GB2312" w:cs="仿宋_GB2312" w:hint="eastAsia"/>
          <w:sz w:val="32"/>
          <w:szCs w:val="32"/>
        </w:rPr>
        <w:t>行政运行</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sz w:val="32"/>
          <w:szCs w:val="32"/>
          <w:lang w:val="zh-CN"/>
        </w:rPr>
        <w:t>按</w:t>
      </w:r>
      <w:r>
        <w:rPr>
          <w:rFonts w:ascii="仿宋_GB2312" w:eastAsia="仿宋_GB2312" w:cs="仿宋_GB2312" w:hint="eastAsia"/>
          <w:sz w:val="32"/>
          <w:szCs w:val="32"/>
          <w:lang w:val="zh-CN"/>
        </w:rPr>
        <w:t>按规定用途、适用范围进行本地区专项资金分配</w:t>
      </w:r>
      <w:r>
        <w:rPr>
          <w:rFonts w:ascii="仿宋_GB2312" w:eastAsia="仿宋_GB2312" w:cs="仿宋_GB2312"/>
          <w:sz w:val="32"/>
          <w:szCs w:val="32"/>
          <w:lang w:val="zh-CN"/>
        </w:rPr>
        <w:t>得10分</w:t>
      </w:r>
      <w:r>
        <w:rPr>
          <w:rFonts w:ascii="仿宋_GB2312" w:eastAsia="仿宋_GB2312" w:cs="仿宋_GB2312" w:hint="eastAsia"/>
          <w:sz w:val="32"/>
          <w:szCs w:val="32"/>
          <w:lang w:val="zh-CN"/>
        </w:rPr>
        <w:t>；</w:t>
      </w:r>
      <w:r>
        <w:rPr>
          <w:rFonts w:ascii="仿宋_GB2312" w:eastAsia="仿宋_GB2312" w:cs="仿宋_GB2312"/>
          <w:sz w:val="32"/>
          <w:szCs w:val="32"/>
          <w:lang w:val="zh-CN"/>
        </w:rPr>
        <w:t>按</w:t>
      </w:r>
      <w:r>
        <w:rPr>
          <w:rFonts w:ascii="仿宋_GB2312" w:eastAsia="仿宋_GB2312" w:cs="仿宋_GB2312" w:hint="eastAsia"/>
          <w:sz w:val="32"/>
          <w:szCs w:val="32"/>
          <w:lang w:val="zh-CN"/>
        </w:rPr>
        <w:t>资金管理程序符合专项资金管理要求</w:t>
      </w:r>
      <w:r>
        <w:rPr>
          <w:rFonts w:ascii="仿宋_GB2312" w:eastAsia="仿宋_GB2312" w:cs="仿宋_GB2312"/>
          <w:sz w:val="32"/>
          <w:szCs w:val="32"/>
          <w:lang w:val="zh-CN"/>
        </w:rPr>
        <w:t>10分</w:t>
      </w:r>
      <w:r>
        <w:rPr>
          <w:rFonts w:ascii="仿宋_GB2312" w:eastAsia="仿宋_GB2312" w:cs="仿宋_GB2312" w:hint="eastAsia"/>
          <w:sz w:val="32"/>
          <w:szCs w:val="32"/>
          <w:lang w:val="zh-CN"/>
        </w:rPr>
        <w:t>；</w:t>
      </w:r>
      <w:r>
        <w:rPr>
          <w:rFonts w:ascii="仿宋_GB2312" w:eastAsia="仿宋_GB2312" w:cs="仿宋_GB2312"/>
          <w:sz w:val="32"/>
          <w:szCs w:val="32"/>
          <w:lang w:val="zh-CN"/>
        </w:rPr>
        <w:t>按</w:t>
      </w:r>
      <w:r>
        <w:rPr>
          <w:rFonts w:ascii="仿宋_GB2312" w:eastAsia="仿宋_GB2312" w:cs="仿宋_GB2312" w:hint="eastAsia"/>
          <w:sz w:val="32"/>
          <w:szCs w:val="32"/>
          <w:lang w:val="zh-CN"/>
        </w:rPr>
        <w:t>资金分配标准符合专项资金管理要求</w:t>
      </w:r>
      <w:r>
        <w:rPr>
          <w:rFonts w:ascii="仿宋_GB2312" w:eastAsia="仿宋_GB2312" w:cs="仿宋_GB2312"/>
          <w:sz w:val="32"/>
          <w:szCs w:val="32"/>
          <w:lang w:val="zh-CN"/>
        </w:rPr>
        <w:t>10分</w:t>
      </w:r>
      <w:r>
        <w:rPr>
          <w:rFonts w:ascii="仿宋_GB2312" w:eastAsia="仿宋_GB2312" w:cs="仿宋_GB2312" w:hint="eastAsia"/>
          <w:sz w:val="32"/>
          <w:szCs w:val="32"/>
          <w:lang w:val="zh-CN"/>
        </w:rPr>
        <w:t>，该项指标</w:t>
      </w:r>
      <w:r>
        <w:rPr>
          <w:rFonts w:ascii="仿宋_GB2312" w:eastAsia="仿宋_GB2312" w:cs="仿宋_GB2312"/>
          <w:sz w:val="32"/>
          <w:szCs w:val="32"/>
          <w:lang w:val="zh-CN"/>
        </w:rPr>
        <w:t>总</w:t>
      </w:r>
      <w:bookmarkStart w:id="0" w:name="_GoBack"/>
      <w:bookmarkEnd w:id="0"/>
      <w:r>
        <w:rPr>
          <w:rFonts w:ascii="仿宋_GB2312" w:eastAsia="仿宋_GB2312" w:cs="仿宋_GB2312" w:hint="eastAsia"/>
          <w:sz w:val="32"/>
          <w:szCs w:val="32"/>
          <w:lang w:val="zh-CN"/>
        </w:rPr>
        <w:t>得分30分。</w:t>
      </w:r>
    </w:p>
    <w:p>
      <w:pPr>
        <w:adjustRightInd w:val="0"/>
        <w:snapToGrid w:val="0"/>
        <w:spacing w:line="576" w:lineRule="exact"/>
        <w:ind w:firstLineChars="200" w:firstLine="622"/>
        <w:rPr>
          <w:rFonts w:ascii="楷体_GB2312" w:eastAsia="楷体_GB2312"/>
          <w:b/>
          <w:sz w:val="32"/>
          <w:szCs w:val="32"/>
          <w:lang w:val="zh-CN"/>
        </w:rPr>
      </w:pPr>
      <w:r>
        <w:rPr>
          <w:rFonts w:ascii="楷体_GB2312" w:eastAsia="楷体_GB2312" w:hint="eastAsia"/>
          <w:b/>
          <w:sz w:val="32"/>
          <w:szCs w:val="32"/>
          <w:lang w:val="zh-CN"/>
        </w:rPr>
        <w:t>（三）个性指标绩效分析。</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项目已如期建成，资金已按期拨付，项目实施后已达到预期效果，该项指标得分1</w:t>
      </w:r>
      <w:r>
        <w:rPr>
          <w:rFonts w:ascii="仿宋_GB2312" w:eastAsia="仿宋_GB2312" w:cs="仿宋_GB2312" w:hint="eastAsia"/>
          <w:sz w:val="32"/>
          <w:szCs w:val="32"/>
        </w:rPr>
        <w:t>6</w:t>
      </w:r>
      <w:r>
        <w:rPr>
          <w:rFonts w:ascii="仿宋_GB2312" w:eastAsia="仿宋_GB2312" w:cs="仿宋_GB2312" w:hint="eastAsia"/>
          <w:sz w:val="32"/>
          <w:szCs w:val="32"/>
          <w:lang w:val="zh-CN"/>
        </w:rPr>
        <w:t>分。</w:t>
      </w:r>
    </w:p>
    <w:p>
      <w:pPr>
        <w:pStyle w:val="16"/>
        <w:tabs>
          <w:tab w:val="left" w:pos="2160"/>
        </w:tabs>
        <w:spacing w:line="576" w:lineRule="exact"/>
        <w:ind w:firstLineChars="200" w:firstLine="622"/>
        <w:jc w:val="both"/>
        <w:rPr>
          <w:rFonts w:ascii="黑体"/>
          <w:sz w:val="32"/>
          <w:szCs w:val="32"/>
        </w:rPr>
      </w:pPr>
      <w:r>
        <w:rPr>
          <w:rFonts w:ascii="黑体" w:hint="eastAsia"/>
          <w:sz w:val="32"/>
          <w:szCs w:val="32"/>
        </w:rPr>
        <w:t>四、评价结论</w:t>
      </w:r>
    </w:p>
    <w:p>
      <w:pPr>
        <w:spacing w:line="576" w:lineRule="exact"/>
        <w:ind w:firstLineChars="200" w:firstLine="622"/>
        <w:rPr>
          <w:rFonts w:ascii="仿宋_GB2312" w:eastAsia="仿宋_GB2312" w:cs="仿宋_GB2312"/>
          <w:sz w:val="32"/>
          <w:szCs w:val="32"/>
          <w:lang w:val="zh-CN"/>
        </w:rPr>
      </w:pPr>
      <w:r>
        <w:rPr>
          <w:rFonts w:ascii="仿宋_GB2312" w:eastAsia="仿宋_GB2312" w:cs="仿宋_GB2312" w:hint="eastAsia"/>
          <w:sz w:val="32"/>
          <w:szCs w:val="32"/>
          <w:lang w:val="zh-CN"/>
        </w:rPr>
        <w:t>我单位严格按照绩效自评工作要求，秉承客观公正、实事求是的原则开展了</w:t>
      </w:r>
      <w:r>
        <w:rPr>
          <w:rFonts w:ascii="仿宋_GB2312" w:eastAsia="仿宋_GB2312" w:cs="仿宋_GB2312" w:hint="eastAsia"/>
          <w:sz w:val="32"/>
          <w:szCs w:val="32"/>
        </w:rPr>
        <w:t>石碉楼乡202</w:t>
      </w:r>
      <w:r>
        <w:rPr>
          <w:rFonts w:ascii="仿宋_GB2312" w:eastAsia="仿宋_GB2312" w:cs="仿宋_GB2312"/>
          <w:sz w:val="32"/>
          <w:szCs w:val="32"/>
        </w:rPr>
        <w:t>4</w:t>
      </w:r>
      <w:r>
        <w:rPr>
          <w:rFonts w:ascii="仿宋_GB2312" w:eastAsia="仿宋_GB2312" w:cs="仿宋_GB2312" w:hint="eastAsia"/>
          <w:sz w:val="32"/>
          <w:szCs w:val="32"/>
        </w:rPr>
        <w:t>年捐赠资金—华润</w:t>
      </w:r>
      <w:r>
        <w:rPr>
          <w:rFonts w:ascii="仿宋_GB2312" w:eastAsia="仿宋_GB2312" w:cs="仿宋_GB2312" w:hint="eastAsia"/>
          <w:sz w:val="32"/>
          <w:szCs w:val="32"/>
          <w:lang w:val="zh-CN"/>
        </w:rPr>
        <w:t>项目支出绩效自评工作，经对各类指标进行评分和汇总分析，项目支出绩效评价综合得分</w:t>
      </w:r>
      <w:r>
        <w:rPr>
          <w:rFonts w:ascii="仿宋_GB2312" w:eastAsia="仿宋_GB2312" w:cs="仿宋_GB2312" w:hint="eastAsia"/>
          <w:sz w:val="32"/>
          <w:szCs w:val="32"/>
        </w:rPr>
        <w:t>9</w:t>
      </w:r>
      <w:r>
        <w:rPr>
          <w:rFonts w:ascii="仿宋_GB2312" w:eastAsia="仿宋_GB2312" w:cs="仿宋_GB2312"/>
          <w:sz w:val="32"/>
          <w:szCs w:val="32"/>
        </w:rPr>
        <w:t>7</w:t>
      </w:r>
      <w:r>
        <w:rPr>
          <w:rFonts w:ascii="仿宋_GB2312" w:eastAsia="仿宋_GB2312" w:cs="仿宋_GB2312" w:hint="eastAsia"/>
          <w:sz w:val="32"/>
          <w:szCs w:val="32"/>
          <w:lang w:val="zh-CN"/>
        </w:rPr>
        <w:t>分。评价结果显示，</w:t>
      </w:r>
      <w:r>
        <w:rPr>
          <w:rFonts w:ascii="仿宋_GB2312" w:eastAsia="仿宋_GB2312" w:cs="仿宋_GB2312" w:hint="eastAsia"/>
          <w:sz w:val="32"/>
          <w:szCs w:val="32"/>
        </w:rPr>
        <w:t>石碉楼乡202</w:t>
      </w:r>
      <w:r>
        <w:rPr>
          <w:rFonts w:ascii="仿宋_GB2312" w:eastAsia="仿宋_GB2312" w:cs="仿宋_GB2312"/>
          <w:sz w:val="32"/>
          <w:szCs w:val="32"/>
        </w:rPr>
        <w:t>4</w:t>
      </w:r>
      <w:r>
        <w:rPr>
          <w:rFonts w:ascii="仿宋_GB2312" w:eastAsia="仿宋_GB2312" w:cs="仿宋_GB2312" w:hint="eastAsia"/>
          <w:sz w:val="32"/>
          <w:szCs w:val="32"/>
        </w:rPr>
        <w:t>年捐赠资金—华润</w:t>
      </w:r>
      <w:r>
        <w:rPr>
          <w:rFonts w:ascii="仿宋_GB2312" w:eastAsia="仿宋_GB2312" w:cs="仿宋_GB2312" w:hint="eastAsia"/>
          <w:sz w:val="32"/>
          <w:szCs w:val="32"/>
          <w:lang w:val="zh-CN"/>
        </w:rPr>
        <w:t>项目按照相关规定进行使用和管理，程序较为规范，项目支出使用效益达到预期。</w:t>
      </w:r>
    </w:p>
    <w:p>
      <w:pPr>
        <w:pStyle w:val="16"/>
        <w:tabs>
          <w:tab w:val="left" w:pos="2160"/>
        </w:tabs>
        <w:spacing w:line="576" w:lineRule="exact"/>
        <w:ind w:firstLineChars="200" w:firstLine="622"/>
        <w:jc w:val="both"/>
        <w:rPr>
          <w:rFonts w:ascii="黑体"/>
          <w:sz w:val="32"/>
          <w:szCs w:val="32"/>
        </w:rPr>
      </w:pPr>
      <w:r>
        <w:rPr>
          <w:rFonts w:ascii="黑体" w:hint="eastAsia"/>
          <w:sz w:val="32"/>
          <w:szCs w:val="32"/>
        </w:rPr>
        <w:t>五、存在主要问题</w:t>
      </w:r>
    </w:p>
    <w:p>
      <w:pPr>
        <w:pStyle w:val="16"/>
        <w:tabs>
          <w:tab w:val="left" w:pos="2160"/>
        </w:tabs>
        <w:spacing w:line="576" w:lineRule="exact"/>
        <w:ind w:firstLineChars="200" w:firstLine="622"/>
        <w:jc w:val="both"/>
        <w:rPr>
          <w:rFonts w:ascii="仿宋_GB2312" w:eastAsia="仿宋_GB2312" w:cs="仿宋_GB2312"/>
          <w:kern w:val="2"/>
          <w:position w:val="0"/>
          <w:sz w:val="32"/>
          <w:szCs w:val="32"/>
        </w:rPr>
      </w:pPr>
      <w:r>
        <w:rPr>
          <w:rFonts w:ascii="仿宋_GB2312" w:eastAsia="仿宋_GB2312" w:cs="仿宋_GB2312" w:hint="eastAsia"/>
          <w:kern w:val="2"/>
          <w:position w:val="0"/>
          <w:sz w:val="32"/>
          <w:szCs w:val="32"/>
        </w:rPr>
        <w:t>无</w:t>
      </w:r>
    </w:p>
    <w:p>
      <w:pPr>
        <w:pStyle w:val="16"/>
        <w:tabs>
          <w:tab w:val="left" w:pos="2160"/>
        </w:tabs>
        <w:spacing w:line="576" w:lineRule="exact"/>
        <w:ind w:firstLineChars="200" w:firstLine="622"/>
        <w:jc w:val="both"/>
        <w:rPr>
          <w:rFonts w:ascii="黑体"/>
          <w:sz w:val="32"/>
          <w:szCs w:val="32"/>
          <w:lang w:val="zh-CN"/>
        </w:rPr>
      </w:pPr>
      <w:r>
        <w:rPr>
          <w:rFonts w:ascii="黑体" w:hint="eastAsia"/>
          <w:sz w:val="32"/>
          <w:szCs w:val="32"/>
          <w:lang w:val="zh-CN"/>
        </w:rPr>
        <w:t>六、改进建议</w:t>
      </w:r>
    </w:p>
    <w:p>
      <w:pPr>
        <w:pStyle w:val="16"/>
        <w:tabs>
          <w:tab w:val="left" w:pos="2160"/>
        </w:tabs>
        <w:spacing w:line="576" w:lineRule="exact"/>
        <w:ind w:firstLineChars="200" w:firstLine="622"/>
        <w:jc w:val="both"/>
        <w:rPr>
          <w:color w:val="000000"/>
          <w:shd w:val="clear" w:color="auto" w:fill="FFFFFF"/>
          <w:lang w:val="zh-CN"/>
        </w:rPr>
      </w:pPr>
      <w:bookmarkStart w:id="1" w:name="_Hlk110546638"/>
      <w:r>
        <w:rPr>
          <w:rFonts w:ascii="仿宋_GB2312" w:eastAsia="仿宋_GB2312" w:cs="仿宋_GB2312" w:hint="eastAsia"/>
          <w:kern w:val="2"/>
          <w:position w:val="0"/>
          <w:sz w:val="32"/>
          <w:szCs w:val="32"/>
        </w:rPr>
        <w:t>无</w:t>
      </w:r>
      <w:bookmarkEnd w:id="1"/>
    </w:p>
    <w:p>
      <w:pPr>
        <w:pStyle w:val="16"/>
        <w:tabs>
          <w:tab w:val="left" w:pos="2160"/>
        </w:tabs>
        <w:spacing w:line="576" w:lineRule="exact"/>
        <w:ind w:firstLineChars="200" w:firstLine="622"/>
        <w:jc w:val="both"/>
        <w:rPr>
          <w:rFonts w:ascii="仿宋_GB2312" w:eastAsia="仿宋_GB2312" w:cs="仿宋_GB2312"/>
          <w:kern w:val="2"/>
          <w:position w:val="0"/>
          <w:sz w:val="32"/>
          <w:szCs w:val="32"/>
        </w:rPr>
      </w:pPr>
      <w:r>
        <w:rPr>
          <w:rFonts w:ascii="仿宋_GB2312" w:eastAsia="仿宋_GB2312" w:cs="仿宋_GB2312" w:hint="eastAsia"/>
          <w:kern w:val="2"/>
          <w:position w:val="0"/>
          <w:sz w:val="32"/>
          <w:szCs w:val="32"/>
        </w:rPr>
        <w:t>附表：1.项目资金分配涉及所有点位自评得分情况表</w:t>
      </w:r>
    </w:p>
    <w:p>
      <w:pPr>
        <w:pStyle w:val="16"/>
        <w:tabs>
          <w:tab w:val="left" w:pos="2160"/>
        </w:tabs>
        <w:spacing w:line="576" w:lineRule="exact"/>
        <w:ind w:firstLineChars="500" w:firstLine="1555"/>
        <w:jc w:val="both"/>
        <w:rPr>
          <w:rFonts w:ascii="仿宋_GB2312" w:eastAsia="仿宋_GB2312" w:cs="仿宋_GB2312"/>
          <w:kern w:val="2"/>
          <w:position w:val="0"/>
          <w:sz w:val="32"/>
          <w:szCs w:val="32"/>
        </w:rPr>
      </w:pPr>
      <w:r>
        <w:rPr>
          <w:rFonts w:ascii="仿宋_GB2312" w:eastAsia="仿宋_GB2312" w:cs="仿宋_GB2312" w:hint="eastAsia"/>
          <w:kern w:val="2"/>
          <w:position w:val="0"/>
          <w:sz w:val="32"/>
          <w:szCs w:val="32"/>
        </w:rPr>
        <w:t>2.专项预算项目绩效目标完成情况自评表</w:t>
      </w:r>
    </w:p>
    <w:p>
      <w:pPr>
        <w:spacing w:line="576" w:lineRule="exact"/>
        <w:ind w:firstLineChars="1300" w:firstLine="4043"/>
        <w:rPr>
          <w:rFonts w:ascii="仿宋_GB2312" w:eastAsia="仿宋_GB2312" w:cs="仿宋_GB2312"/>
          <w:sz w:val="32"/>
          <w:szCs w:val="32"/>
        </w:rPr>
      </w:pPr>
      <w:r>
        <w:rPr>
          <w:rFonts w:ascii="仿宋_GB2312" w:eastAsia="仿宋_GB2312" w:cs="仿宋_GB2312"/>
          <w:sz w:val="32"/>
          <w:szCs w:val="32"/>
        </w:rPr>
        <w:drawing>
          <wp:anchor distT="0" distB="0" distL="114300" distR="114300" simplePos="0" relativeHeight="15" behindDoc="0" locked="0" layoutInCell="1" hidden="0" allowOverlap="1">
            <wp:simplePos x="0" y="0"/>
            <wp:positionH relativeFrom="column">
              <wp:posOffset>3488055</wp:posOffset>
            </wp:positionH>
            <wp:positionV relativeFrom="paragraph">
              <wp:posOffset>54610</wp:posOffset>
            </wp:positionV>
            <wp:extent cx="1638299" cy="1619250"/>
            <wp:effectExtent l="0" t="0" r="0" b="0"/>
            <wp:wrapNone/>
            <wp:docPr id="3" name="图片 2" descr="公章电子章"/>
            <wp:cNvGraphicFramePr>
              <a:graphicFrameLocks noChangeAspect="1"/>
            </wp:cNvGraphicFramePr>
            <a:graphic>
              <a:graphicData uri="http://schemas.openxmlformats.org/drawingml/2006/picture">
                <pic:pic>
                  <pic:nvPicPr>
                    <pic:cNvPr id="5" name="图片 2 5"/>
                    <pic:cNvPicPr/>
                  </pic:nvPicPr>
                  <pic:blipFill>
                    <a:blip r:embed="rId2"/>
                    <a:stretch>
                      <a:fillRect/>
                    </a:stretch>
                  </pic:blipFill>
                  <pic:spPr>
                    <a:xfrm rot="0">
                      <a:off x="0" y="0"/>
                      <a:ext cx="1638299" cy="1619250"/>
                    </a:xfrm>
                    <a:prstGeom prst="rect"/>
                    <a:noFill/>
                    <a:ln w="9525" cmpd="sng" cap="flat">
                      <a:noFill/>
                      <a:prstDash val="solid"/>
                      <a:round/>
                    </a:ln>
                  </pic:spPr>
                </pic:pic>
              </a:graphicData>
            </a:graphic>
          </wp:anchor>
        </w:drawing>
      </w:r>
    </w:p>
    <w:p>
      <w:pPr>
        <w:spacing w:line="576" w:lineRule="exact"/>
        <w:rPr>
          <w:rFonts w:ascii="仿宋_GB2312" w:eastAsia="仿宋_GB2312" w:cs="仿宋_GB2312"/>
          <w:sz w:val="32"/>
          <w:szCs w:val="32"/>
        </w:rPr>
      </w:pPr>
    </w:p>
    <w:p>
      <w:pPr>
        <w:spacing w:line="576" w:lineRule="exact"/>
        <w:ind w:firstLineChars="1600" w:firstLine="4976"/>
        <w:rPr>
          <w:rFonts w:ascii="仿宋_GB2312" w:eastAsia="仿宋_GB2312" w:cs="仿宋_GB2312"/>
          <w:sz w:val="32"/>
          <w:szCs w:val="32"/>
        </w:rPr>
      </w:pPr>
      <w:r>
        <w:rPr>
          <w:rFonts w:ascii="仿宋_GB2312" w:eastAsia="仿宋_GB2312" w:cs="仿宋_GB2312" w:hint="eastAsia"/>
          <w:sz w:val="32"/>
          <w:szCs w:val="32"/>
        </w:rPr>
        <w:t>黑水县石碉楼乡人民政府</w:t>
      </w:r>
    </w:p>
    <w:p>
      <w:pPr>
        <w:spacing w:line="576" w:lineRule="exact"/>
        <w:ind w:firstLineChars="1700" w:firstLine="5287"/>
        <w:rPr>
          <w:rFonts w:ascii="仿宋_GB2312" w:eastAsia="仿宋_GB2312" w:cs="仿宋_GB2312"/>
          <w:sz w:val="32"/>
          <w:szCs w:val="32"/>
        </w:rPr>
      </w:pPr>
      <w:r>
        <w:rPr>
          <w:rFonts w:ascii="仿宋_GB2312" w:eastAsia="仿宋_GB2312" w:cs="仿宋_GB2312" w:hint="eastAsia"/>
          <w:sz w:val="32"/>
          <w:szCs w:val="32"/>
        </w:rPr>
        <w:t>2025年4月29日</w:t>
      </w:r>
    </w:p>
    <w:p>
      <w:pPr>
        <w:ind w:firstLineChars="1400" w:firstLine="4354"/>
        <w:jc w:val="left"/>
        <w:rPr>
          <w:rFonts w:ascii="仿宋_GB2312" w:eastAsia="仿宋_GB2312" w:cs="仿宋_GB2312"/>
          <w:color w:val="FFC000"/>
          <w:sz w:val="32"/>
          <w:szCs w:val="32"/>
        </w:rPr>
      </w:pPr>
    </w:p>
    <w:p>
      <w:pPr>
        <w:pStyle w:val="21"/>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21"/>
        <w:rPr>
          <w:rFonts w:ascii="仿宋_GB2312" w:eastAsia="仿宋_GB2312" w:cs="仿宋_GB2312"/>
          <w:color w:val="FFC000"/>
          <w:sz w:val="32"/>
          <w:szCs w:val="32"/>
        </w:rPr>
      </w:pPr>
    </w:p>
    <w:p>
      <w:pPr>
        <w:rPr>
          <w:rFonts w:ascii="仿宋_GB2312" w:eastAsia="仿宋_GB2312" w:cs="仿宋_GB2312"/>
          <w:color w:val="FFC000"/>
          <w:sz w:val="32"/>
          <w:szCs w:val="32"/>
        </w:rPr>
      </w:pPr>
    </w:p>
    <w:p>
      <w:pPr>
        <w:pStyle w:val="21"/>
        <w:rPr>
          <w:rFonts w:ascii="仿宋_GB2312" w:eastAsia="仿宋_GB2312" w:cs="仿宋_GB2312"/>
          <w:color w:val="FFC000"/>
          <w:sz w:val="32"/>
          <w:szCs w:val="32"/>
        </w:rPr>
      </w:pPr>
    </w:p>
    <w:p>
      <w:pPr>
        <w:rPr>
          <w:rFonts w:ascii="仿宋_GB2312" w:eastAsia="仿宋_GB2312" w:cs="仿宋_GB2312"/>
          <w:color w:val="FFC000"/>
          <w:sz w:val="32"/>
          <w:szCs w:val="32"/>
        </w:rPr>
      </w:pPr>
    </w:p>
    <w:p>
      <w:pPr>
        <w:pBdr>
          <w:top w:val="single" w:sz="6" w:space="1" w:color="auto"/>
          <w:bottom w:val="single" w:sz="6" w:space="1" w:color="auto"/>
        </w:pBdr>
        <w:rPr>
          <w:rFonts w:ascii="黑体" w:eastAsia="黑体" w:cs="黑体"/>
          <w:kern w:val="0"/>
          <w:sz w:val="32"/>
          <w:szCs w:val="32"/>
          <w:shd w:val="clear" w:color="auto" w:fill="FFFFFF"/>
          <w:lang w:val="zh-CN"/>
        </w:rPr>
      </w:pPr>
      <w:r>
        <w:rPr>
          <w:rFonts w:ascii="仿宋" w:eastAsia="仿宋" w:cs="仿宋" w:hint="eastAsia"/>
          <w:sz w:val="32"/>
          <w:szCs w:val="32"/>
        </w:rPr>
        <w:t>石碉楼乡人民政府                    2025年4月29日</w:t>
      </w:r>
    </w:p>
    <w:p>
      <w:pPr>
        <w:rPr>
          <w:rFonts w:ascii="仿宋_GB2312" w:eastAsia="仿宋_GB2312" w:cs="仿宋_GB2312"/>
          <w:color w:val="FFC000"/>
          <w:sz w:val="32"/>
          <w:szCs w:val="32"/>
        </w:rPr>
      </w:pPr>
    </w:p>
    <w:p>
      <w:pPr>
        <w:pStyle w:val="21"/>
      </w:pPr>
    </w:p>
    <w:p>
      <w:pPr>
        <w:snapToGrid w:val="0"/>
        <w:spacing w:line="578" w:lineRule="exact"/>
        <w:rPr>
          <w:rFonts w:ascii="黑体" w:eastAsia="黑体" w:cs="黑体"/>
          <w:kern w:val="0"/>
          <w:shd w:val="clear" w:color="auto" w:fill="FFFFFF"/>
          <w:lang w:val="zh-CN"/>
        </w:rPr>
      </w:pPr>
      <w:r>
        <w:rPr>
          <w:rFonts w:ascii="仿宋_GB2312" w:cs="仿宋_GB2312" w:hAnsi="仿宋_GB2312" w:hint="eastAsia"/>
          <w:kern w:val="0"/>
          <w:lang w:val="zh-CN"/>
        </w:rPr>
        <w:t>附表</w:t>
      </w:r>
      <w:r>
        <w:rPr>
          <w:rFonts w:ascii="仿宋_GB2312" w:cs="仿宋_GB2312" w:hAnsi="仿宋_GB2312" w:hint="eastAsia"/>
          <w:kern w:val="0"/>
        </w:rPr>
        <w:t>1</w:t>
      </w:r>
    </w:p>
    <w:p>
      <w:pPr>
        <w:spacing w:line="578" w:lineRule="exact"/>
        <w:jc w:val="center"/>
        <w:rPr>
          <w:rFonts w:ascii="方正小标宋_GBK" w:eastAsia="方正小标宋_GBK" w:cs="方正小标宋_GBK"/>
          <w:sz w:val="40"/>
          <w:szCs w:val="40"/>
        </w:rPr>
      </w:pPr>
    </w:p>
    <w:p>
      <w:pPr>
        <w:spacing w:line="578" w:lineRule="exact"/>
        <w:jc w:val="center"/>
        <w:rPr>
          <w:rFonts w:ascii="方正小标宋_GBK" w:eastAsia="方正小标宋_GBK" w:cs="方正小标宋_GBK"/>
          <w:sz w:val="40"/>
          <w:szCs w:val="40"/>
        </w:rPr>
      </w:pPr>
      <w:r>
        <w:rPr>
          <w:rFonts w:ascii="方正小标宋_GBK" w:eastAsia="方正小标宋_GBK" w:cs="方正小标宋_GBK" w:hint="eastAsia"/>
          <w:sz w:val="40"/>
          <w:szCs w:val="40"/>
        </w:rPr>
        <w:t>项目资金分配涉及所有点位自评得分情况表</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23"/>
        <w:gridCol w:w="3843"/>
        <w:gridCol w:w="2861"/>
        <w:gridCol w:w="993"/>
      </w:tblGrid>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序号</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项目资金末端分配点位</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自评得分（百分制）</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黑体" w:eastAsia="黑体" w:cs="黑体"/>
                <w:sz w:val="24"/>
              </w:rPr>
            </w:pPr>
            <w:r>
              <w:rPr>
                <w:rFonts w:ascii="黑体" w:eastAsia="黑体" w:cs="黑体" w:hint="eastAsia"/>
                <w:sz w:val="24"/>
              </w:rPr>
              <w:t>备注</w:t>
            </w:r>
          </w:p>
        </w:tc>
      </w:tr>
      <w:tr>
        <w:trPr>
          <w:trHeight w:hRule="exact" w:val="283"/>
        </w:trPr>
        <w:tc>
          <w:tcPr>
            <w:tcW w:w="1123" w:type="dxa"/>
            <w:tcBorders>
              <w:top w:val="single" w:sz="4" w:space="0" w:color="auto"/>
              <w:left w:val="single" w:sz="4" w:space="0" w:color="auto"/>
              <w:bottom w:val="single" w:sz="4" w:space="0" w:color="auto"/>
              <w:right w:val="single" w:sz="4" w:space="0" w:color="auto"/>
            </w:tcBorders>
            <w:noWrap/>
          </w:tcPr>
          <w:p>
            <w:pPr>
              <w:spacing w:line="300" w:lineRule="exact"/>
              <w:jc w:val="center"/>
              <w:rPr>
                <w:rFonts w:ascii="宋体" w:cs="宋体"/>
                <w:sz w:val="24"/>
              </w:rPr>
            </w:pPr>
            <w:r>
              <w:rPr>
                <w:rFonts w:ascii="宋体" w:cs="宋体" w:hint="eastAsia"/>
                <w:sz w:val="24"/>
              </w:rPr>
              <w:t>1</w:t>
            </w:r>
          </w:p>
        </w:tc>
        <w:tc>
          <w:tcPr>
            <w:tcW w:w="384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eastAsia="仿宋_GB2312" w:cs="宋体" w:hAnsi="宋体"/>
                <w:sz w:val="24"/>
              </w:rPr>
            </w:pPr>
            <w:r>
              <w:rPr>
                <w:rFonts w:ascii="宋体" w:cs="宋体" w:hint="eastAsia"/>
                <w:sz w:val="24"/>
              </w:rPr>
              <w:t>黑水县石碉楼乡人民政府</w:t>
            </w:r>
          </w:p>
        </w:tc>
        <w:tc>
          <w:tcPr>
            <w:tcW w:w="2861"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eastAsia="仿宋_GB2312" w:cs="宋体" w:hAnsi="宋体"/>
                <w:sz w:val="24"/>
              </w:rPr>
            </w:pPr>
            <w:r>
              <w:rPr>
                <w:rFonts w:ascii="宋体" w:cs="宋体" w:hint="eastAsia"/>
                <w:sz w:val="24"/>
              </w:rPr>
              <w:t>9</w:t>
            </w:r>
            <w:r>
              <w:rPr>
                <w:rFonts w:ascii="宋体" w:cs="宋体"/>
                <w:sz w:val="24"/>
              </w:rPr>
              <w:t>7</w:t>
            </w:r>
          </w:p>
        </w:tc>
        <w:tc>
          <w:tcPr>
            <w:tcW w:w="993" w:type="dxa"/>
            <w:tcBorders>
              <w:top w:val="single" w:sz="4" w:space="0" w:color="auto"/>
              <w:left w:val="single" w:sz="4" w:space="0" w:color="auto"/>
              <w:bottom w:val="single" w:sz="4" w:space="0" w:color="auto"/>
              <w:right w:val="single" w:sz="4" w:space="0" w:color="auto"/>
            </w:tcBorders>
            <w:noWrap/>
          </w:tcPr>
          <w:p>
            <w:pPr>
              <w:spacing w:line="300" w:lineRule="exact"/>
              <w:rPr>
                <w:rFonts w:ascii="宋体" w:cs="宋体"/>
                <w:sz w:val="24"/>
              </w:rPr>
            </w:pPr>
          </w:p>
        </w:tc>
      </w:tr>
    </w:tbl>
    <w:p>
      <w:pPr>
        <w:spacing w:line="400" w:lineRule="exact"/>
        <w:jc w:val="left"/>
        <w:rPr>
          <w:rFonts w:ascii="宋体" w:cs="宋体"/>
          <w:szCs w:val="21"/>
        </w:rPr>
      </w:pPr>
      <w:r>
        <w:rPr>
          <w:rFonts w:ascii="宋体" w:cs="宋体" w:hint="eastAsia"/>
          <w:szCs w:val="21"/>
        </w:rPr>
        <w:t>备注：1.项目资金末端分配点位包括市（州）本级、县（市、区）、省级部门下属单位及一次性单位等。</w:t>
      </w:r>
    </w:p>
    <w:p>
      <w:pPr>
        <w:spacing w:line="400" w:lineRule="exact"/>
        <w:ind w:firstLineChars="300" w:firstLine="603"/>
        <w:jc w:val="left"/>
        <w:rPr>
          <w:rFonts w:ascii="宋体" w:cs="宋体"/>
          <w:szCs w:val="21"/>
        </w:rPr>
      </w:pPr>
      <w:r>
        <w:rPr>
          <w:rFonts w:ascii="宋体" w:cs="宋体" w:hint="eastAsia"/>
          <w:szCs w:val="21"/>
        </w:rPr>
        <w:t>2.自评得分（百分制）从高到低划分为优、良、中、差四个档次，各个档次数量占比分别为20%、20%、55%、5%，且不同档次间得分分值应体现差异化，同档次得分分值相同的比例不超过该档次总数量的10%。</w:t>
      </w:r>
    </w:p>
    <w:p>
      <w:pPr>
        <w:rPr>
          <w:rFonts w:ascii="仿宋_GB2312" w:cs="仿宋_GB2312" w:hAnsi="仿宋_GB2312"/>
          <w:kern w:val="0"/>
        </w:rPr>
      </w:pPr>
      <w:r>
        <w:rPr>
          <w:rFonts w:hint="eastAsia"/>
        </w:rPr>
        <w:br w:type="page"/>
      </w:r>
      <w:r>
        <w:rPr>
          <w:rFonts w:ascii="仿宋_GB2312" w:cs="仿宋_GB2312" w:hAnsi="仿宋_GB2312" w:hint="eastAsia"/>
          <w:kern w:val="0"/>
        </w:rPr>
        <w:t>附表2</w:t>
      </w:r>
    </w:p>
    <w:tbl>
      <w:tblPr>
        <w:jc w:val="center"/>
        <w:tblW w:w="1023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rPr>
          <w:trHeight w:val="576"/>
        </w:trPr>
        <w:tc>
          <w:tcPr>
            <w:tcW w:w="10233" w:type="dxa"/>
            <w:gridSpan w:val="9"/>
            <w:tcBorders>
              <w:top w:val="nil"/>
              <w:left w:val="nil"/>
              <w:bottom w:val="nil"/>
              <w:right w:val="nil"/>
            </w:tcBorders>
            <w:noWrap/>
            <w:vAlign w:val="center"/>
          </w:tcPr>
          <w:p>
            <w:pPr>
              <w:widowControl/>
              <w:spacing w:line="600" w:lineRule="exact"/>
              <w:jc w:val="center"/>
              <w:textAlignment w:val="center"/>
              <w:rPr>
                <w:rFonts w:ascii="黑体" w:eastAsia="黑体" w:cs="黑体"/>
                <w:color w:val="000000"/>
                <w:sz w:val="30"/>
                <w:szCs w:val="30"/>
              </w:rPr>
            </w:pPr>
            <w:r>
              <w:rPr>
                <w:rFonts w:ascii="方正小标宋简体" w:eastAsia="方正小标宋简体" w:cs="方正小标宋简体" w:hint="eastAsia"/>
                <w:color w:val="000000"/>
                <w:kern w:val="0"/>
                <w:sz w:val="40"/>
                <w:szCs w:val="40"/>
              </w:rPr>
              <w:t>专项预算项目绩效目标完成情况自评表</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项目名称</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石碉楼乡捐赠资金项目</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预算单位</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黑水县石碉楼乡人民政府</w:t>
            </w:r>
          </w:p>
        </w:tc>
      </w:tr>
      <w:tr>
        <w:trPr>
          <w:trHeight w:val="23"/>
        </w:trPr>
        <w:tc>
          <w:tcPr>
            <w:tcW w:w="4295" w:type="dxa"/>
            <w:gridSpan w:val="4"/>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项目类型</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tabs>
                <w:tab w:val="center" w:pos="2954"/>
              </w:tabs>
              <w:spacing w:line="300" w:lineRule="exact"/>
              <w:jc w:val="left"/>
              <w:textAlignment w:val="center"/>
              <w:rPr>
                <w:rFonts w:eastAsia="仿宋_GB2312"/>
                <w:szCs w:val="28"/>
              </w:rPr>
            </w:pPr>
            <w:r>
              <w:rPr>
                <w:rFonts w:ascii="宋体" w:cs="宋体" w:hint="eastAsia"/>
                <w:color w:val="000000"/>
                <w:kern w:val="0"/>
                <w:sz w:val="24"/>
              </w:rPr>
              <w:t>一次性项目</w:t>
              <w:tab/>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项目 概况</w:t>
            </w: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hint="eastAsia"/>
                <w:color w:val="000000"/>
                <w:kern w:val="0"/>
                <w:sz w:val="24"/>
              </w:rPr>
              <w:t>常年项目）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资金管理办法（名称、文号）</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绩效分配方式</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hint="eastAsia"/>
                <w:color w:val="000000"/>
                <w:kern w:val="0"/>
                <w:sz w:val="24"/>
              </w:rPr>
              <w:t>因素法</w:t>
            </w:r>
          </w:p>
        </w:tc>
        <w:tc>
          <w:tcPr>
            <w:tcW w:w="203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项目法</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Wingdings 2" w:eastAsia="Wingdings 2" w:cs="Wingdings 2" w:hAnsi="Wingdings 2"/>
                <w:color w:val="000000"/>
                <w:kern w:val="0"/>
                <w:sz w:val="24"/>
              </w:rPr>
              <w:t></w:t>
            </w:r>
            <w:r>
              <w:rPr>
                <w:rFonts w:ascii="宋体" w:cs="宋体" w:hint="eastAsia"/>
                <w:color w:val="000000"/>
                <w:kern w:val="0"/>
                <w:sz w:val="24"/>
              </w:rPr>
              <w:t>据实据效</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Wingdings 2" w:eastAsia="Wingdings 2" w:cs="Wingdings 2" w:hAnsi="Wingdings 2"/>
                <w:color w:val="000000"/>
                <w:sz w:val="24"/>
              </w:rPr>
            </w:pPr>
            <w:r>
              <w:rPr>
                <w:rFonts w:ascii="Arial" w:cs="Arial" w:hAnsi="Arial"/>
                <w:color w:val="000000"/>
                <w:kern w:val="0"/>
                <w:sz w:val="24"/>
              </w:rPr>
              <w:t>√</w:t>
            </w:r>
            <w:r>
              <w:rPr>
                <w:rFonts w:ascii="宋体" w:cs="宋体" w:hint="eastAsia"/>
                <w:color w:val="000000"/>
                <w:kern w:val="0"/>
                <w:sz w:val="24"/>
              </w:rPr>
              <w:t>因素法与项目法相结合</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立项依据</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ind w:firstLine="590"/>
              <w:jc w:val="left"/>
              <w:textAlignment w:val="center"/>
              <w:rPr>
                <w:rFonts w:ascii="宋体" w:cs="宋体"/>
                <w:color w:val="000000"/>
                <w:kern w:val="0"/>
                <w:sz w:val="24"/>
              </w:rPr>
            </w:pP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使用范围</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黑水县石碉楼乡华润捐赠金，实施范围为扎基村、丁寨村、木须村、俄尔村、瓦洛村、苦瓜村。主要用于公益性岗位、村级基础设施建设、村级专项资金等</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申报（补助）条件</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spacing w:line="300" w:lineRule="exact"/>
              <w:jc w:val="left"/>
              <w:rPr>
                <w:rFonts w:ascii="宋体" w:cs="宋体"/>
                <w:color w:val="000000"/>
                <w:sz w:val="24"/>
              </w:rPr>
            </w:pPr>
            <w:r>
              <w:rPr>
                <w:rFonts w:ascii="宋体" w:cs="宋体" w:hint="eastAsia"/>
                <w:color w:val="000000"/>
                <w:sz w:val="24"/>
              </w:rPr>
              <w:t>无。</w:t>
            </w:r>
          </w:p>
        </w:tc>
      </w:tr>
      <w:tr>
        <w:trPr>
          <w:trHeight w:val="441"/>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3643" w:type="dxa"/>
            <w:gridSpan w:val="3"/>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项目起止年限</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hint="eastAsia"/>
                <w:color w:val="000000"/>
                <w:kern w:val="0"/>
                <w:sz w:val="24"/>
              </w:rPr>
              <w:t>2024年1月至</w:t>
            </w:r>
            <w:r>
              <w:rPr>
                <w:color w:val="000000"/>
                <w:kern w:val="0"/>
                <w:sz w:val="24"/>
              </w:rPr>
              <w:t>202</w:t>
            </w:r>
            <w:r>
              <w:rPr>
                <w:rFonts w:hint="eastAsia"/>
                <w:color w:val="000000"/>
                <w:kern w:val="0"/>
                <w:sz w:val="24"/>
              </w:rPr>
              <w:t>4年12月</w:t>
            </w:r>
          </w:p>
        </w:tc>
      </w:tr>
      <w:tr>
        <w:trPr>
          <w:trHeight w:val="23"/>
        </w:trPr>
        <w:tc>
          <w:tcPr>
            <w:tcW w:w="1733" w:type="dxa"/>
            <w:gridSpan w:val="2"/>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hint="eastAsia"/>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hint="eastAsia"/>
                <w:color w:val="000000"/>
                <w:kern w:val="0"/>
                <w:sz w:val="24"/>
              </w:rPr>
              <w:t>（万元）</w:t>
            </w: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 xml:space="preserve">  年度资金总额：</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color w:val="000000"/>
                <w:kern w:val="0"/>
                <w:sz w:val="24"/>
              </w:rPr>
            </w:pPr>
            <w:r>
              <w:rPr>
                <w:rFonts w:hint="eastAsia"/>
                <w:color w:val="000000"/>
                <w:kern w:val="0"/>
                <w:sz w:val="24"/>
              </w:rPr>
              <w:t>13.74</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 xml:space="preserve">      其中：财政拨款</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color w:val="000000"/>
                <w:kern w:val="0"/>
                <w:sz w:val="24"/>
              </w:rPr>
            </w:pPr>
            <w:r>
              <w:rPr>
                <w:rFonts w:hint="eastAsia"/>
                <w:color w:val="000000"/>
                <w:kern w:val="0"/>
                <w:sz w:val="24"/>
              </w:rPr>
              <w:t>13.74</w:t>
            </w:r>
          </w:p>
        </w:tc>
      </w:tr>
      <w:tr>
        <w:trPr>
          <w:trHeight w:val="23"/>
        </w:trPr>
        <w:tc>
          <w:tcPr>
            <w:tcW w:w="1733" w:type="dxa"/>
            <w:gridSpan w:val="2"/>
            <w:vMerge/>
            <w:tcBorders>
              <w:top w:val="single" w:sz="4" w:space="0" w:color="000000"/>
              <w:left w:val="single" w:sz="4" w:space="0" w:color="000000"/>
              <w:bottom w:val="single" w:sz="4" w:space="0" w:color="000000"/>
              <w:right w:val="single" w:sz="4" w:space="0" w:color="000000"/>
            </w:tcBorders>
            <w:noWrap/>
            <w:vAlign w:val="center"/>
          </w:tcPr>
          <w:p/>
        </w:tc>
        <w:tc>
          <w:tcPr>
            <w:tcW w:w="2562" w:type="dxa"/>
            <w:gridSpan w:val="2"/>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sz w:val="24"/>
              </w:rPr>
            </w:pPr>
            <w:r>
              <w:rPr>
                <w:rFonts w:ascii="宋体" w:cs="宋体" w:hint="eastAsia"/>
                <w:color w:val="000000"/>
                <w:kern w:val="0"/>
                <w:sz w:val="24"/>
              </w:rPr>
              <w:t xml:space="preserve">            其他资金</w:t>
            </w:r>
          </w:p>
        </w:tc>
        <w:tc>
          <w:tcPr>
            <w:tcW w:w="5938" w:type="dxa"/>
            <w:gridSpan w:val="5"/>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rPr>
          <w:trHeight w:val="23"/>
        </w:trPr>
        <w:tc>
          <w:tcPr>
            <w:tcW w:w="652" w:type="dxa"/>
            <w:vMerge w:val="restart"/>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总体 目标</w:t>
            </w: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kern w:val="0"/>
                <w:sz w:val="24"/>
              </w:rPr>
            </w:pPr>
            <w:r>
              <w:rPr>
                <w:rFonts w:ascii="宋体" w:cs="宋体" w:hint="eastAsia"/>
                <w:color w:val="000000"/>
                <w:kern w:val="0"/>
                <w:sz w:val="24"/>
              </w:rPr>
              <w:t>年度目标</w:t>
            </w:r>
          </w:p>
        </w:tc>
      </w:tr>
      <w:tr>
        <w:trPr>
          <w:trHeight w:val="23"/>
        </w:trPr>
        <w:tc>
          <w:tcPr>
            <w:tcW w:w="652" w:type="dxa"/>
            <w:vMerge/>
            <w:tcBorders>
              <w:top w:val="single" w:sz="4" w:space="0" w:color="000000"/>
              <w:left w:val="single" w:sz="4" w:space="0" w:color="000000"/>
              <w:bottom w:val="single" w:sz="4" w:space="0" w:color="000000"/>
              <w:right w:val="single" w:sz="4" w:space="0" w:color="000000"/>
            </w:tcBorders>
            <w:noWrap/>
            <w:vAlign w:val="center"/>
          </w:tcPr>
          <w:p/>
        </w:tc>
        <w:tc>
          <w:tcPr>
            <w:tcW w:w="9581" w:type="dxa"/>
            <w:gridSpan w:val="8"/>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left"/>
              <w:textAlignment w:val="center"/>
              <w:rPr>
                <w:rFonts w:ascii="宋体" w:cs="宋体"/>
                <w:color w:val="000000"/>
                <w:kern w:val="0"/>
                <w:sz w:val="24"/>
              </w:rPr>
            </w:pPr>
            <w:r>
              <w:rPr>
                <w:rFonts w:ascii="宋体" w:cs="宋体" w:hint="eastAsia"/>
                <w:color w:val="000000"/>
                <w:kern w:val="0"/>
                <w:sz w:val="24"/>
              </w:rPr>
              <w:t>黑水县石碉楼乡华润捐赠资金，重点用于保障辖区2个村工作顺利开展</w:t>
            </w:r>
          </w:p>
          <w:p>
            <w:pPr>
              <w:widowControl/>
              <w:spacing w:line="300" w:lineRule="exact"/>
              <w:jc w:val="left"/>
              <w:textAlignment w:val="center"/>
              <w:rPr>
                <w:rFonts w:ascii="宋体" w:cs="宋体"/>
                <w:color w:val="000000"/>
                <w:kern w:val="0"/>
                <w:sz w:val="24"/>
              </w:rPr>
            </w:pPr>
          </w:p>
        </w:tc>
      </w:tr>
      <w:tr>
        <w:trPr>
          <w:trHeight w:val="23"/>
        </w:trPr>
        <w:tc>
          <w:tcPr>
            <w:tcW w:w="652" w:type="dxa"/>
            <w:vMerge w:val="restart"/>
            <w:tcBorders>
              <w:top w:val="single" w:sz="4" w:space="0" w:color="000000"/>
              <w:left w:val="single" w:sz="4" w:space="0" w:color="000000"/>
              <w:bottom w:val="single" w:sz="4" w:space="0" w:color="000000"/>
              <w:right w:val="nil"/>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绩效 指标</w:t>
            </w:r>
          </w:p>
        </w:tc>
        <w:tc>
          <w:tcPr>
            <w:tcW w:w="108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一级指标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二级指标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三级指标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指标性质</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指标值</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度量单位</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权重</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spacing w:line="300" w:lineRule="exact"/>
              <w:jc w:val="center"/>
              <w:textAlignment w:val="center"/>
              <w:rPr>
                <w:rFonts w:ascii="宋体" w:cs="宋体"/>
                <w:color w:val="000000"/>
                <w:sz w:val="24"/>
              </w:rPr>
            </w:pPr>
            <w:r>
              <w:rPr>
                <w:rFonts w:ascii="宋体" w:cs="宋体" w:hint="eastAsia"/>
                <w:color w:val="000000"/>
                <w:kern w:val="0"/>
                <w:sz w:val="24"/>
              </w:rPr>
              <w:t>实际完成指标值</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single" w:sz="4" w:space="0" w:color="000000"/>
              <w:left w:val="single" w:sz="4" w:space="0" w:color="000000"/>
              <w:bottom w:val="nil"/>
              <w:right w:val="single" w:sz="4" w:space="0" w:color="000000"/>
            </w:tcBorders>
            <w:noWrap/>
            <w:vAlign w:val="center"/>
          </w:tcPr>
          <w:p>
            <w:pPr>
              <w:widowControl/>
              <w:jc w:val="left"/>
              <w:textAlignment w:val="center"/>
              <w:rPr>
                <w:rFonts w:ascii="宋体" w:cs="宋体"/>
                <w:color w:val="000000"/>
                <w:sz w:val="24"/>
              </w:rPr>
            </w:pPr>
            <w:r>
              <w:rPr>
                <w:rFonts w:ascii="等线" w:eastAsia="等线" w:cs="等线" w:hint="eastAsia"/>
                <w:color w:val="000000"/>
                <w:kern w:val="0"/>
                <w:sz w:val="18"/>
                <w:szCs w:val="18"/>
              </w:rPr>
              <w:t>产出指标</w:t>
            </w:r>
          </w:p>
        </w:tc>
        <w:tc>
          <w:tcPr>
            <w:tcW w:w="1250" w:type="dxa"/>
            <w:tcBorders>
              <w:top w:val="single" w:sz="4" w:space="0" w:color="000000"/>
              <w:left w:val="single" w:sz="4" w:space="0" w:color="000000"/>
              <w:bottom w:val="nil"/>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质量指标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项目完工率</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100</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100</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nil"/>
              <w:left w:val="single" w:sz="4" w:space="0" w:color="000000"/>
              <w:bottom w:val="nil"/>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产出指标</w:t>
            </w:r>
          </w:p>
        </w:tc>
        <w:tc>
          <w:tcPr>
            <w:tcW w:w="1250" w:type="dxa"/>
            <w:tcBorders>
              <w:top w:val="nil"/>
              <w:left w:val="single" w:sz="4" w:space="0" w:color="000000"/>
              <w:bottom w:val="nil"/>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时效指标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资金拨付时间</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12</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月</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宋体" w:cs="宋体" w:hint="eastAsia"/>
                <w:color w:val="000000"/>
                <w:kern w:val="0"/>
                <w:sz w:val="24"/>
              </w:rPr>
              <w:t>12</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nil"/>
              <w:left w:val="single" w:sz="4" w:space="0" w:color="000000"/>
              <w:bottom w:val="nil"/>
              <w:right w:val="single" w:sz="4" w:space="0" w:color="000000"/>
            </w:tcBorders>
            <w:noWrap/>
            <w:vAlign w:val="center"/>
          </w:tcPr>
          <w:p>
            <w:pPr>
              <w:widowControl/>
              <w:jc w:val="left"/>
              <w:textAlignment w:val="center"/>
              <w:rPr>
                <w:rFonts w:ascii="宋体" w:cs="宋体"/>
                <w:color w:val="000000"/>
                <w:sz w:val="24"/>
              </w:rPr>
            </w:pPr>
            <w:r>
              <w:rPr>
                <w:rFonts w:ascii="等线" w:eastAsia="等线" w:cs="等线" w:hint="eastAsia"/>
                <w:color w:val="000000"/>
                <w:kern w:val="0"/>
                <w:sz w:val="18"/>
                <w:szCs w:val="18"/>
              </w:rPr>
              <w:t>产出指标</w:t>
            </w:r>
          </w:p>
        </w:tc>
        <w:tc>
          <w:tcPr>
            <w:tcW w:w="1250"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惠及贫困村个数</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2</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个</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2</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nil"/>
              <w:left w:val="single" w:sz="4" w:space="0" w:color="000000"/>
              <w:bottom w:val="nil"/>
              <w:right w:val="single" w:sz="4" w:space="0" w:color="000000"/>
            </w:tcBorders>
            <w:noWrap/>
            <w:vAlign w:val="center"/>
          </w:tcPr>
          <w:p>
            <w:pPr>
              <w:widowControl/>
              <w:jc w:val="left"/>
              <w:textAlignment w:val="center"/>
              <w:rPr>
                <w:rFonts w:ascii="宋体" w:cs="宋体"/>
                <w:color w:val="000000"/>
                <w:sz w:val="24"/>
              </w:rPr>
            </w:pPr>
            <w:r>
              <w:rPr>
                <w:rFonts w:ascii="等线" w:eastAsia="等线" w:cs="等线" w:hint="eastAsia"/>
                <w:color w:val="000000"/>
                <w:kern w:val="0"/>
                <w:sz w:val="18"/>
                <w:szCs w:val="18"/>
              </w:rPr>
              <w:t>产出指标</w:t>
            </w:r>
          </w:p>
        </w:tc>
        <w:tc>
          <w:tcPr>
            <w:tcW w:w="1250" w:type="dxa"/>
            <w:tcBorders>
              <w:top w:val="single" w:sz="4" w:space="0" w:color="000000"/>
              <w:left w:val="single" w:sz="4" w:space="0" w:color="000000"/>
              <w:bottom w:val="nil"/>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数量指标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扎基村：22,900.23元 ；丁寨村22,900.23元；木须村：22,900.23元；俄尔村：22,900.23元；瓦洛村：22,900.23元；苦瓜村：22,900.23元</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宋体" w:cs="宋体" w:hint="eastAsia"/>
                <w:color w:val="000000"/>
                <w:kern w:val="0"/>
                <w:sz w:val="18"/>
                <w:szCs w:val="18"/>
              </w:rPr>
              <w:t>13.74</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万元</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10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宋体" w:cs="宋体" w:hint="eastAsia"/>
                <w:color w:val="000000"/>
                <w:kern w:val="0"/>
                <w:sz w:val="18"/>
                <w:szCs w:val="18"/>
              </w:rPr>
              <w:t>137401.38元</w:t>
            </w:r>
          </w:p>
        </w:tc>
      </w:tr>
      <w:tr>
        <w:trPr>
          <w:trHeight w:val="23"/>
        </w:trPr>
        <w:tc>
          <w:tcPr>
            <w:tcW w:w="652" w:type="dxa"/>
            <w:vMerge/>
            <w:tcBorders>
              <w:top w:val="single" w:sz="4" w:space="0" w:color="000000"/>
              <w:left w:val="single" w:sz="4" w:space="0" w:color="000000"/>
              <w:bottom w:val="single" w:sz="4" w:space="0" w:color="000000"/>
              <w:right w:val="nil"/>
            </w:tcBorders>
            <w:noWrap/>
            <w:vAlign w:val="center"/>
          </w:tcPr>
          <w:p/>
        </w:tc>
        <w:tc>
          <w:tcPr>
            <w:tcW w:w="1081" w:type="dxa"/>
            <w:tcBorders>
              <w:top w:val="nil"/>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sz w:val="24"/>
              </w:rPr>
            </w:pPr>
            <w:r>
              <w:rPr>
                <w:rFonts w:ascii="等线" w:eastAsia="等线" w:cs="等线" w:hint="eastAsia"/>
                <w:color w:val="000000"/>
                <w:kern w:val="0"/>
                <w:sz w:val="18"/>
                <w:szCs w:val="18"/>
              </w:rPr>
              <w:t>效益指标</w:t>
            </w:r>
          </w:p>
        </w:tc>
        <w:tc>
          <w:tcPr>
            <w:tcW w:w="1250" w:type="dxa"/>
            <w:tcBorders>
              <w:top w:val="nil"/>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可持续发展指标</w:t>
            </w:r>
          </w:p>
        </w:tc>
        <w:tc>
          <w:tcPr>
            <w:tcW w:w="1312"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等线" w:eastAsia="等线" w:cs="等线" w:hint="eastAsia"/>
                <w:color w:val="000000"/>
                <w:kern w:val="0"/>
                <w:sz w:val="18"/>
                <w:szCs w:val="18"/>
              </w:rPr>
              <w:t>保障群众生产生活</w:t>
            </w:r>
          </w:p>
        </w:tc>
        <w:tc>
          <w:tcPr>
            <w:tcW w:w="1127"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w:t>
            </w:r>
          </w:p>
        </w:tc>
        <w:tc>
          <w:tcPr>
            <w:tcW w:w="97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1</w:t>
            </w:r>
          </w:p>
        </w:tc>
        <w:tc>
          <w:tcPr>
            <w:tcW w:w="1061"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年</w:t>
            </w:r>
          </w:p>
        </w:tc>
        <w:tc>
          <w:tcPr>
            <w:tcW w:w="938" w:type="dxa"/>
            <w:tcBorders>
              <w:top w:val="single" w:sz="4" w:space="0" w:color="000000"/>
              <w:left w:val="single" w:sz="4" w:space="0" w:color="000000"/>
              <w:bottom w:val="single" w:sz="4" w:space="0" w:color="000000"/>
              <w:right w:val="single" w:sz="4" w:space="0" w:color="000000"/>
            </w:tcBorders>
            <w:noWrap/>
            <w:vAlign w:val="center"/>
          </w:tcPr>
          <w:p>
            <w:pPr>
              <w:widowControl/>
              <w:jc w:val="left"/>
              <w:textAlignment w:val="center"/>
              <w:rPr>
                <w:rFonts w:ascii="宋体" w:cs="宋体"/>
                <w:color w:val="000000"/>
                <w:kern w:val="0"/>
                <w:sz w:val="24"/>
              </w:rPr>
            </w:pPr>
            <w:r>
              <w:rPr>
                <w:rFonts w:ascii="等线" w:eastAsia="等线" w:cs="等线" w:hint="eastAsia"/>
                <w:color w:val="000000"/>
                <w:kern w:val="0"/>
                <w:sz w:val="18"/>
                <w:szCs w:val="18"/>
              </w:rPr>
              <w:t>20</w:t>
            </w:r>
          </w:p>
        </w:tc>
        <w:tc>
          <w:tcPr>
            <w:tcW w:w="1841" w:type="dxa"/>
            <w:tcBorders>
              <w:top w:val="single" w:sz="4" w:space="0" w:color="000000"/>
              <w:left w:val="single" w:sz="4" w:space="0" w:color="000000"/>
              <w:bottom w:val="single" w:sz="4" w:space="0" w:color="000000"/>
              <w:right w:val="single" w:sz="4" w:space="0" w:color="000000"/>
            </w:tcBorders>
            <w:noWrap/>
            <w:vAlign w:val="center"/>
          </w:tcPr>
          <w:p>
            <w:pPr>
              <w:widowControl/>
              <w:jc w:val="center"/>
              <w:textAlignment w:val="center"/>
              <w:rPr>
                <w:rFonts w:ascii="宋体" w:cs="宋体"/>
                <w:color w:val="000000"/>
                <w:kern w:val="0"/>
                <w:sz w:val="24"/>
              </w:rPr>
            </w:pPr>
            <w:r>
              <w:rPr>
                <w:rFonts w:ascii="宋体" w:cs="宋体" w:hint="eastAsia"/>
                <w:color w:val="000000"/>
                <w:kern w:val="0"/>
                <w:sz w:val="24"/>
              </w:rPr>
              <w:t>1</w:t>
            </w:r>
          </w:p>
        </w:tc>
      </w:tr>
    </w:tbl>
    <w:p>
      <w:pPr>
        <w:pStyle w:val="20"/>
        <w:spacing w:after="0" w:line="578" w:lineRule="exact"/>
        <w:ind w:leftChars="0" w:left="0" w:firstLineChars="0" w:firstLine="0"/>
        <w:rPr>
          <w:rFonts w:ascii="黑体" w:eastAsia="黑体" w:cs="黑体"/>
          <w:sz w:val="24"/>
          <w:szCs w:val="24"/>
        </w:rPr>
      </w:pPr>
    </w:p>
    <w:p>
      <w:pPr>
        <w:pStyle w:val="21"/>
        <w:rPr>
          <w:rFonts w:ascii="仿宋_GB2312" w:eastAsia="仿宋_GB2312" w:cs="仿宋_GB2312"/>
          <w:color w:val="FFC000"/>
          <w:sz w:val="32"/>
          <w:szCs w:val="32"/>
        </w:rPr>
      </w:pPr>
    </w:p>
    <w:p/>
    <w:sectPr>
      <w:pgSz w:w="11906" w:h="16838"/>
      <w:pgMar w:top="2098" w:right="1474" w:bottom="1984" w:left="1587" w:header="851" w:footer="1587" w:gutter="0"/>
      <w:rtlGutter/>
      <w:docGrid w:type="linesAndChars" w:linePitch="289" w:charSpace="-1839"/>
    </w:sectPr>
  </w:body>
</w:document>
</file>

<file path=word/fontTable.xml><?xml version="1.0" encoding="utf-8"?>
<w:fonts xmlns:w="http://schemas.openxmlformats.org/wordprocessingml/2006/main" xmlns:r="http://schemas.openxmlformats.org/officeDocument/2006/relationships">
  <w:font w:name="宋体">
    <w:altName w:val="AR PL UKai C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variable"/>
    <w:sig w:usb0="00000001" w:usb1="080E0000" w:usb2="00000010" w:usb3="00000000" w:csb0="00040000" w:csb1="00000000"/>
  </w:font>
  <w:font w:name="楷体">
    <w:altName w:val="楷体_GB2312"/>
    <w:panose1 w:val="02010609060101010101"/>
    <w:charset w:val="86"/>
    <w:family w:val="modern"/>
    <w:pitch w:val="variable"/>
    <w:sig w:usb0="800002BF" w:usb1="38CF7CFA" w:usb2="00000016" w:usb3="00000000" w:csb0="00040001" w:csb1="00000000"/>
  </w:font>
  <w:font w:name="方正小标宋简体">
    <w:altName w:val="方正黑体_GBK"/>
    <w:panose1 w:val="00000000000000000000"/>
    <w:charset w:val="86"/>
    <w:family w:val="auto"/>
    <w:pitch w:val="variable"/>
    <w:sig w:usb0="00000000" w:usb1="00000000" w:usb2="00000012" w:usb3="00000000" w:csb0="00040001" w:csb1="00000000"/>
  </w:font>
  <w:font w:name="黑体">
    <w:altName w:val="AR PL UKai CN"/>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modern"/>
    <w:pitch w:val="variable"/>
    <w:sig w:usb0="00000001" w:usb1="080E0000" w:usb2="00000010" w:usb3="00000000" w:csb0="00040000" w:csb1="00000000"/>
  </w:font>
  <w:font w:name="仿宋">
    <w:altName w:val="仿宋_GB2312"/>
    <w:panose1 w:val="02010609060101010101"/>
    <w:charset w:val="86"/>
    <w:family w:val="modern"/>
    <w:pitch w:val="variable"/>
    <w:sig w:usb0="800002BF" w:usb1="38CF7CFA" w:usb2="00000016" w:usb3="00000000" w:csb0="00040001" w:csb1="00000000"/>
  </w:font>
  <w:font w:name="方正小标宋_GBK">
    <w:altName w:val="微软雅黑"/>
    <w:panose1 w:val="03000509000000000000"/>
    <w:charset w:val="86"/>
    <w:family w:val="script"/>
    <w:pitch w:val="variable"/>
    <w:sig w:usb0="00000001" w:usb1="080E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Arial">
    <w:altName w:val="DejaVu Sans"/>
    <w:panose1 w:val="020B0604020202020204"/>
    <w:charset w:val="00"/>
    <w:family w:val="swiss"/>
    <w:pitch w:val="variable"/>
    <w:sig w:usb0="E0002AFF" w:usb1="C0007843" w:usb2="00000009" w:usb3="00000000" w:csb0="000001FF" w:csb1="00000000"/>
  </w:font>
  <w:font w:name="等线">
    <w:altName w:val="AR PL UKai CN"/>
    <w:panose1 w:val="00000000000000000000"/>
    <w:charset w:val="86"/>
    <w:family w:val="auto"/>
    <w:pitch w:val="variable"/>
    <w:sig w:usb0="00000000" w:usb1="00000000" w:usb2="00000016" w:usb3="00000000" w:csb0="0004000F" w:csb1="00000000"/>
  </w:font>
  <w:font w:name="Times New Roman">
    <w:altName w:val="DejaVu Sans"/>
    <w:panose1 w:val="02020603050405020304"/>
    <w:charset w:val="00"/>
    <w:family w:val="roman"/>
    <w:pitch w:val="variable"/>
    <w:sig w:usb0="E0002AFF" w:usb1="C0007841" w:usb2="00000009" w:usb3="00000000" w:csb0="000001FF" w:csb1="00000000"/>
  </w:font>
  <w:font w:name="Luxi Sans">
    <w:altName w:val="DejaVu Sans"/>
    <w:panose1 w:val="00000000000000000000"/>
    <w:charset w:val="00"/>
    <w:family w:val="auto"/>
    <w:pitch w:val="variable"/>
    <w:sig w:usb0="00000000" w:usb1="00000000" w:usb2="00000000" w:usb3="00000000" w:csb0="00000000" w:csb1="00000000"/>
  </w:font>
  <w:font w:name="Calibri">
    <w:altName w:val="DejaVu Sans"/>
    <w:panose1 w:val="020F0502020204030204"/>
    <w:charset w:val="00"/>
    <w:family w:val="swiss"/>
    <w:pitch w:val="variable"/>
    <w:sig w:usb0="E10002FF" w:usb1="4000ACFF" w:usb2="00000009" w:usb3="00000000" w:csb0="0000019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739FEFA"/>
    <w:multiLevelType w:val="singleLevel"/>
    <w:tmpl w:val="0739FEFA"/>
    <w:lvl w:ilvl="0">
      <w:start w:val="2"/>
      <w:numFmt w:val="decimal"/>
      <w:lvlRestart w:val="0"/>
      <w:lvlText w:val="%1."/>
      <w:lvlJc w:val="left"/>
      <w:pPr>
        <w:tabs>
          <w:tab w:val="num" w:pos="0"/>
        </w:tabs>
        <w:ind w:left="0" w:hanging="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1"/>
  <w:drawingGridVerticalSpacing w:val="144"/>
  <w:displayHorizontalDrawingGridEvery w:val="2"/>
  <w:displayVerticalDrawingGridEvery w:val="2"/>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M2Y1MTIxMDc5N2FmMjMxN2QwNzY4OGZhNDdmY2QwYj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autoRedefine/>
    <w:next w:val="0"/>
    <w:pPr>
      <w:keepNext/>
      <w:keepLines/>
      <w:widowControl w:val="0"/>
      <w:spacing w:before="340" w:after="330" w:line="578" w:lineRule="auto"/>
      <w:outlineLvl w:val="0"/>
    </w:pPr>
    <w:rPr>
      <w:b/>
      <w:bCs/>
      <w:kern w:val="44"/>
      <w:sz w:val="44"/>
      <w:szCs w:val="44"/>
    </w:rPr>
  </w:style>
  <w:style w:type="paragraph" w:styleId="2">
    <w:name w:val="heading 2"/>
    <w:basedOn w:val="0"/>
    <w:autoRedefine/>
    <w:next w:val="0"/>
    <w:pPr>
      <w:keepNext/>
      <w:keepLines/>
      <w:widowControl w:val="0"/>
      <w:spacing w:before="260" w:after="260" w:line="415" w:lineRule="auto"/>
      <w:outlineLvl w:val="1"/>
    </w:pPr>
    <w:rPr>
      <w:rFonts w:ascii="Luxi Sans" w:eastAsia="黑体" w:hAnsi="Luxi Sans"/>
      <w:b/>
      <w:sz w:val="32"/>
    </w:rPr>
  </w:style>
  <w:style w:type="paragraph" w:styleId="3">
    <w:name w:val="heading 3"/>
    <w:basedOn w:val="0"/>
    <w:autoRedefine/>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able of figures"/>
    <w:basedOn w:val="0"/>
    <w:autoRedefine/>
    <w:next w:val="0"/>
    <w:pPr>
      <w:ind w:leftChars="200" w:left="400" w:hangingChars="200" w:hanging="200"/>
    </w:pPr>
  </w:style>
  <w:style w:type="paragraph" w:styleId="16">
    <w:name w:val="Body Text"/>
    <w:basedOn w:val="0"/>
    <w:autoRedefine/>
    <w:next w:val="0"/>
    <w:pPr>
      <w:widowControl/>
      <w:tabs>
        <w:tab w:val="left" w:pos="2160"/>
      </w:tabs>
      <w:spacing w:line="480" w:lineRule="auto"/>
      <w:jc w:val="left"/>
    </w:pPr>
    <w:rPr>
      <w:rFonts w:ascii="楷体_GB2312" w:eastAsia="黑体" w:hAnsi="楷体_GB2312"/>
      <w:kern w:val="0"/>
      <w:position w:val="3"/>
      <w:sz w:val="20"/>
      <w:szCs w:val="20"/>
    </w:rPr>
  </w:style>
  <w:style w:type="paragraph" w:styleId="17">
    <w:name w:val="Body Text Indent"/>
    <w:basedOn w:val="0"/>
    <w:autoRedefine/>
    <w:pPr>
      <w:spacing w:after="120"/>
      <w:ind w:leftChars="200" w:left="200"/>
    </w:pPr>
    <w:rPr>
      <w:rFonts w:ascii="仿宋_GB2312" w:hAnsi="仿宋_GB2312"/>
      <w:szCs w:val="32"/>
    </w:rPr>
  </w:style>
  <w:style w:type="paragraph" w:styleId="18">
    <w:name w:val="footer"/>
    <w:basedOn w:val="0"/>
    <w:autoRedefine/>
    <w:pPr>
      <w:tabs>
        <w:tab w:val="center" w:pos="4153"/>
        <w:tab w:val="right" w:pos="8306"/>
      </w:tabs>
      <w:snapToGrid w:val="0"/>
      <w:jc w:val="left"/>
    </w:pPr>
    <w:rPr>
      <w:rFonts w:ascii="Calibri" w:cs="Arial" w:hAnsi="Calibri"/>
      <w:sz w:val="18"/>
      <w:szCs w:val="18"/>
    </w:rPr>
  </w:style>
  <w:style w:type="paragraph" w:styleId="19">
    <w:name w:val="header"/>
    <w:basedOn w:val="0"/>
    <w:autoRedefine/>
    <w:pPr>
      <w:pBdr>
        <w:bottom w:val="single" w:sz="6" w:space="1" w:color="auto"/>
      </w:pBdr>
      <w:tabs>
        <w:tab w:val="center" w:pos="4153"/>
        <w:tab w:val="right" w:pos="8306"/>
      </w:tabs>
      <w:snapToGrid w:val="0"/>
      <w:jc w:val="center"/>
    </w:pPr>
    <w:rPr>
      <w:rFonts w:ascii="Calibri" w:cs="Arial" w:hAnsi="Calibri"/>
      <w:sz w:val="18"/>
      <w:szCs w:val="18"/>
    </w:rPr>
  </w:style>
  <w:style w:type="paragraph" w:styleId="20">
    <w:name w:val="Body Text First Indent 2"/>
    <w:basedOn w:val="17"/>
    <w:autoRedefine/>
    <w:pPr>
      <w:ind w:firstLineChars="200" w:firstLine="200"/>
    </w:pPr>
  </w:style>
  <w:style w:type="paragraph" w:customStyle="1" w:styleId="21">
    <w:name w:val="正文2"/>
    <w:basedOn w:val="0"/>
    <w:autoRedefine/>
    <w:next w:val="0"/>
  </w:style>
  <w:style w:type="paragraph" w:styleId="22">
    <w:name w:val="List Paragraph"/>
    <w:basedOn w:val="0"/>
    <w:autoRedefine/>
    <w:pPr>
      <w:ind w:firstLineChars="200" w:firstLine="200"/>
    </w:pPr>
  </w:style>
  <w:style w:type="character" w:customStyle="1" w:styleId="23">
    <w:name w:val="NormalCharacter"/>
    <w:autoRedefine/>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4.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13</TotalTime>
  <Application>Yozo_Office27021597764231179</Application>
  <Pages>12</Pages>
  <Words>4095</Words>
  <Characters>4354</Characters>
  <Lines>319</Lines>
  <Paragraphs>194</Paragraphs>
  <CharactersWithSpaces>4412</CharactersWithSpaces>
  <Company>Sky123.Org</Company>
</Properties>
</file>

<file path=docProps/core.xml><?xml version="1.0" encoding="utf-8"?>
<cp:coreProperties xmlns:cp="http://schemas.openxmlformats.org/package/2006/metadata/core-properties" xmlns:dc="http://purl.org/dc/elements/1.1/" xmlns:dcterms="http://purl.org/dc/terms/" xmlns:xsi="http://www.w3.org/2001/XMLSchema-instance">
  <dc:creator>Sky123.Org</dc:creator>
  <cp:lastModifiedBy>user</cp:lastModifiedBy>
  <cp:revision>3</cp:revision>
  <dcterms:created xsi:type="dcterms:W3CDTF">2025-05-19T11:14:00Z</dcterms:created>
  <dcterms:modified xsi:type="dcterms:W3CDTF">2025-05-23T03:02:51Z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2052-12.1.0.16120</vt:lpwstr>
  </property>
  <property fmtid="{D5CDD505-2E9C-101B-9397-08002B2CF9AE}" pid="3" name="ICV">
    <vt:lpwstr>EAAA17B6E8434A7EAF747D7A15E4E837_13</vt:lpwstr>
  </property>
</Properties>
</file>