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方正小标宋_GBK" w:eastAsia="方正小标宋_GBK" w:cs="方正小标宋_GBK"/>
          <w:color w:val="FF0000"/>
          <w:w w:val="44"/>
          <w:sz w:val="144"/>
          <w:szCs w:val="144"/>
        </w:rPr>
      </w:pPr>
      <w:r>
        <w:rPr>
          <w:rFonts w:ascii="方正小标宋_GBK" w:eastAsia="方正小标宋_GBK" w:cs="方正小标宋_GBK" w:hint="eastAsia"/>
          <w:color w:val="FF0000"/>
          <w:w w:val="44"/>
          <w:sz w:val="144"/>
          <w:szCs w:val="144"/>
        </w:rPr>
        <w:t>黑水县石碉楼乡人民政府文件</w:t>
      </w:r>
    </w:p>
    <w:p>
      <w:pPr>
        <w:ind w:firstLineChars="100" w:firstLine="32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4297" distR="114297" simplePos="0" relativeHeight="13" behindDoc="0" locked="0" layoutInCell="1" hidden="0" allowOverlap="1">
                <wp:simplePos x="0" y="0"/>
                <wp:positionH relativeFrom="column">
                  <wp:posOffset>37465</wp:posOffset>
                </wp:positionH>
                <wp:positionV relativeFrom="paragraph">
                  <wp:posOffset>386080</wp:posOffset>
                </wp:positionV>
                <wp:extent cx="5342255" cy="635"/>
                <wp:effectExtent l="0" t="0" r="0" b="0"/>
                <wp:wrapNone/>
                <wp:docPr id="1" name="_x0000_s2050 2"/>
                <wp:cNvGraphicFramePr>
                  <a:graphicFrameLocks noChangeAspect="0"/>
                </wp:cNvGraphicFramePr>
                <a:graphic>
                  <a:graphicData uri="http://schemas.microsoft.com/office/word/2010/wordprocessingShape">
                    <wps:wsp>
                      <wps:cNvSpPr/>
                      <wps:spPr>
                        <a:xfrm rot="0">
                          <a:off x="0" y="0"/>
                          <a:ext cx="5342255" cy="635"/>
                        </a:xfrm>
                        <a:prstGeom prst="line"/>
                        <a:noFill/>
                        <a:ln w="28575" cmpd="sng" cap="flat">
                          <a:solidFill>
                            <a:srgbClr val="FF0000"/>
                          </a:solidFill>
                          <a:prstDash val="solid"/>
                          <a:miter/>
                        </a:ln>
                      </wps:spPr>
                      <wps:bodyPr vert="horz" wrap="square" lIns="91440" tIns="45720" rIns="91440" bIns="45720" anchor="t" anchorCtr="0" upright="1">
                        <a:noAutofit/>
                      </wps:bodyPr>
                    </wps:wsp>
                  </a:graphicData>
                </a:graphic>
              </wp:anchor>
            </w:drawing>
          </mc:Choice>
          <mc:Fallback>
            <w:pict>
              <v:line type="#_x0000_t20" id="_x0000_s2050 2 2" o:spid="_x0000_s2" from="2.95pt,30.399998pt" to="423.6pt,30.45pt" filled="f" stroked="t" strokeweight="2.25pt" style="position:absolute;z-index:13;mso-position-horizontal:absolute;mso-position-vertical:absolute;mso-wrap-distance-left:8.99983pt;mso-wrap-distance-right:8.99983pt;visibility:visible;">
                <v:stroke color="#FF0000"/>
              </v:line>
            </w:pict>
          </mc:Fallback>
        </mc:AlternateContent>
      </w:r>
      <w:r>
        <w:rPr>
          <w:rFonts w:ascii="楷体_GB2312" w:eastAsia="楷体_GB2312" w:cs="楷体_GB2312"/>
          <w:color w:val="000000"/>
          <w:sz w:val="32"/>
          <w:szCs w:val="32"/>
        </w:rPr>
        <w:t>黑石府</w:t>
      </w:r>
      <w:r>
        <w:rPr>
          <w:rFonts w:ascii="楷体_GB2312" w:eastAsia="楷体_GB2312" w:cs="楷体_GB2312" w:hint="eastAsia"/>
          <w:color w:val="000000"/>
          <w:sz w:val="32"/>
          <w:szCs w:val="32"/>
        </w:rPr>
        <w:t>[</w:t>
      </w:r>
      <w:r>
        <w:rPr>
          <w:rFonts w:ascii="楷体_GB2312" w:eastAsia="楷体_GB2312" w:cs="楷体_GB2312"/>
          <w:color w:val="000000"/>
          <w:sz w:val="32"/>
          <w:szCs w:val="32"/>
        </w:rPr>
        <w:t>202</w:t>
      </w:r>
      <w:r>
        <w:rPr>
          <w:rFonts w:ascii="楷体_GB2312" w:eastAsia="楷体_GB2312" w:cs="楷体_GB2312" w:hint="eastAsia"/>
          <w:color w:val="000000"/>
          <w:sz w:val="32"/>
          <w:szCs w:val="32"/>
        </w:rPr>
        <w:t>5]16号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ascii="方正小标宋简体" w:eastAsia="方正小标宋简体" w:cs="方正小标宋简体" w:hint="eastAsia"/>
          <w:kern w:val="0"/>
          <w:sz w:val="36"/>
          <w:szCs w:val="36"/>
        </w:rPr>
        <w:t>2024年度石碉楼乡人民政府</w:t>
      </w:r>
    </w:p>
    <w:p>
      <w:pPr>
        <w:spacing w:line="580" w:lineRule="exact"/>
        <w:jc w:val="center"/>
        <w:rPr>
          <w:rFonts w:ascii="仿宋_GB2312" w:eastAsia="仿宋_GB2312" w:cs="方正小标宋简体"/>
          <w:b/>
          <w:sz w:val="24"/>
        </w:rPr>
      </w:pPr>
      <w:r>
        <w:rPr>
          <w:rFonts w:ascii="方正小标宋简体" w:eastAsia="方正小标宋简体" w:cs="方正小标宋简体" w:hint="eastAsia"/>
          <w:kern w:val="0"/>
          <w:sz w:val="36"/>
          <w:szCs w:val="36"/>
        </w:rPr>
        <w:t>关于黑水县石碉楼乡苦瓜村森林管护巡护道路建设项目支出绩效评价报告</w:t>
      </w:r>
    </w:p>
    <w:p>
      <w:pPr>
        <w:spacing w:line="580" w:lineRule="exact"/>
        <w:ind w:firstLineChars="200" w:firstLine="640"/>
        <w:rPr>
          <w:rFonts w:ascii="仿宋_GB2312" w:eastAsia="仿宋_GB2312" w:cs="仿宋_GB2312"/>
          <w:sz w:val="32"/>
          <w:szCs w:val="32"/>
        </w:rPr>
      </w:pPr>
    </w:p>
    <w:p>
      <w:pPr>
        <w:numPr>
          <w:ilvl w:val="0"/>
          <w:numId w:val="1"/>
        </w:numPr>
        <w:spacing w:line="580" w:lineRule="exact"/>
        <w:ind w:left="0" w:firstLineChars="200" w:firstLine="640"/>
        <w:rPr>
          <w:rFonts w:ascii="黑体" w:eastAsia="黑体" w:cs="黑体"/>
          <w:sz w:val="32"/>
          <w:szCs w:val="32"/>
        </w:rPr>
      </w:pPr>
      <w:r>
        <w:rPr>
          <w:rFonts w:ascii="黑体" w:eastAsia="黑体" w:cs="黑体" w:hint="eastAsia"/>
          <w:sz w:val="32"/>
          <w:szCs w:val="32"/>
        </w:rPr>
        <w:t>项目概况</w:t>
      </w:r>
    </w:p>
    <w:p>
      <w:pPr>
        <w:spacing w:line="580" w:lineRule="exact"/>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黑水县石碉楼乡苦瓜村森林管护巡护道路建设项目，支出1313444.6元。资金申报后在规定的时间内下发给我们单位，本单位也在规定时间内及时进行了支出。该项目均符合资金管理办法等相关规定。</w:t>
      </w:r>
    </w:p>
    <w:p>
      <w:pPr>
        <w:spacing w:line="580" w:lineRule="exact"/>
        <w:ind w:firstLineChars="200" w:firstLine="640"/>
        <w:rPr>
          <w:rFonts w:ascii="楷体_GB2312" w:eastAsia="楷体_GB2312"/>
          <w:b/>
          <w:sz w:val="32"/>
          <w:szCs w:val="32"/>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p>
    <w:p>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为确保黑水县石碉楼乡苦瓜村森林管护巡护道路建设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Chars="200" w:firstLine="640"/>
        <w:rPr>
          <w:rFonts w:ascii="楷体_GB2312" w:eastAsia="楷体_GB2312"/>
          <w:b/>
          <w:sz w:val="32"/>
          <w:szCs w:val="32"/>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p>
    <w:p>
      <w:pPr>
        <w:adjustRightInd w:val="0"/>
        <w:snapToGrid w:val="0"/>
        <w:spacing w:line="520" w:lineRule="exact"/>
        <w:ind w:left="420" w:firstLineChars="200" w:firstLine="640"/>
        <w:rPr>
          <w:rFonts w:ascii="仿宋_GB2312" w:eastAsia="仿宋_GB2312" w:cs="仿宋_GB2312"/>
          <w:sz w:val="32"/>
          <w:szCs w:val="32"/>
        </w:rPr>
      </w:pPr>
      <w:r>
        <w:rPr>
          <w:rFonts w:ascii="仿宋_GB2312" w:eastAsia="仿宋_GB2312" w:cs="仿宋_GB2312" w:hint="eastAsia"/>
          <w:sz w:val="32"/>
          <w:szCs w:val="32"/>
        </w:rPr>
        <w:t>黑水县石碉楼乡苦瓜村森林管护巡护道路建设项目</w:t>
      </w:r>
      <w:r>
        <w:rPr>
          <w:rFonts w:ascii="仿宋_GB2312" w:eastAsia="仿宋_GB2312" w:cs="仿宋_GB2312" w:hint="eastAsia"/>
          <w:sz w:val="32"/>
          <w:szCs w:val="32"/>
          <w:lang w:val="zh-CN"/>
        </w:rPr>
        <w:t>，重点</w:t>
      </w:r>
      <w:r>
        <w:rPr>
          <w:rFonts w:ascii="仿宋_GB2312" w:eastAsia="仿宋_GB2312" w:cs="仿宋_GB2312" w:hint="eastAsia"/>
          <w:sz w:val="32"/>
          <w:szCs w:val="32"/>
        </w:rPr>
        <w:t>用于森林管护巡护道路建设工作顺利展开。项目预算资金为：280万元，项目新建2.6公里森林管护巡护道路，路基宽度4.5米、路面宽度3.5米、路基堡坎1000立方，过水涵洞4处。简支桥梁一座：桥长26米、桥面宽5.5米，单车道。</w:t>
      </w:r>
    </w:p>
    <w:p>
      <w:pPr>
        <w:spacing w:line="580" w:lineRule="exact"/>
        <w:ind w:firstLineChars="200" w:firstLine="640"/>
        <w:rPr>
          <w:rFonts w:ascii="楷体_GB2312" w:eastAsia="楷体_GB2312"/>
          <w:b/>
          <w:sz w:val="32"/>
          <w:szCs w:val="32"/>
          <w:lang w:val="zh-CN"/>
        </w:rPr>
      </w:pPr>
      <w:r>
        <w:rPr>
          <w:rFonts w:ascii="楷体_GB2312" w:eastAsia="楷体_GB2312" w:hint="eastAsia"/>
          <w:b/>
          <w:sz w:val="32"/>
          <w:szCs w:val="32"/>
          <w:lang w:val="zh-CN"/>
        </w:rPr>
        <w:t>（四）项目绩效目标设置。</w:t>
      </w:r>
    </w:p>
    <w:p>
      <w:pPr>
        <w:adjustRightInd w:val="0"/>
        <w:snapToGrid w:val="0"/>
        <w:spacing w:line="520" w:lineRule="exact"/>
        <w:ind w:left="420" w:firstLineChars="200" w:firstLine="640"/>
        <w:rPr>
          <w:rFonts w:ascii="仿宋_GB2312" w:eastAsia="仿宋_GB2312"/>
          <w:sz w:val="32"/>
          <w:szCs w:val="32"/>
        </w:rPr>
      </w:pPr>
      <w:r>
        <w:rPr>
          <w:rFonts w:ascii="仿宋_GB2312" w:eastAsia="仿宋_GB2312"/>
          <w:sz w:val="32"/>
          <w:szCs w:val="32"/>
        </w:rPr>
        <w:t>此项经费</w:t>
      </w:r>
      <w:r>
        <w:rPr>
          <w:rFonts w:ascii="仿宋_GB2312" w:eastAsia="仿宋_GB2312" w:hint="eastAsia"/>
          <w:sz w:val="32"/>
          <w:szCs w:val="32"/>
        </w:rPr>
        <w:t>用于</w:t>
      </w:r>
      <w:r>
        <w:rPr>
          <w:rFonts w:ascii="仿宋_GB2312" w:eastAsia="仿宋_GB2312" w:cs="仿宋_GB2312" w:hint="eastAsia"/>
          <w:sz w:val="32"/>
          <w:szCs w:val="32"/>
        </w:rPr>
        <w:t>项目新建2.6公里森林管护巡护道路，路基宽度4.5米、路面宽度3.5米、路基堡坎1000立方，过水涵洞4处。简支桥梁一座：桥长26米、桥面宽5.5米，单车道。</w:t>
      </w:r>
    </w:p>
    <w:p>
      <w:pPr>
        <w:spacing w:line="580" w:lineRule="exact"/>
        <w:ind w:firstLineChars="200" w:firstLine="640"/>
        <w:rPr>
          <w:rFonts w:ascii="黑体" w:eastAsia="黑体" w:cs="黑体"/>
          <w:sz w:val="32"/>
          <w:szCs w:val="32"/>
        </w:rPr>
      </w:pPr>
      <w:r>
        <w:rPr>
          <w:rFonts w:ascii="黑体" w:eastAsia="黑体" w:cs="黑体" w:hint="eastAsia"/>
          <w:sz w:val="32"/>
          <w:szCs w:val="32"/>
        </w:rPr>
        <w:t>二、</w:t>
      </w:r>
      <w:r>
        <w:rPr>
          <w:rFonts w:ascii="黑体" w:eastAsia="黑体" w:cs="黑体"/>
          <w:sz w:val="32"/>
          <w:szCs w:val="32"/>
        </w:rPr>
        <w:t>评价实施</w:t>
      </w:r>
    </w:p>
    <w:p>
      <w:pPr>
        <w:spacing w:line="580" w:lineRule="exact"/>
        <w:ind w:firstLineChars="200" w:firstLine="640"/>
        <w:rPr>
          <w:rFonts w:ascii="楷体_GB2312" w:eastAsia="楷体_GB2312"/>
          <w:b/>
          <w:sz w:val="32"/>
          <w:szCs w:val="32"/>
          <w:lang w:val="zh-CN"/>
        </w:rPr>
      </w:pPr>
      <w:r>
        <w:rPr>
          <w:rFonts w:ascii="楷体_GB2312" w:eastAsia="楷体_GB2312" w:hint="eastAsia"/>
          <w:b/>
          <w:sz w:val="32"/>
          <w:szCs w:val="32"/>
          <w:lang w:val="zh-CN"/>
        </w:rPr>
        <w:t>（一）评价目的。</w:t>
      </w:r>
    </w:p>
    <w:p>
      <w:pPr>
        <w:spacing w:line="580" w:lineRule="exact"/>
        <w:ind w:firstLineChars="200" w:firstLine="64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ascii="仿宋_GB2312" w:eastAsia="仿宋_GB2312" w:hint="eastAsia"/>
          <w:sz w:val="32"/>
          <w:szCs w:val="32"/>
        </w:rPr>
        <w:t>黑水县财政局印发的《关于开展2025年县级部门绩效自评工作的通知》的相关要求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Chars="100" w:firstLine="320"/>
        <w:rPr>
          <w:rFonts w:ascii="仿宋_GB2312" w:eastAsia="仿宋_GB2312" w:cs="仿宋_GB2312"/>
          <w:sz w:val="32"/>
          <w:szCs w:val="32"/>
        </w:rPr>
      </w:pPr>
      <w:r>
        <w:rPr>
          <w:rFonts w:ascii="楷体_GB2312" w:eastAsia="楷体_GB2312" w:hint="eastAsia"/>
          <w:b/>
          <w:sz w:val="32"/>
          <w:szCs w:val="32"/>
          <w:lang w:val="zh-CN"/>
        </w:rPr>
        <w:t>（二）预设问题及评价重点。</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Chars="100" w:firstLine="320"/>
        <w:rPr>
          <w:rFonts w:ascii="仿宋_GB2312" w:eastAsia="仿宋_GB2312" w:cs="仿宋_GB2312"/>
          <w:sz w:val="32"/>
          <w:szCs w:val="32"/>
        </w:rPr>
      </w:pPr>
      <w:r>
        <w:rPr>
          <w:rFonts w:ascii="楷体_GB2312" w:eastAsia="楷体_GB2312" w:hint="eastAsia"/>
          <w:b/>
          <w:sz w:val="32"/>
          <w:szCs w:val="32"/>
          <w:lang w:val="zh-CN"/>
        </w:rPr>
        <w:t>（三）评价选点。</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黑水县石碉楼乡苦瓜村森林管护巡护道路建设项目</w:t>
      </w:r>
      <w:r>
        <w:rPr>
          <w:rFonts w:ascii="仿宋_GB2312" w:eastAsia="仿宋_GB2312" w:cs="仿宋_GB2312"/>
          <w:sz w:val="32"/>
          <w:szCs w:val="32"/>
        </w:rPr>
        <w:t>主要开展工作地点为黑水县石碉楼乡，本次绩效评价主体为黑水县石碉楼乡人民政府，项目不涉及其他点位。</w:t>
      </w:r>
    </w:p>
    <w:p>
      <w:pPr>
        <w:spacing w:line="580" w:lineRule="exact"/>
        <w:ind w:firstLineChars="100" w:firstLine="320"/>
        <w:rPr>
          <w:rFonts w:ascii="仿宋_GB2312" w:eastAsia="仿宋_GB2312" w:cs="仿宋_GB2312"/>
          <w:sz w:val="32"/>
          <w:szCs w:val="32"/>
        </w:rPr>
      </w:pPr>
      <w:r>
        <w:rPr>
          <w:rFonts w:ascii="楷体_GB2312" w:eastAsia="楷体_GB2312" w:hint="eastAsia"/>
          <w:b/>
          <w:sz w:val="32"/>
          <w:szCs w:val="32"/>
          <w:lang w:val="zh-CN"/>
        </w:rPr>
        <w:t>（四）评价方法。</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Chars="150" w:firstLine="48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Chars="150" w:firstLine="480"/>
        <w:rPr>
          <w:rFonts w:ascii="仿宋_GB2312" w:eastAsia="仿宋_GB2312" w:cs="仿宋_GB2312"/>
          <w:sz w:val="32"/>
          <w:szCs w:val="32"/>
        </w:rPr>
      </w:pPr>
      <w:r>
        <w:rPr>
          <w:rFonts w:ascii="楷体_GB2312" w:eastAsia="楷体_GB2312" w:hint="eastAsia"/>
          <w:b/>
          <w:sz w:val="32"/>
          <w:szCs w:val="32"/>
          <w:lang w:val="zh-CN"/>
        </w:rPr>
        <w:t>（五）评价组织。</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1.</w:t>
      </w:r>
      <w:r>
        <w:rPr>
          <w:rFonts w:ascii="仿宋_GB2312" w:eastAsia="仿宋_GB2312" w:cs="仿宋_GB2312"/>
          <w:sz w:val="32"/>
          <w:szCs w:val="32"/>
        </w:rPr>
        <w:t>领导小组职责：</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（2）</w:t>
      </w:r>
      <w:r>
        <w:rPr>
          <w:rFonts w:ascii="仿宋_GB2312" w:eastAsia="仿宋_GB2312" w:cs="仿宋_GB2312"/>
          <w:sz w:val="32"/>
          <w:szCs w:val="32"/>
        </w:rPr>
        <w:t>组织协调绩效评价工作，确保评价的顺利进行。</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2.</w:t>
      </w:r>
      <w:r>
        <w:rPr>
          <w:rFonts w:ascii="仿宋_GB2312" w:eastAsia="仿宋_GB2312" w:cs="仿宋_GB2312"/>
          <w:sz w:val="32"/>
          <w:szCs w:val="32"/>
        </w:rPr>
        <w:t>办公室职责：</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（2）</w:t>
      </w:r>
      <w:r>
        <w:rPr>
          <w:rFonts w:ascii="仿宋_GB2312" w:eastAsia="仿宋_GB2312" w:cs="仿宋_GB2312"/>
          <w:sz w:val="32"/>
          <w:szCs w:val="32"/>
        </w:rPr>
        <w:t>综合评价信息，提出评价结果</w:t>
      </w:r>
      <w:r>
        <w:rPr>
          <w:rFonts w:ascii="仿宋_GB2312" w:eastAsia="仿宋_GB2312" w:cs="仿宋_GB2312" w:hint="eastAsia"/>
          <w:sz w:val="32"/>
          <w:szCs w:val="32"/>
        </w:rPr>
        <w:t>等</w:t>
      </w:r>
      <w:r>
        <w:rPr>
          <w:rFonts w:ascii="仿宋_GB2312" w:eastAsia="仿宋_GB2312" w:cs="仿宋_GB2312"/>
          <w:sz w:val="32"/>
          <w:szCs w:val="32"/>
        </w:rPr>
        <w:t>次认定方案及奖惩方案等。</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（3）</w:t>
      </w:r>
      <w:r>
        <w:rPr>
          <w:rFonts w:ascii="仿宋_GB2312" w:eastAsia="仿宋_GB2312" w:cs="仿宋_GB2312"/>
          <w:sz w:val="32"/>
          <w:szCs w:val="32"/>
        </w:rPr>
        <w:t>负责绩效评价的日常工作，包括宣传、沟通、协调等。</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（4）</w:t>
      </w:r>
      <w:r>
        <w:rPr>
          <w:rFonts w:ascii="仿宋_GB2312" w:eastAsia="仿宋_GB2312" w:cs="仿宋_GB2312"/>
          <w:sz w:val="32"/>
          <w:szCs w:val="32"/>
        </w:rPr>
        <w:t>根据评价结果撰写绩效评价报告，并递交给领导小组。</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3.</w:t>
      </w:r>
      <w:r>
        <w:rPr>
          <w:rFonts w:ascii="仿宋_GB2312" w:eastAsia="仿宋_GB2312" w:cs="仿宋_GB2312"/>
          <w:sz w:val="32"/>
          <w:szCs w:val="32"/>
        </w:rPr>
        <w:t>具体执行人员职责：</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（1）</w:t>
      </w:r>
      <w:r>
        <w:rPr>
          <w:rFonts w:ascii="仿宋_GB2312" w:eastAsia="仿宋_GB2312" w:cs="仿宋_GB2312"/>
          <w:sz w:val="32"/>
          <w:szCs w:val="32"/>
        </w:rPr>
        <w:t>组长：审批绩效自评方案，监督、检查、核实绩效自评结果。</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Chars="150" w:firstLine="480"/>
        <w:rPr>
          <w:rFonts w:ascii="仿宋_GB2312" w:eastAsia="仿宋_GB2312" w:cs="仿宋_GB2312"/>
          <w:sz w:val="32"/>
          <w:szCs w:val="32"/>
        </w:rPr>
      </w:pPr>
      <w:r>
        <w:rPr>
          <w:rFonts w:ascii="仿宋_GB2312" w:eastAsia="仿宋_GB2312" w:cs="仿宋_GB2312" w:hint="eastAsia"/>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Chars="200" w:firstLine="640"/>
        <w:rPr>
          <w:rFonts w:ascii="黑体" w:eastAsia="黑体"/>
          <w:sz w:val="32"/>
          <w:szCs w:val="32"/>
        </w:rPr>
      </w:pPr>
      <w:r>
        <w:rPr>
          <w:rFonts w:ascii="黑体" w:eastAsia="黑体" w:hint="eastAsia"/>
          <w:sz w:val="32"/>
          <w:szCs w:val="32"/>
        </w:rPr>
        <w:t>三、绩效分析</w:t>
      </w:r>
    </w:p>
    <w:p>
      <w:pPr>
        <w:spacing w:line="578" w:lineRule="exact"/>
        <w:ind w:firstLine="640"/>
        <w:rPr>
          <w:rFonts w:ascii="仿宋_GB2312" w:eastAsia="仿宋_GB2312"/>
          <w:b/>
          <w:sz w:val="32"/>
          <w:szCs w:val="32"/>
        </w:rPr>
      </w:pPr>
      <w:r>
        <w:rPr>
          <w:rFonts w:ascii="仿宋_GB2312" w:eastAsia="仿宋_GB2312" w:hint="eastAsia"/>
          <w:b/>
          <w:sz w:val="32"/>
          <w:szCs w:val="32"/>
          <w:lang w:val="zh-CN"/>
        </w:rPr>
        <w:t>（一）</w:t>
      </w:r>
      <w:r>
        <w:rPr>
          <w:rFonts w:ascii="仿宋_GB2312" w:eastAsia="仿宋_GB2312" w:hint="eastAsia"/>
          <w:b/>
          <w:sz w:val="32"/>
          <w:szCs w:val="32"/>
        </w:rPr>
        <w:t>通用指标</w:t>
      </w:r>
      <w:r>
        <w:rPr>
          <w:rFonts w:ascii="仿宋_GB2312" w:eastAsia="仿宋_GB2312" w:hint="eastAsia"/>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ascii="仿宋_GB2312" w:eastAsia="仿宋_GB2312" w:cs="楷体_GB2312" w:hint="eastAsia"/>
          <w:sz w:val="32"/>
          <w:szCs w:val="32"/>
        </w:rPr>
        <w:t>1.项目决策。</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（1）决策程序</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项目设立、调整延续等方面符合资金管理基本规范和决策程序要求，该项指标得分6分。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（2）规划论证</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（3）资金投向</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ascii="仿宋_GB2312" w:eastAsia="仿宋_GB2312" w:cs="楷体_GB2312" w:hint="eastAsia"/>
          <w:sz w:val="32"/>
          <w:szCs w:val="32"/>
        </w:rPr>
        <w:t>2.项目管理。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（1）制度办法</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（2）分配管理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（3）绩效监管</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Chars="200" w:left="420"/>
        <w:rPr>
          <w:rFonts w:ascii="仿宋_GB2312" w:eastAsia="仿宋_GB2312"/>
          <w:sz w:val="32"/>
          <w:szCs w:val="32"/>
        </w:rPr>
      </w:pPr>
      <w:r>
        <w:rPr>
          <w:rFonts w:ascii="仿宋_GB2312" w:eastAsia="仿宋_GB2312" w:cs="楷体_GB2312" w:hint="eastAsia"/>
          <w:sz w:val="32"/>
          <w:szCs w:val="32"/>
        </w:rPr>
        <w:t>3.项目实施。</w:t>
      </w:r>
      <w:r>
        <w:rPr>
          <w:rFonts w:ascii="仿宋_GB2312" w:eastAsia="仿宋_GB2312" w:hint="eastAsia"/>
          <w:sz w:val="32"/>
          <w:szCs w:val="32"/>
        </w:rPr>
        <w:t>围绕、进行绩效分析。</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（1）预算执行</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财政资金已按照要求拨付完毕，拨付率100%，该项指标得分=财政资金拨付率×100%×6得6分。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（2）资金使用</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Chars="200" w:left="420"/>
        <w:rPr>
          <w:rFonts w:ascii="仿宋_GB2312" w:eastAsia="仿宋_GB2312"/>
          <w:sz w:val="32"/>
          <w:szCs w:val="32"/>
        </w:rPr>
      </w:pPr>
      <w:r>
        <w:rPr>
          <w:rFonts w:ascii="仿宋_GB2312" w:eastAsia="仿宋_GB2312" w:cs="楷体_GB2312" w:hint="eastAsia"/>
          <w:sz w:val="32"/>
          <w:szCs w:val="32"/>
        </w:rPr>
        <w:t>4.项目结果。</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（1）目标完成</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项目完成预期目标，实施结果与绩效目标相匹配，该项指标得分6分。</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（2）完成时效</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项目实际完成时间与计划完成时间相符，该项指标得分3分。</w:t>
      </w:r>
    </w:p>
    <w:p>
      <w:pPr>
        <w:spacing w:line="578" w:lineRule="exact"/>
        <w:ind w:firstLineChars="200" w:firstLine="640"/>
        <w:rPr>
          <w:rFonts w:ascii="仿宋_GB2312" w:eastAsia="仿宋_GB2312" w:cs="楷体_GB2312"/>
          <w:sz w:val="32"/>
          <w:szCs w:val="32"/>
          <w:lang w:val="zh-CN"/>
        </w:rPr>
      </w:pPr>
      <w:r>
        <w:rPr>
          <w:rFonts w:ascii="仿宋_GB2312" w:eastAsia="仿宋_GB2312" w:hint="eastAsia"/>
          <w:b/>
          <w:sz w:val="32"/>
          <w:szCs w:val="32"/>
          <w:lang w:val="zh-CN"/>
        </w:rPr>
        <w:t>（二）</w:t>
      </w:r>
      <w:r>
        <w:rPr>
          <w:rFonts w:ascii="仿宋_GB2312" w:eastAsia="仿宋_GB2312" w:hint="eastAsia"/>
          <w:b/>
          <w:sz w:val="32"/>
          <w:szCs w:val="32"/>
        </w:rPr>
        <w:t>基础设施</w:t>
      </w:r>
      <w:r>
        <w:rPr>
          <w:rFonts w:ascii="仿宋_GB2312" w:eastAsia="仿宋_GB2312" w:hint="eastAsia"/>
          <w:b/>
          <w:bCs/>
          <w:color w:val="000000"/>
          <w:kern w:val="0"/>
          <w:sz w:val="32"/>
          <w:szCs w:val="32"/>
          <w:shd w:val="clear" w:color="auto" w:fill="FFFFFF"/>
          <w:lang w:val="zh-CN"/>
        </w:rPr>
        <w:t>绩效分析。</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（1）工程进度</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项目达到计划工程进度得15分。</w:t>
      </w:r>
    </w:p>
    <w:p>
      <w:pPr>
        <w:numPr>
          <w:ilvl w:val="0"/>
          <w:numId w:val="2"/>
        </w:numPr>
        <w:adjustRightInd w:val="0"/>
        <w:snapToGrid w:val="0"/>
        <w:spacing w:line="578" w:lineRule="exact"/>
        <w:ind w:left="0" w:firstLineChars="200" w:firstLine="640"/>
        <w:rPr>
          <w:rFonts w:ascii="仿宋_GB2312" w:eastAsia="仿宋_GB2312"/>
          <w:kern w:val="0"/>
          <w:sz w:val="32"/>
          <w:szCs w:val="32"/>
        </w:rPr>
      </w:pPr>
      <w:r>
        <w:rPr>
          <w:rFonts w:ascii="仿宋_GB2312" w:eastAsia="仿宋_GB2312" w:hint="eastAsia"/>
          <w:kern w:val="0"/>
          <w:sz w:val="32"/>
          <w:szCs w:val="32"/>
        </w:rPr>
        <w:t>资金拨付</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kern w:val="0"/>
          <w:sz w:val="32"/>
          <w:szCs w:val="32"/>
        </w:rPr>
        <w:t>项目达到预先确定的资金拨付进度</w:t>
      </w:r>
      <w:r>
        <w:rPr>
          <w:rFonts w:ascii="仿宋_GB2312" w:eastAsia="仿宋_GB2312" w:hint="eastAsia"/>
          <w:kern w:val="0"/>
          <w:sz w:val="32"/>
          <w:szCs w:val="32"/>
        </w:rPr>
        <w:t>得15分。</w:t>
      </w:r>
    </w:p>
    <w:p>
      <w:pPr>
        <w:spacing w:line="578" w:lineRule="exact"/>
        <w:ind w:firstLine="640"/>
        <w:rPr>
          <w:rFonts w:ascii="仿宋_GB2312" w:eastAsia="仿宋_GB2312"/>
          <w:sz w:val="32"/>
          <w:szCs w:val="32"/>
        </w:rPr>
      </w:pPr>
      <w:r>
        <w:rPr>
          <w:rFonts w:ascii="仿宋_GB2312" w:eastAsia="仿宋_GB2312" w:hint="eastAsia"/>
          <w:b/>
          <w:sz w:val="32"/>
          <w:szCs w:val="32"/>
          <w:lang w:val="zh-CN"/>
        </w:rPr>
        <w:t>（三）</w:t>
      </w:r>
      <w:r>
        <w:rPr>
          <w:rFonts w:ascii="仿宋_GB2312" w:eastAsia="仿宋_GB2312" w:hint="eastAsia"/>
          <w:b/>
          <w:sz w:val="32"/>
          <w:szCs w:val="32"/>
        </w:rPr>
        <w:t>个性指标</w:t>
      </w:r>
      <w:r>
        <w:rPr>
          <w:rFonts w:ascii="仿宋_GB2312" w:eastAsia="仿宋_GB2312" w:hint="eastAsia"/>
          <w:b/>
          <w:bCs/>
          <w:color w:val="000000"/>
          <w:kern w:val="0"/>
          <w:sz w:val="32"/>
          <w:szCs w:val="32"/>
          <w:shd w:val="clear" w:color="auto" w:fill="FFFFFF"/>
          <w:lang w:val="zh-CN"/>
        </w:rPr>
        <w:t>绩效分析。</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w:t>
      </w:r>
      <w:r>
        <w:rPr>
          <w:rFonts w:ascii="仿宋_GB2312" w:eastAsia="仿宋_GB2312"/>
          <w:kern w:val="0"/>
          <w:sz w:val="32"/>
          <w:szCs w:val="32"/>
        </w:rPr>
        <w:t>满意度高，对日常工作开展满意情况得6分；成本控制合理性强得6分，</w:t>
      </w:r>
      <w:r>
        <w:rPr>
          <w:rFonts w:ascii="仿宋_GB2312" w:eastAsia="仿宋_GB2312" w:hint="eastAsia"/>
          <w:kern w:val="0"/>
          <w:sz w:val="32"/>
          <w:szCs w:val="32"/>
        </w:rPr>
        <w:t>该项指标</w:t>
      </w:r>
      <w:r>
        <w:rPr>
          <w:rFonts w:ascii="仿宋_GB2312" w:eastAsia="仿宋_GB2312"/>
          <w:kern w:val="0"/>
          <w:sz w:val="32"/>
          <w:szCs w:val="32"/>
        </w:rPr>
        <w:t>总</w:t>
      </w:r>
      <w:r>
        <w:rPr>
          <w:rFonts w:ascii="仿宋_GB2312" w:eastAsia="仿宋_GB2312" w:hint="eastAsia"/>
          <w:kern w:val="0"/>
          <w:sz w:val="32"/>
          <w:szCs w:val="32"/>
        </w:rPr>
        <w:t>得分</w:t>
      </w:r>
      <w:r>
        <w:rPr>
          <w:rFonts w:ascii="仿宋_GB2312" w:eastAsia="仿宋_GB2312"/>
          <w:kern w:val="0"/>
          <w:sz w:val="32"/>
          <w:szCs w:val="32"/>
        </w:rPr>
        <w:t>12</w:t>
      </w:r>
      <w:r>
        <w:rPr>
          <w:rFonts w:ascii="仿宋_GB2312" w:eastAsia="仿宋_GB2312" w:hint="eastAsia"/>
          <w:kern w:val="0"/>
          <w:sz w:val="32"/>
          <w:szCs w:val="32"/>
        </w:rPr>
        <w:t>分。</w:t>
      </w:r>
    </w:p>
    <w:p>
      <w:pPr>
        <w:spacing w:line="580" w:lineRule="exact"/>
        <w:ind w:firstLineChars="200" w:firstLine="640"/>
        <w:rPr>
          <w:rFonts w:ascii="黑体" w:eastAsia="黑体"/>
          <w:sz w:val="32"/>
          <w:szCs w:val="32"/>
        </w:rPr>
      </w:pPr>
      <w:r>
        <w:rPr>
          <w:rFonts w:ascii="黑体" w:eastAsia="黑体" w:hint="eastAsia"/>
          <w:sz w:val="32"/>
          <w:szCs w:val="32"/>
        </w:rPr>
        <w:t>四、评价结论</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我单位严格按照绩效自评工作要求，秉承客观公正、实事求是的原则开展了黑水县石碉楼乡苦瓜村森林管护巡护道路建设项目支出绩效自评工作，经对各类指标进行评分和汇总分析，黑水县石碉楼乡苦瓜村森林管护巡护道路建设项目支出绩效评价综合得分</w:t>
      </w:r>
      <w:r>
        <w:rPr>
          <w:rFonts w:ascii="仿宋_GB2312" w:eastAsia="仿宋_GB2312"/>
          <w:kern w:val="0"/>
          <w:sz w:val="32"/>
          <w:szCs w:val="32"/>
        </w:rPr>
        <w:t>96</w:t>
      </w:r>
      <w:r>
        <w:rPr>
          <w:rFonts w:ascii="仿宋_GB2312" w:eastAsia="仿宋_GB2312" w:hint="eastAsia"/>
          <w:kern w:val="0"/>
          <w:sz w:val="32"/>
          <w:szCs w:val="32"/>
        </w:rPr>
        <w:t>分。评价结果显示，黑水县石碉楼乡苦瓜村森林管护巡护道路建设项目按照相关规定进行使用和管理，程序较为规范，项目支出使用效益达到预期。</w:t>
      </w:r>
    </w:p>
    <w:p>
      <w:pPr>
        <w:spacing w:line="580" w:lineRule="exact"/>
        <w:ind w:firstLineChars="200" w:firstLine="640"/>
        <w:rPr>
          <w:rFonts w:ascii="黑体" w:eastAsia="黑体"/>
          <w:sz w:val="32"/>
          <w:szCs w:val="32"/>
        </w:rPr>
      </w:pPr>
      <w:r>
        <w:rPr>
          <w:rFonts w:ascii="黑体" w:eastAsia="黑体" w:hint="eastAsia"/>
          <w:sz w:val="32"/>
          <w:szCs w:val="32"/>
        </w:rPr>
        <w:t>五、存在主要问题</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kern w:val="0"/>
          <w:sz w:val="32"/>
          <w:szCs w:val="32"/>
        </w:rPr>
        <w:t>1.</w:t>
      </w:r>
      <w:r>
        <w:rPr>
          <w:rFonts w:ascii="仿宋_GB2312" w:eastAsia="仿宋_GB2312" w:hint="eastAsia"/>
          <w:kern w:val="0"/>
          <w:sz w:val="32"/>
          <w:szCs w:val="32"/>
        </w:rPr>
        <w:t>项目管理相关制度待完善</w:t>
      </w:r>
    </w:p>
    <w:p>
      <w:pPr>
        <w:adjustRightInd w:val="0"/>
        <w:snapToGrid w:val="0"/>
        <w:spacing w:line="578" w:lineRule="exact"/>
        <w:ind w:firstLineChars="200" w:firstLine="640"/>
        <w:rPr>
          <w:rFonts w:ascii="仿宋_GB2312" w:eastAsia="仿宋_GB2312"/>
          <w:kern w:val="0"/>
          <w:sz w:val="32"/>
          <w:szCs w:val="32"/>
        </w:rPr>
      </w:pPr>
      <w:r>
        <w:rPr>
          <w:rFonts w:ascii="仿宋_GB2312" w:eastAsia="仿宋_GB2312" w:hint="eastAsia"/>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22"/>
        <w:rPr>
          <w:rFonts w:ascii="仿宋_GB2312"/>
        </w:rPr>
      </w:pPr>
      <w:r>
        <w:rPr>
          <w:rFonts w:ascii="仿宋_GB2312"/>
          <w:kern w:val="0"/>
        </w:rPr>
        <w:t>2.</w:t>
      </w:r>
      <w:r>
        <w:rPr>
          <w:rFonts w:ascii="仿宋_GB2312" w:hint="eastAsia"/>
          <w:kern w:val="0"/>
        </w:rPr>
        <w:t>支出进度不达标，因天气原因需要停工，所以前期支付进度不达标。</w:t>
      </w:r>
    </w:p>
    <w:p>
      <w:pPr>
        <w:spacing w:line="580" w:lineRule="exact"/>
        <w:ind w:firstLineChars="200" w:firstLine="640"/>
        <w:rPr>
          <w:rFonts w:ascii="黑体" w:eastAsia="黑体"/>
          <w:sz w:val="32"/>
          <w:szCs w:val="32"/>
          <w:lang w:val="zh-CN"/>
        </w:rPr>
      </w:pPr>
      <w:r>
        <w:rPr>
          <w:rFonts w:ascii="黑体" w:eastAsia="黑体" w:hint="eastAsia"/>
          <w:sz w:val="32"/>
          <w:szCs w:val="32"/>
          <w:lang w:val="zh-CN"/>
        </w:rPr>
        <w:t>六、改进建议</w:t>
      </w:r>
    </w:p>
    <w:p>
      <w:pPr>
        <w:adjustRightInd w:val="0"/>
        <w:snapToGrid w:val="0"/>
        <w:spacing w:line="578" w:lineRule="exact"/>
        <w:ind w:firstLineChars="200" w:firstLine="640"/>
        <w:rPr>
          <w:rFonts w:ascii="仿宋_GB2312" w:eastAsia="仿宋_GB2312"/>
          <w:kern w:val="0"/>
          <w:sz w:val="32"/>
          <w:szCs w:val="32"/>
        </w:rPr>
      </w:pPr>
      <w:bookmarkStart w:id="0" w:name="_Hlk110546638"/>
      <w:r>
        <w:rPr>
          <w:rFonts w:ascii="仿宋_GB2312" w:eastAsia="仿宋_GB2312" w:hint="eastAsia"/>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Chars="200" w:firstLine="640"/>
        <w:jc w:val="right"/>
        <w:rPr>
          <w:rFonts w:ascii="仿宋_GB2312" w:eastAsia="仿宋_GB2312"/>
          <w:kern w:val="0"/>
          <w:sz w:val="32"/>
          <w:szCs w:val="32"/>
        </w:rPr>
      </w:pPr>
    </w:p>
    <w:p>
      <w:pPr>
        <w:snapToGrid w:val="0"/>
        <w:spacing w:line="578" w:lineRule="exact"/>
        <w:ind w:firstLineChars="200" w:firstLine="640"/>
        <w:rPr>
          <w:rFonts w:ascii="仿宋_GB2312" w:eastAsia="仿宋_GB2312"/>
          <w:color w:val="000000"/>
          <w:kern w:val="0"/>
          <w:sz w:val="32"/>
          <w:szCs w:val="32"/>
          <w:shd w:val="clear" w:color="auto" w:fill="FFFFFF"/>
        </w:rPr>
      </w:pPr>
      <w:r>
        <w:rPr>
          <w:rFonts w:ascii="仿宋_GB2312" w:eastAsia="仿宋_GB2312" w:hint="eastAsia"/>
          <w:color w:val="000000"/>
          <w:kern w:val="0"/>
          <w:sz w:val="32"/>
          <w:szCs w:val="32"/>
          <w:shd w:val="clear" w:color="auto" w:fill="FFFFFF"/>
        </w:rPr>
        <w:t>附表：1.项目资金分配涉及所有点位自评得分情况表</w:t>
      </w:r>
    </w:p>
    <w:p>
      <w:pPr>
        <w:snapToGrid w:val="0"/>
        <w:spacing w:line="578" w:lineRule="exact"/>
        <w:ind w:firstLineChars="500" w:firstLine="1600"/>
        <w:rPr>
          <w:rFonts w:ascii="仿宋_GB2312" w:eastAsia="仿宋_GB2312"/>
          <w:color w:val="000000"/>
          <w:kern w:val="0"/>
          <w:sz w:val="32"/>
          <w:szCs w:val="32"/>
          <w:shd w:val="clear" w:color="auto" w:fill="FFFFFF"/>
        </w:rPr>
      </w:pPr>
      <w:r>
        <w:rPr>
          <w:rFonts w:ascii="仿宋_GB2312" w:eastAsia="仿宋_GB2312" w:hint="eastAsia"/>
          <w:color w:val="000000"/>
          <w:kern w:val="0"/>
          <w:sz w:val="32"/>
          <w:szCs w:val="32"/>
        </w:rPr>
        <w:drawing>
          <wp:anchor distT="0" distB="0" distL="114300" distR="114300" simplePos="0" relativeHeight="15" behindDoc="0" locked="0" layoutInCell="1" hidden="0" allowOverlap="1">
            <wp:simplePos x="0" y="0"/>
            <wp:positionH relativeFrom="column">
              <wp:posOffset>3905248</wp:posOffset>
            </wp:positionH>
            <wp:positionV relativeFrom="paragraph">
              <wp:posOffset>120014</wp:posOffset>
            </wp:positionV>
            <wp:extent cx="1638300" cy="1619250"/>
            <wp:effectExtent l="0" t="0" r="0" b="0"/>
            <wp:wrapNone/>
            <wp:docPr id="3" name="图片 2" descr="公章电子章"/>
            <wp:cNvGraphicFramePr>
              <a:graphicFrameLocks noChangeAspect="1"/>
            </wp:cNvGraphicFramePr>
            <a:graphic>
              <a:graphicData uri="http://schemas.openxmlformats.org/drawingml/2006/picture">
                <pic:pic>
                  <pic:nvPicPr>
                    <pic:cNvPr id="5" name="图片 2 5"/>
                    <pic:cNvPicPr/>
                  </pic:nvPicPr>
                  <pic:blipFill>
                    <a:blip r:embed="rId2"/>
                    <a:stretch>
                      <a:fillRect/>
                    </a:stretch>
                  </pic:blipFill>
                  <pic:spPr>
                    <a:xfrm rot="0">
                      <a:off x="0" y="0"/>
                      <a:ext cx="1638300" cy="1619250"/>
                    </a:xfrm>
                    <a:prstGeom prst="rect"/>
                    <a:noFill/>
                    <a:ln w="9525" cmpd="sng" cap="flat">
                      <a:noFill/>
                      <a:prstDash val="solid"/>
                      <a:round/>
                    </a:ln>
                  </pic:spPr>
                </pic:pic>
              </a:graphicData>
            </a:graphic>
          </wp:anchor>
        </w:drawing>
      </w:r>
      <w:r>
        <w:rPr>
          <w:rFonts w:ascii="仿宋_GB2312" w:eastAsia="仿宋_GB2312" w:hint="eastAsia"/>
          <w:color w:val="000000"/>
          <w:kern w:val="0"/>
          <w:sz w:val="32"/>
          <w:szCs w:val="32"/>
          <w:shd w:val="clear" w:color="auto" w:fill="FFFFFF"/>
        </w:rPr>
        <w:t>2.专项预算项目绩效目标完成情况自评表</w:t>
      </w:r>
    </w:p>
    <w:p>
      <w:pPr>
        <w:snapToGrid w:val="0"/>
        <w:spacing w:line="578" w:lineRule="exact"/>
        <w:ind w:firstLineChars="500" w:firstLine="1600"/>
        <w:rPr>
          <w:rFonts w:ascii="仿宋_GB2312" w:eastAsia="仿宋_GB2312"/>
          <w:color w:val="000000"/>
          <w:kern w:val="0"/>
          <w:sz w:val="32"/>
          <w:szCs w:val="32"/>
          <w:shd w:val="clear" w:color="auto" w:fill="FFFFFF"/>
        </w:rPr>
      </w:pPr>
    </w:p>
    <w:p>
      <w:pPr>
        <w:adjustRightInd w:val="0"/>
        <w:snapToGrid w:val="0"/>
        <w:spacing w:line="578" w:lineRule="exact"/>
        <w:ind w:firstLineChars="200" w:firstLine="64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Chars="200" w:firstLine="640"/>
        <w:jc w:val="right"/>
        <w:rPr>
          <w:rFonts w:ascii="仿宋_GB2312" w:eastAsia="仿宋_GB2312"/>
          <w:kern w:val="0"/>
          <w:sz w:val="32"/>
          <w:szCs w:val="32"/>
        </w:rPr>
      </w:pPr>
      <w:r>
        <w:rPr>
          <w:rFonts w:ascii="仿宋_GB2312" w:eastAsia="仿宋_GB2312"/>
          <w:kern w:val="0"/>
          <w:sz w:val="32"/>
          <w:szCs w:val="32"/>
        </w:rPr>
        <w:t>202</w:t>
      </w:r>
      <w:r>
        <w:rPr>
          <w:rFonts w:ascii="仿宋_GB2312" w:eastAsia="仿宋_GB2312" w:hint="eastAsia"/>
          <w:kern w:val="0"/>
          <w:sz w:val="32"/>
          <w:szCs w:val="32"/>
        </w:rPr>
        <w:t>5</w:t>
      </w:r>
      <w:r>
        <w:rPr>
          <w:rFonts w:ascii="仿宋_GB2312" w:eastAsia="仿宋_GB2312"/>
          <w:kern w:val="0"/>
          <w:sz w:val="32"/>
          <w:szCs w:val="32"/>
        </w:rPr>
        <w:t>年</w:t>
      </w:r>
      <w:r>
        <w:rPr>
          <w:rFonts w:ascii="仿宋_GB2312" w:eastAsia="仿宋_GB2312" w:hint="eastAsia"/>
          <w:kern w:val="0"/>
          <w:sz w:val="32"/>
          <w:szCs w:val="32"/>
        </w:rPr>
        <w:t>4</w:t>
      </w:r>
      <w:r>
        <w:rPr>
          <w:rFonts w:ascii="仿宋_GB2312" w:eastAsia="仿宋_GB2312"/>
          <w:kern w:val="0"/>
          <w:sz w:val="32"/>
          <w:szCs w:val="32"/>
        </w:rPr>
        <w:t>月</w:t>
      </w:r>
      <w:r>
        <w:rPr>
          <w:rFonts w:ascii="仿宋_GB2312" w:eastAsia="仿宋_GB2312" w:hint="eastAsia"/>
          <w:kern w:val="0"/>
          <w:sz w:val="32"/>
          <w:szCs w:val="32"/>
        </w:rPr>
        <w:t>29</w:t>
      </w:r>
      <w:r>
        <w:rPr>
          <w:rFonts w:ascii="仿宋_GB2312" w:eastAsia="仿宋_GB2312"/>
          <w:kern w:val="0"/>
          <w:sz w:val="32"/>
          <w:szCs w:val="32"/>
        </w:rPr>
        <w:t>日</w:t>
      </w:r>
    </w:p>
    <w:p/>
    <w:p>
      <w:pPr>
        <w:spacing w:line="576" w:lineRule="exact"/>
        <w:rPr>
          <w:rFonts w:ascii="仿宋_GB2312" w:eastAsia="仿宋_GB2312" w:cs="仿宋_GB2312"/>
          <w:bCs/>
          <w:sz w:val="32"/>
          <w:szCs w:val="32"/>
        </w:rPr>
      </w:pPr>
    </w:p>
    <w:p>
      <w:pPr>
        <w:pBdr>
          <w:top w:val="single" w:sz="6" w:space="1" w:color="auto"/>
          <w:bottom w:val="single" w:sz="6" w:space="1" w:color="auto"/>
        </w:pBdr>
        <w:rPr>
          <w:rFonts w:ascii="黑体" w:eastAsia="黑体" w:cs="黑体"/>
          <w:kern w:val="0"/>
          <w:sz w:val="32"/>
          <w:szCs w:val="32"/>
          <w:shd w:val="clear" w:color="auto" w:fill="FFFFFF"/>
          <w:lang w:val="zh-CN"/>
        </w:rPr>
      </w:pPr>
      <w:r>
        <w:rPr>
          <w:rFonts w:ascii="仿宋" w:eastAsia="仿宋" w:cs="仿宋" w:hint="eastAsia"/>
          <w:sz w:val="32"/>
          <w:szCs w:val="32"/>
        </w:rPr>
        <w:t>石碉楼乡人民政府                   2025年4月29日</w:t>
      </w:r>
    </w:p>
    <w:p/>
    <w:p>
      <w:pPr>
        <w:snapToGrid w:val="0"/>
        <w:spacing w:line="578" w:lineRule="exact"/>
        <w:rPr>
          <w:rFonts w:ascii="黑体" w:eastAsia="黑体" w:cs="黑体"/>
          <w:kern w:val="0"/>
          <w:shd w:val="clear" w:color="auto" w:fill="FFFFFF"/>
          <w:lang w:val="zh-CN"/>
        </w:rPr>
      </w:pPr>
      <w:r>
        <w:rPr>
          <w:rFonts w:hint="eastAsia"/>
          <w:color w:val="000000"/>
          <w:kern w:val="0"/>
          <w:shd w:val="clear" w:color="auto" w:fill="FFFFFF"/>
          <w:lang w:val="zh-CN"/>
        </w:rPr>
        <w:br w:type="page"/>
      </w:r>
      <w:r>
        <w:rPr>
          <w:rFonts w:ascii="仿宋_GB2312" w:cs="仿宋_GB2312" w:hAnsi="仿宋_GB2312" w:hint="eastAsia"/>
          <w:kern w:val="0"/>
          <w:lang w:val="zh-CN"/>
        </w:rPr>
        <w:t>附表</w:t>
      </w:r>
      <w:r>
        <w:rPr>
          <w:rFonts w:ascii="仿宋_GB2312" w:cs="仿宋_GB2312" w:hAnsi="仿宋_GB2312" w:hint="eastAsia"/>
          <w:kern w:val="0"/>
        </w:rPr>
        <w:t>1</w:t>
      </w:r>
    </w:p>
    <w:p>
      <w:pPr>
        <w:spacing w:line="578" w:lineRule="exact"/>
        <w:jc w:val="center"/>
        <w:rPr>
          <w:rFonts w:ascii="方正小标宋_GBK" w:eastAsia="方正小标宋_GBK" w:cs="方正小标宋_GBK"/>
          <w:sz w:val="40"/>
          <w:szCs w:val="40"/>
        </w:rPr>
      </w:pPr>
    </w:p>
    <w:p>
      <w:pPr>
        <w:spacing w:line="578" w:lineRule="exact"/>
        <w:jc w:val="center"/>
        <w:rPr>
          <w:rFonts w:ascii="方正小标宋_GBK" w:eastAsia="方正小标宋_GBK" w:cs="方正小标宋_GBK"/>
          <w:sz w:val="40"/>
          <w:szCs w:val="40"/>
        </w:rPr>
      </w:pPr>
      <w:r>
        <w:rPr>
          <w:rFonts w:ascii="方正小标宋_GBK" w:eastAsia="方正小标宋_GBK" w:cs="方正小标宋_GBK" w:hint="eastAsia"/>
          <w:sz w:val="40"/>
          <w:szCs w:val="40"/>
        </w:rPr>
        <w:t>项目资金分配涉及所有点位自评得分情况表</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85"/>
        <w:gridCol w:w="3713"/>
        <w:gridCol w:w="2764"/>
        <w:gridCol w:w="959"/>
      </w:tblGrid>
      <w:tr>
        <w:trPr>
          <w:trHeight w:hRule="exact" w:val="283"/>
        </w:trPr>
        <w:tc>
          <w:tcPr>
            <w:tcW w:w="112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jc w:val="center"/>
              <w:rPr>
                <w:rFonts w:ascii="黑体" w:eastAsia="黑体" w:cs="黑体"/>
                <w:sz w:val="24"/>
              </w:rPr>
            </w:pPr>
            <w:r>
              <w:rPr>
                <w:rFonts w:ascii="黑体" w:eastAsia="黑体" w:cs="黑体" w:hint="eastAsia"/>
                <w:sz w:val="24"/>
              </w:rPr>
              <w:t>序号</w:t>
            </w:r>
          </w:p>
        </w:tc>
        <w:tc>
          <w:tcPr>
            <w:tcW w:w="384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jc w:val="center"/>
              <w:rPr>
                <w:rFonts w:ascii="黑体" w:eastAsia="黑体" w:cs="黑体"/>
                <w:sz w:val="24"/>
              </w:rPr>
            </w:pPr>
            <w:r>
              <w:rPr>
                <w:rFonts w:ascii="黑体" w:eastAsia="黑体" w:cs="黑体" w:hint="eastAsia"/>
                <w:sz w:val="24"/>
              </w:rPr>
              <w:t>项目资金末端分配点位</w:t>
            </w:r>
          </w:p>
        </w:tc>
        <w:tc>
          <w:tcPr>
            <w:tcW w:w="2861"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jc w:val="center"/>
              <w:rPr>
                <w:rFonts w:ascii="黑体" w:eastAsia="黑体" w:cs="黑体"/>
                <w:sz w:val="24"/>
              </w:rPr>
            </w:pPr>
            <w:r>
              <w:rPr>
                <w:rFonts w:ascii="黑体" w:eastAsia="黑体" w:cs="黑体" w:hint="eastAsia"/>
                <w:sz w:val="24"/>
              </w:rPr>
              <w:t>自评得分（百分制）</w:t>
            </w:r>
          </w:p>
        </w:tc>
        <w:tc>
          <w:tcPr>
            <w:tcW w:w="99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jc w:val="center"/>
              <w:rPr>
                <w:rFonts w:ascii="黑体" w:eastAsia="黑体" w:cs="黑体"/>
                <w:sz w:val="24"/>
              </w:rPr>
            </w:pPr>
            <w:r>
              <w:rPr>
                <w:rFonts w:ascii="黑体" w:eastAsia="黑体" w:cs="黑体" w:hint="eastAsia"/>
                <w:sz w:val="24"/>
              </w:rPr>
              <w:t>备注</w:t>
            </w:r>
          </w:p>
        </w:tc>
      </w:tr>
      <w:tr>
        <w:trPr>
          <w:trHeight w:hRule="exact" w:val="283"/>
        </w:trPr>
        <w:tc>
          <w:tcPr>
            <w:tcW w:w="112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jc w:val="center"/>
              <w:rPr>
                <w:rFonts w:ascii="宋体" w:cs="宋体"/>
                <w:sz w:val="24"/>
              </w:rPr>
            </w:pPr>
            <w:r>
              <w:rPr>
                <w:rFonts w:ascii="宋体" w:cs="宋体" w:hint="eastAsia"/>
                <w:sz w:val="24"/>
              </w:rPr>
              <w:t>1</w:t>
            </w:r>
          </w:p>
        </w:tc>
        <w:tc>
          <w:tcPr>
            <w:tcW w:w="384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rPr>
                <w:rFonts w:ascii="宋体" w:eastAsia="仿宋_GB2312" w:cs="宋体" w:hAnsi="宋体"/>
                <w:sz w:val="24"/>
              </w:rPr>
            </w:pPr>
            <w:r>
              <w:rPr>
                <w:rFonts w:ascii="宋体" w:cs="宋体" w:hint="eastAsia"/>
                <w:sz w:val="24"/>
              </w:rPr>
              <w:t>黑水县</w:t>
            </w:r>
            <w:r>
              <w:rPr>
                <w:rFonts w:ascii="宋体" w:cs="宋体"/>
                <w:sz w:val="24"/>
              </w:rPr>
              <w:t>石碉楼乡</w:t>
            </w:r>
            <w:r>
              <w:rPr>
                <w:rFonts w:ascii="宋体" w:cs="宋体" w:hint="eastAsia"/>
                <w:sz w:val="24"/>
              </w:rPr>
              <w:t>人民政府</w:t>
            </w:r>
          </w:p>
        </w:tc>
        <w:tc>
          <w:tcPr>
            <w:tcW w:w="2861" w:type="dxa"/>
            <w:tcBorders>
              <w:top w:val="single" w:sz="4" w:space="0" w:color="auto"/>
              <w:left w:val="single" w:sz="4" w:space="0" w:color="auto"/>
              <w:bottom w:val="single" w:sz="4" w:space="0" w:color="auto"/>
              <w:right w:val="single" w:sz="4" w:space="0" w:color="auto"/>
              <w:tl2br w:val="nil"/>
              <w:tr2bl w:val="nil"/>
            </w:tcBorders>
            <w:noWrap/>
          </w:tcPr>
          <w:p>
            <w:pPr>
              <w:tabs>
                <w:tab w:val="center" w:pos="1274"/>
              </w:tabs>
              <w:spacing w:line="300" w:lineRule="exact"/>
              <w:rPr>
                <w:rFonts w:ascii="宋体" w:eastAsia="仿宋_GB2312" w:cs="宋体" w:hAnsi="宋体"/>
                <w:sz w:val="24"/>
              </w:rPr>
            </w:pPr>
            <w:r>
              <w:rPr>
                <w:rFonts w:ascii="宋体" w:eastAsia="仿宋_GB2312" w:cs="宋体" w:hAnsi="宋体"/>
                <w:sz w:val="24"/>
              </w:rPr>
              <w:t>96</w:t>
            </w:r>
            <w:bookmarkStart w:id="1" w:name="_GoBack"/>
            <w:bookmarkEnd w:id="1"/>
          </w:p>
        </w:tc>
        <w:tc>
          <w:tcPr>
            <w:tcW w:w="993" w:type="dxa"/>
            <w:tcBorders>
              <w:top w:val="single" w:sz="4" w:space="0" w:color="auto"/>
              <w:left w:val="single" w:sz="4" w:space="0" w:color="auto"/>
              <w:bottom w:val="single" w:sz="4" w:space="0" w:color="auto"/>
              <w:right w:val="single" w:sz="4" w:space="0" w:color="auto"/>
              <w:tl2br w:val="nil"/>
              <w:tr2bl w:val="nil"/>
            </w:tcBorders>
            <w:noWrap/>
          </w:tcPr>
          <w:p>
            <w:pPr>
              <w:spacing w:line="300" w:lineRule="exact"/>
              <w:rPr>
                <w:rFonts w:ascii="宋体" w:cs="宋体"/>
                <w:sz w:val="24"/>
              </w:rPr>
            </w:pPr>
          </w:p>
        </w:tc>
      </w:tr>
    </w:tbl>
    <w:p>
      <w:pPr>
        <w:spacing w:line="400" w:lineRule="exact"/>
        <w:jc w:val="left"/>
        <w:rPr>
          <w:rFonts w:ascii="宋体" w:cs="宋体"/>
          <w:szCs w:val="21"/>
        </w:rPr>
      </w:pPr>
      <w:r>
        <w:rPr>
          <w:rFonts w:ascii="宋体" w:cs="宋体" w:hint="eastAsia"/>
          <w:szCs w:val="21"/>
        </w:rPr>
        <w:t>备注：1.项目资金末端分配点位包括市（州）本级、县（市、区）、省级部门下属单位及一次性单位等。</w:t>
      </w:r>
    </w:p>
    <w:p>
      <w:pPr>
        <w:spacing w:line="400" w:lineRule="exact"/>
        <w:ind w:firstLineChars="300" w:firstLine="630"/>
        <w:jc w:val="left"/>
        <w:rPr>
          <w:rFonts w:ascii="宋体" w:cs="宋体"/>
          <w:szCs w:val="21"/>
        </w:rPr>
      </w:pPr>
      <w:r>
        <w:rPr>
          <w:rFonts w:ascii="宋体" w:cs="宋体" w:hint="eastAsia"/>
          <w:szCs w:val="21"/>
        </w:rPr>
        <w:t>2.自评得分（百分制）从高到低划分为优、良、中、差四个档次，各个档次数量占比分别为20%、20%、55%、5%，且不同档次间得分分值应体现差异化，同档次得分分值相同的比例不超过该档次总数量的10%。</w:t>
      </w: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spacing w:line="400" w:lineRule="exact"/>
        <w:ind w:firstLineChars="300" w:firstLine="630"/>
        <w:jc w:val="left"/>
        <w:rPr>
          <w:rFonts w:ascii="宋体" w:cs="宋体"/>
          <w:szCs w:val="21"/>
        </w:rPr>
      </w:pPr>
    </w:p>
    <w:p>
      <w:pPr>
        <w:rPr>
          <w:rFonts w:ascii="仿宋_GB2312" w:cs="仿宋_GB2312" w:hAnsi="仿宋_GB2312"/>
          <w:kern w:val="0"/>
        </w:rPr>
      </w:pPr>
      <w:r>
        <w:rPr>
          <w:rFonts w:ascii="仿宋_GB2312" w:cs="仿宋_GB2312" w:hAnsi="仿宋_GB2312"/>
          <w:kern w:val="0"/>
        </w:rPr>
        <w:t>附表2</w:t>
      </w:r>
    </w:p>
    <w:tbl>
      <w:tblPr>
        <w:jc w:val="center"/>
        <w:tblW w:w="10231"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154"/>
        <w:gridCol w:w="1408"/>
        <w:gridCol w:w="1127"/>
        <w:gridCol w:w="971"/>
        <w:gridCol w:w="1061"/>
        <w:gridCol w:w="938"/>
        <w:gridCol w:w="1841"/>
      </w:tblGrid>
      <w:tr>
        <w:trPr>
          <w:trHeight w:val="576"/>
        </w:trPr>
        <w:tc>
          <w:tcPr>
            <w:tcW w:w="10231" w:type="dxa"/>
            <w:gridSpan w:val="9"/>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4" w:type="dxa"/>
            <w:gridSpan w:val="4"/>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黑水县石碉楼乡苦瓜村森林管护巡护道路建设项目</w:t>
            </w:r>
          </w:p>
        </w:tc>
      </w:tr>
      <w:tr>
        <w:trPr>
          <w:trHeight w:val="23"/>
        </w:trPr>
        <w:tc>
          <w:tcPr>
            <w:tcW w:w="4294" w:type="dxa"/>
            <w:gridSpan w:val="4"/>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rPr>
          <w:trHeight w:val="23"/>
        </w:trPr>
        <w:tc>
          <w:tcPr>
            <w:tcW w:w="4294" w:type="dxa"/>
            <w:gridSpan w:val="4"/>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eastAsia="仿宋_GB2312"/>
                <w:szCs w:val="28"/>
              </w:rPr>
            </w:pPr>
            <w:r>
              <w:rPr>
                <w:rFonts w:ascii="宋体" w:cs="宋体" w:hint="eastAsia"/>
                <w:color w:val="000000"/>
                <w:kern w:val="0"/>
                <w:sz w:val="24"/>
              </w:rPr>
              <w:t>专项</w:t>
            </w:r>
          </w:p>
        </w:tc>
      </w:tr>
      <w:tr>
        <w:trPr>
          <w:trHeight w:val="22"/>
        </w:trPr>
        <w:tc>
          <w:tcPr>
            <w:tcW w:w="652" w:type="dxa"/>
            <w:vMerge w:val="restart"/>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22"/>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22"/>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Arial" w:cs="Arial" w:hAnsi="Arial"/>
                <w:color w:val="000000"/>
                <w:kern w:val="0"/>
                <w:sz w:val="24"/>
              </w:rPr>
              <w:t>√</w:t>
            </w:r>
            <w:r>
              <w:rPr>
                <w:rFonts w:ascii="宋体" w:cs="宋体"/>
                <w:color w:val="000000"/>
                <w:kern w:val="0"/>
                <w:sz w:val="24"/>
              </w:rPr>
              <w:t>因素法与项目法相结合</w:t>
            </w:r>
          </w:p>
        </w:tc>
      </w:tr>
      <w:tr>
        <w:trPr>
          <w:trHeight w:val="22"/>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立项依据</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项目预算资金为：280万元，项目新建2.6公里森林管护巡护道路，路基宽度4.5米、路面宽度3.5米、路基堡坎1000立方，过水涵洞4处。简支桥梁一座：桥长26米、桥面宽5.5米，单车道。</w:t>
            </w:r>
          </w:p>
        </w:tc>
      </w:tr>
      <w:tr>
        <w:trPr>
          <w:trHeight w:val="22"/>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该项目资金主要用于村级基础设施运行维护费</w:t>
            </w:r>
          </w:p>
        </w:tc>
      </w:tr>
      <w:tr>
        <w:trPr>
          <w:trHeight w:val="22"/>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3642" w:type="dxa"/>
            <w:gridSpan w:val="3"/>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color w:val="000000"/>
                <w:kern w:val="0"/>
                <w:sz w:val="24"/>
              </w:rPr>
              <w:t>2023年5月至</w:t>
            </w:r>
            <w:r>
              <w:rPr>
                <w:color w:val="000000"/>
                <w:kern w:val="0"/>
                <w:sz w:val="24"/>
              </w:rPr>
              <w:t>202</w:t>
            </w:r>
            <w:r>
              <w:rPr>
                <w:rFonts w:hint="eastAsia"/>
                <w:color w:val="000000"/>
                <w:kern w:val="0"/>
                <w:sz w:val="24"/>
              </w:rPr>
              <w:t>4年10月</w:t>
            </w:r>
          </w:p>
        </w:tc>
      </w:tr>
      <w:tr>
        <w:trPr>
          <w:trHeight w:val="22"/>
        </w:trPr>
        <w:tc>
          <w:tcPr>
            <w:tcW w:w="1733" w:type="dxa"/>
            <w:gridSpan w:val="2"/>
            <w:vMerge w:val="restart"/>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62" w:type="dxa"/>
            <w:gridSpan w:val="2"/>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280</w:t>
            </w:r>
          </w:p>
        </w:tc>
      </w:tr>
      <w:tr>
        <w:trPr>
          <w:trHeight w:val="22"/>
        </w:trPr>
        <w:tc>
          <w:tcPr>
            <w:tcW w:w="1733" w:type="dxa"/>
            <w:gridSpan w:val="2"/>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280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rPr>
          <w:trHeight w:val="22"/>
        </w:trPr>
        <w:tc>
          <w:tcPr>
            <w:tcW w:w="652" w:type="dxa"/>
            <w:vMerge w:val="restart"/>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79" w:type="dxa"/>
            <w:gridSpan w:val="8"/>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l2br w:val="nil"/>
              <w:tr2bl w:val="nil"/>
            </w:tcBorders>
            <w:noWrap/>
            <w:vAlign w:val="center"/>
          </w:tcPr>
          <w:p/>
        </w:tc>
        <w:tc>
          <w:tcPr>
            <w:tcW w:w="9579" w:type="dxa"/>
            <w:gridSpan w:val="8"/>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项目预算资金为：280万元，项目新建2.6公里森林管护巡护道路，路基宽度4.5米、路面宽度3.5米、路基堡坎1000立方，过水涵洞4处。简支桥梁一座：桥长26米、桥面宽5.5米，单车道。</w:t>
            </w:r>
          </w:p>
        </w:tc>
      </w:tr>
      <w:tr>
        <w:trPr>
          <w:trHeight w:val="589"/>
        </w:trPr>
        <w:tc>
          <w:tcPr>
            <w:tcW w:w="652" w:type="dxa"/>
            <w:vMerge w:val="restart"/>
            <w:tcBorders>
              <w:top w:val="single" w:sz="4" w:space="0" w:color="000000"/>
              <w:left w:val="single" w:sz="4" w:space="0" w:color="000000"/>
              <w:bottom w:val="single" w:sz="4" w:space="0" w:color="000000"/>
              <w:right w:val="nil"/>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sz="4" w:space="0" w:color="000000"/>
              <w:left w:val="single" w:sz="4" w:space="0" w:color="000000"/>
              <w:bottom w:val="single" w:sz="4" w:space="0" w:color="auto"/>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1179"/>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数量指标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路基堡坎1000立方</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1000</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 xml:space="preserve">立方 </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 xml:space="preserve">10 </w:t>
            </w:r>
          </w:p>
        </w:tc>
        <w:tc>
          <w:tcPr>
            <w:tcW w:w="1841" w:type="dxa"/>
            <w:tcBorders>
              <w:top w:val="single" w:sz="4" w:space="0" w:color="000000"/>
              <w:left w:val="single" w:sz="4" w:space="0" w:color="000000"/>
              <w:bottom w:val="single" w:sz="4" w:space="0" w:color="000000"/>
              <w:right w:val="single" w:sz="4" w:space="0" w:color="000000"/>
              <w:tl2br w:val="nil"/>
              <w:tr2bl w:val="nil"/>
            </w:tcBorders>
            <w:noWrap/>
          </w:tcPr>
          <w:p>
            <w:pPr>
              <w:jc w:val="center"/>
              <w:rPr>
                <w:rFonts w:ascii="仿宋_GB2312" w:eastAsia="仿宋_GB2312"/>
                <w:sz w:val="24"/>
                <w:szCs w:val="24"/>
                <w:vertAlign w:val="baseline"/>
                <w:lang w:val="en-US" w:eastAsia="zh-CN"/>
              </w:rPr>
            </w:pPr>
            <w:r>
              <w:rPr>
                <w:rFonts w:ascii="仿宋_GB2312" w:eastAsia="仿宋_GB2312"/>
                <w:sz w:val="24"/>
                <w:szCs w:val="24"/>
                <w:vertAlign w:val="baseline"/>
                <w:lang w:val="en-US" w:eastAsia="zh-CN"/>
              </w:rPr>
              <w:t>10</w:t>
            </w:r>
          </w:p>
        </w:tc>
      </w:tr>
      <w:tr>
        <w:trPr>
          <w:trHeight w:val="925"/>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sz w:val="24"/>
              </w:rPr>
            </w:pPr>
            <w:r>
              <w:rPr>
                <w:rFonts w:ascii="宋体" w:cs="宋体"/>
                <w:color w:val="000000"/>
                <w:kern w:val="0"/>
                <w:sz w:val="18"/>
                <w:szCs w:val="18"/>
              </w:rPr>
              <w:t>产出指标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数量指标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路基宽度4.5米、路面宽度3.5米</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vertAlign w:val="baseline"/>
                <w:lang w:val="en-US" w:eastAsia="zh-CN"/>
              </w:rPr>
              <w:t>4.5</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vertAlign w:val="baseline"/>
                <w:lang w:val="en-US" w:eastAsia="zh-CN"/>
              </w:rPr>
              <w:t>米</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vertAlign w:val="baseline"/>
                <w:lang w:val="en-US" w:eastAsia="zh-CN"/>
              </w:rPr>
            </w:pPr>
            <w:r>
              <w:rPr>
                <w:rFonts w:ascii="仿宋_GB2312" w:eastAsia="仿宋_GB2312" w:hint="eastAsia"/>
                <w:sz w:val="24"/>
                <w:szCs w:val="24"/>
                <w:vertAlign w:val="baseline"/>
                <w:lang w:val="en-US" w:eastAsia="zh-CN"/>
              </w:rPr>
              <w:t>10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w:t>
            </w:r>
          </w:p>
        </w:tc>
      </w:tr>
      <w:tr>
        <w:trPr>
          <w:trHeight w:val="925"/>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24"/>
              </w:rPr>
            </w:pPr>
            <w:r>
              <w:rPr>
                <w:rFonts w:ascii="宋体" w:cs="宋体"/>
                <w:color w:val="000000"/>
                <w:kern w:val="0"/>
                <w:sz w:val="18"/>
                <w:szCs w:val="18"/>
              </w:rPr>
              <w:t>效益指标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数量指标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新建2.6公里森林管护巡护道路</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2.6</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公里</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w:t>
            </w:r>
          </w:p>
          <w:p>
            <w:pPr>
              <w:widowControl/>
              <w:jc w:val="center"/>
              <w:textAlignment w:val="center"/>
              <w:rPr>
                <w:rFonts w:ascii="宋体" w:cs="宋体"/>
                <w:color w:val="000000"/>
                <w:kern w:val="0"/>
                <w:sz w:val="18"/>
                <w:szCs w:val="18"/>
              </w:rPr>
            </w:pPr>
          </w:p>
        </w:tc>
      </w:tr>
      <w:tr>
        <w:trPr>
          <w:trHeight w:val="1862"/>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产出指标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数量指标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hint="eastAsia"/>
                <w:sz w:val="24"/>
                <w:szCs w:val="24"/>
                <w:lang w:val="en-US" w:eastAsia="zh-CN"/>
              </w:rPr>
            </w:pPr>
            <w:r>
              <w:rPr>
                <w:rFonts w:ascii="仿宋_GB2312" w:eastAsia="仿宋_GB2312" w:hint="eastAsia"/>
                <w:sz w:val="24"/>
                <w:szCs w:val="24"/>
                <w:lang w:val="en-US" w:eastAsia="zh-CN"/>
              </w:rPr>
              <w:t>简支桥梁一座：桥长26米、桥面宽5.5米，单车道。</w:t>
            </w:r>
          </w:p>
          <w:p>
            <w:pPr>
              <w:jc w:val="both"/>
              <w:rPr>
                <w:rFonts w:ascii="仿宋_GB2312" w:eastAsia="仿宋_GB2312"/>
                <w:sz w:val="24"/>
                <w:szCs w:val="24"/>
                <w:lang w:val="en-US" w:eastAsia="zh-CN"/>
              </w:rPr>
            </w:pP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143</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米</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w:t>
            </w:r>
          </w:p>
        </w:tc>
      </w:tr>
      <w:tr>
        <w:trPr>
          <w:trHeight w:val="613"/>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hint="eastAsia"/>
                <w:sz w:val="24"/>
                <w:szCs w:val="24"/>
                <w:lang w:val="en-US" w:eastAsia="zh-CN"/>
              </w:rPr>
              <w:t>产出</w:t>
            </w:r>
            <w:r>
              <w:rPr>
                <w:rFonts w:ascii="仿宋_GB2312" w:eastAsia="仿宋_GB2312" w:hint="eastAsia"/>
                <w:sz w:val="24"/>
              </w:rPr>
              <w:t>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数量指标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过水涵洞4处</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4</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处</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w:t>
            </w:r>
          </w:p>
          <w:p>
            <w:pPr>
              <w:widowControl/>
              <w:jc w:val="center"/>
              <w:textAlignment w:val="center"/>
              <w:rPr>
                <w:rFonts w:ascii="宋体" w:cs="宋体"/>
                <w:color w:val="000000"/>
                <w:kern w:val="0"/>
                <w:sz w:val="18"/>
                <w:szCs w:val="18"/>
              </w:rPr>
            </w:pPr>
          </w:p>
        </w:tc>
      </w:tr>
      <w:tr>
        <w:trPr>
          <w:trHeight w:val="613"/>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产出指标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时效指标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按工程进度支付</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Arial" w:eastAsia="仿宋_GB2312" w:cs="Arial" w:hAnsi="Arial"/>
                <w:sz w:val="24"/>
                <w:szCs w:val="24"/>
                <w:lang w:val="en-US" w:eastAsia="zh-CN"/>
              </w:rPr>
              <w:t>≤</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12</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月</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10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w:t>
            </w:r>
          </w:p>
        </w:tc>
      </w:tr>
      <w:tr>
        <w:trPr>
          <w:trHeight w:val="925"/>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效益指标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社会效益指标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新建2.6公里森林管护巡护道路</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Arial" w:eastAsia="仿宋_GB2312" w:cs="Arial" w:hAnsi="Arial"/>
                <w:sz w:val="24"/>
                <w:szCs w:val="24"/>
                <w:lang w:val="en-US" w:eastAsia="zh-CN"/>
              </w:rPr>
              <w:t>≥</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90</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20</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20</w:t>
            </w:r>
          </w:p>
        </w:tc>
      </w:tr>
      <w:tr>
        <w:trPr>
          <w:trHeight w:val="925"/>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满意度指标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服务对象满意度</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服务对象满意度达90以上</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定性</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90</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5</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w:t>
            </w:r>
          </w:p>
        </w:tc>
      </w:tr>
      <w:tr>
        <w:trPr>
          <w:trHeight w:val="613"/>
        </w:trPr>
        <w:tc>
          <w:tcPr>
            <w:tcW w:w="652" w:type="dxa"/>
            <w:vMerge/>
            <w:tcBorders>
              <w:top w:val="single" w:sz="4" w:space="0" w:color="000000"/>
              <w:left w:val="single" w:sz="4" w:space="0" w:color="000000"/>
              <w:bottom w:val="single" w:sz="4" w:space="0" w:color="000000"/>
              <w:right w:val="nil"/>
              <w:tl2br w:val="nil"/>
              <w:tr2bl w:val="nil"/>
            </w:tcBorders>
            <w:noWrap/>
            <w:vAlign w:val="center"/>
          </w:tc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成本指标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经济成本指标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巡护道路建设</w:t>
            </w:r>
            <w:r>
              <w:rPr>
                <w:rFonts w:ascii="仿宋_GB2312" w:eastAsia="仿宋_GB2312"/>
                <w:sz w:val="24"/>
                <w:szCs w:val="24"/>
                <w:lang w:val="en-US" w:eastAsia="zh-CN"/>
              </w:rPr>
              <w:t>总投资</w:t>
            </w:r>
            <w:r>
              <w:rPr>
                <w:rFonts w:ascii="仿宋_GB2312" w:eastAsia="仿宋_GB2312" w:hint="eastAsia"/>
                <w:sz w:val="24"/>
                <w:szCs w:val="24"/>
                <w:lang w:val="en-US" w:eastAsia="zh-CN"/>
              </w:rPr>
              <w:t>280万元</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 xml:space="preserve">= </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2800000</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元</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jc w:val="both"/>
              <w:rPr>
                <w:rFonts w:ascii="仿宋_GB2312" w:eastAsia="仿宋_GB2312"/>
                <w:sz w:val="24"/>
                <w:szCs w:val="24"/>
                <w:lang w:val="en-US" w:eastAsia="zh-CN"/>
              </w:rPr>
            </w:pPr>
            <w:r>
              <w:rPr>
                <w:rFonts w:ascii="仿宋_GB2312" w:eastAsia="仿宋_GB2312" w:hint="eastAsia"/>
                <w:sz w:val="24"/>
                <w:szCs w:val="24"/>
                <w:lang w:val="en-US" w:eastAsia="zh-CN"/>
              </w:rPr>
              <w:t>5</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w:t>
            </w:r>
          </w:p>
        </w:tc>
      </w:tr>
      <w:tr>
        <w:trPr>
          <w:trHeight w:val="613"/>
        </w:trPr>
        <w:tc>
          <w:tcPr>
            <w:tcW w:w="652" w:type="dxa"/>
            <w:tcBorders>
              <w:top w:val="single" w:sz="4" w:space="0" w:color="000000"/>
              <w:left w:val="single" w:sz="4" w:space="0" w:color="000000"/>
              <w:bottom w:val="single" w:sz="4" w:space="0" w:color="000000"/>
              <w:right w:val="nil"/>
              <w:tl2br w:val="nil"/>
              <w:tr2bl w:val="nil"/>
            </w:tcBorders>
            <w:noWrap/>
            <w:vAlign w:val="center"/>
          </w:tcPr>
          <w:p>
            <w:pPr>
              <w:widowControl/>
              <w:spacing w:line="300" w:lineRule="exact"/>
              <w:jc w:val="center"/>
              <w:textAlignment w:val="center"/>
              <w:rPr>
                <w:rFonts w:ascii="宋体" w:cs="宋体"/>
                <w:color w:val="000000"/>
                <w:kern w:val="0"/>
                <w:sz w:val="24"/>
              </w:rPr>
            </w:pPr>
          </w:p>
        </w:tc>
        <w:tc>
          <w:tcPr>
            <w:tcW w:w="1081"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hint="eastAsia"/>
                <w:sz w:val="24"/>
                <w:szCs w:val="24"/>
                <w:lang w:val="en-US" w:eastAsia="zh-CN"/>
              </w:rPr>
              <w:t>成本指标</w:t>
            </w:r>
          </w:p>
        </w:tc>
        <w:tc>
          <w:tcPr>
            <w:tcW w:w="1154" w:type="dxa"/>
            <w:tcBorders>
              <w:top w:val="single" w:sz="4" w:space="0" w:color="auto"/>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hint="eastAsia"/>
                <w:sz w:val="24"/>
                <w:szCs w:val="24"/>
                <w:lang w:val="en-US" w:eastAsia="zh-CN"/>
              </w:rPr>
              <w:t>经济成本指标</w:t>
            </w:r>
          </w:p>
        </w:tc>
        <w:tc>
          <w:tcPr>
            <w:tcW w:w="1408"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Avenir" w:hAnsi="Avenir"/>
                <w:b w:val="0"/>
                <w:bCs w:val="0"/>
                <w:i w:val="0"/>
                <w:iCs w:val="0"/>
                <w:caps w:val="0"/>
                <w:smallCaps w:val="0"/>
                <w:color w:val="000000"/>
                <w:spacing w:val="0"/>
                <w:sz w:val="16"/>
                <w:szCs w:val="16"/>
                <w:shd w:val="clear" w:color="auto" w:fill="FFFFFF"/>
              </w:rPr>
              <w:t>一般债券资金85万元</w:t>
            </w:r>
          </w:p>
        </w:tc>
        <w:tc>
          <w:tcPr>
            <w:tcW w:w="1127"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sz w:val="24"/>
                <w:szCs w:val="24"/>
                <w:lang w:val="en-US" w:eastAsia="zh-CN"/>
              </w:rPr>
              <w:t>=</w:t>
            </w:r>
          </w:p>
        </w:tc>
        <w:tc>
          <w:tcPr>
            <w:tcW w:w="971"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sz w:val="24"/>
                <w:szCs w:val="24"/>
                <w:lang w:val="en-US" w:eastAsia="zh-CN"/>
              </w:rPr>
              <w:t>850000</w:t>
            </w:r>
          </w:p>
        </w:tc>
        <w:tc>
          <w:tcPr>
            <w:tcW w:w="1061"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sz w:val="24"/>
                <w:szCs w:val="24"/>
                <w:lang w:val="en-US" w:eastAsia="zh-CN"/>
              </w:rPr>
              <w:t>元</w:t>
            </w:r>
          </w:p>
        </w:tc>
        <w:tc>
          <w:tcPr>
            <w:tcW w:w="938" w:type="dxa"/>
            <w:tcBorders>
              <w:top w:val="single" w:sz="4" w:space="0" w:color="000000"/>
              <w:left w:val="single" w:sz="4" w:space="0" w:color="000000"/>
              <w:bottom w:val="single" w:sz="4" w:space="0" w:color="000000"/>
              <w:right w:val="single" w:sz="4" w:space="0" w:color="000000"/>
              <w:tl2br w:val="nil"/>
              <w:tr2bl w:val="nil"/>
            </w:tcBorders>
            <w:noWrap/>
          </w:tcPr>
          <w:p>
            <w:pPr>
              <w:rPr>
                <w:rFonts w:ascii="仿宋_GB2312" w:eastAsia="仿宋_GB2312"/>
                <w:sz w:val="24"/>
                <w:szCs w:val="24"/>
                <w:lang w:val="en-US" w:eastAsia="zh-CN"/>
              </w:rPr>
            </w:pPr>
            <w:r>
              <w:rPr>
                <w:rFonts w:ascii="仿宋_GB2312" w:eastAsia="仿宋_GB2312"/>
                <w:sz w:val="24"/>
                <w:szCs w:val="24"/>
                <w:lang w:val="en-US" w:eastAsia="zh-CN"/>
              </w:rPr>
              <w:t>5</w:t>
            </w:r>
          </w:p>
        </w:tc>
        <w:tc>
          <w:tcPr>
            <w:tcW w:w="1841" w:type="dxa"/>
            <w:tcBorders>
              <w:top w:val="single" w:sz="4" w:space="0" w:color="000000"/>
              <w:left w:val="single" w:sz="4" w:space="0" w:color="000000"/>
              <w:bottom w:val="single" w:sz="4" w:space="0" w:color="000000"/>
              <w:right w:val="single" w:sz="4" w:space="0" w:color="00000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w:t>
            </w:r>
          </w:p>
        </w:tc>
      </w:tr>
    </w:tbl>
    <w:p>
      <w:pPr>
        <w:spacing w:line="400" w:lineRule="exact"/>
        <w:ind w:firstLineChars="300" w:firstLine="630"/>
        <w:jc w:val="left"/>
        <w:rPr>
          <w:rFonts w:ascii="宋体" w:cs="宋体"/>
          <w:szCs w:val="21"/>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微软雅黑"/>
    <w:panose1 w:val="03000509000000000000"/>
    <w:charset w:val="86"/>
    <w:family w:val="script"/>
    <w:pitch w:val="variable"/>
    <w:sig w:usb0="00000001" w:usb1="080E0000" w:usb2="00000010" w:usb3="00000000" w:csb0="00040000" w:csb1="00000000"/>
  </w:font>
  <w:font w:name="楷体_GB2312">
    <w:altName w:val="楷体"/>
    <w:panose1 w:val="02010609030101010101"/>
    <w:charset w:val="86"/>
    <w:family w:val="modern"/>
    <w:pitch w:val="variable"/>
    <w:sig w:usb0="00000001" w:usb1="080E0000" w:usb2="00000010" w:usb3="00000000" w:csb0="00040000" w:csb1="00000000"/>
  </w:font>
  <w:font w:name="方正小标宋简体">
    <w:altName w:val="方正黑体_GBK"/>
    <w:panose1 w:val="00000000000000000000"/>
    <w:charset w:val="86"/>
    <w:family w:val="auto"/>
    <w:pitch w:val="variable"/>
    <w:sig w:usb0="00000000" w:usb1="00000000" w:usb2="00000000" w:usb3="00000000" w:csb0="00040000" w:csb1="00000000"/>
  </w:font>
  <w:font w:name="仿宋_GB2312">
    <w:altName w:val="仿宋"/>
    <w:panose1 w:val="02010609030101010101"/>
    <w:charset w:val="86"/>
    <w:family w:val="modern"/>
    <w:pitch w:val="variable"/>
    <w:sig w:usb0="00000001" w:usb1="080E0000" w:usb2="00000010" w:usb3="00000000" w:csb0="00040000" w:csb1="00000000"/>
  </w:font>
  <w:font w:name="黑体">
    <w:altName w:val="AR PL UKai CN"/>
    <w:panose1 w:val="02010609060101010101"/>
    <w:charset w:val="86"/>
    <w:family w:val="modern"/>
    <w:pitch w:val="variable"/>
    <w:sig w:usb0="800002BF" w:usb1="38CF7CFA" w:usb2="0000001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宋体">
    <w:altName w:val="AR PL UKai CN"/>
    <w:panose1 w:val="02010600030101010101"/>
    <w:charset w:val="86"/>
    <w:family w:val="auto"/>
    <w:pitch w:val="variable"/>
    <w:sig w:usb0="00000003" w:usb1="288F0000"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Arial">
    <w:altName w:val="DejaVu Sans"/>
    <w:panose1 w:val="020B0604020202020204"/>
    <w:charset w:val="00"/>
    <w:family w:val="swiss"/>
    <w:pitch w:val="variable"/>
    <w:sig w:usb0="E0002AFF" w:usb1="C0007843" w:usb2="00000009" w:usb3="00000000" w:csb0="000001FF" w:csb1="00000000"/>
  </w:font>
  <w:font w:name="Avenir">
    <w:altName w:val="DejaVu Sans"/>
    <w:panose1 w:val="00000000000000000000"/>
    <w:charset w:val="00"/>
    <w:family w:val="auto"/>
    <w:pitch w:val="variable"/>
    <w:sig w:usb0="00000000" w:usb1="00000000" w:usb2="00000000" w:usb3="00000000" w:csb0="00000000" w:csb1="00000000"/>
  </w:font>
  <w:font w:name="Times New Roman">
    <w:altName w:val="DejaVu Sans"/>
    <w:panose1 w:val="02020603050405020304"/>
    <w:charset w:val="00"/>
    <w:family w:val="roman"/>
    <w:pitch w:val="variable"/>
    <w:sig w:usb0="E0002AFF" w:usb1="C0007841" w:usb2="00000009" w:usb3="00000000" w:csb0="000001FF" w:csb1="00000000"/>
  </w:font>
  <w:font w:name="Luxi Sans">
    <w:altName w:val="DejaVu Sans"/>
    <w:panose1 w:val="00000000000000000000"/>
    <w:charset w:val="00"/>
    <w:family w:val="auto"/>
    <w:pitch w:val="variable"/>
    <w:sig w:usb0="00000000" w:usb1="00000000" w:usb2="00000000" w:usb3="00000000" w:csb0="00000000" w:csb1="00000000"/>
  </w:font>
  <w:font w:name="Calibri">
    <w:altName w:val="DejaVu Sans"/>
    <w:panose1 w:val="020F0502020204030204"/>
    <w:charset w:val="00"/>
    <w:family w:val="swiss"/>
    <w:pitch w:val="variable"/>
    <w:sig w:usb0="E10002FF" w:usb1="4000ACFF" w:usb2="00000009" w:usb3="00000000" w:csb0="0000019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105E464"/>
    <w:multiLevelType w:val="singleLevel"/>
    <w:tmpl w:val="4105E464"/>
    <w:lvl w:ilvl="0">
      <w:start w:val="1"/>
      <w:numFmt w:val="chineseCounting"/>
      <w:lvlRestart w:val="0"/>
      <w:suff w:val="nothing"/>
      <w:lvlText w:val="%1、"/>
      <w:lvlJc w:val="left"/>
      <w:pPr>
        <w:tabs>
          <w:tab w:val="num" w:pos="0"/>
        </w:tabs>
        <w:ind w:left="0" w:hanging="0"/>
      </w:pPr>
      <w:rPr>
        <w:rFonts w:hint="eastAsia"/>
      </w:rPr>
    </w:lvl>
  </w:abstractNum>
  <w:abstractNum w:abstractNumId="1">
    <w:nsid w:val="EB53202F"/>
    <w:multiLevelType w:val="singleLevel"/>
    <w:tmpl w:val="EB53202F"/>
    <w:lvl w:ilvl="0">
      <w:start w:val="2"/>
      <w:numFmt w:val="decimal"/>
      <w:lvlRestart w:val="0"/>
      <w:suff w:val="nothing"/>
      <w:lvlText w:val="（%1）"/>
      <w:lvlJc w:val="left"/>
      <w:pPr>
        <w:tabs>
          <w:tab w:val="num" w:pos="0"/>
        </w:tabs>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M2Y1MTIxMDc5N2FmMjMxN2QwNzY4OGZhNDdmY2QwYj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Body Text"/>
    <w:next w:val="0"/>
    <w:pPr>
      <w:tabs>
        <w:tab w:val="left" w:pos="2160"/>
      </w:tabs>
      <w:spacing w:line="480" w:lineRule="auto"/>
    </w:pPr>
    <w:rPr>
      <w:rFonts w:ascii="楷体_GB2312" w:eastAsia="黑体" w:cs="Times New Roman" w:hAnsi="楷体_GB2312"/>
      <w:position w:val="3"/>
      <w:sz w:val="20"/>
      <w:szCs w:val="20"/>
      <w:lang w:val="en-US" w:eastAsia="zh-CN" w:bidi="ar-SA"/>
    </w:rPr>
  </w:style>
  <w:style w:type="paragraph" w:styleId="16">
    <w:name w:val="footer"/>
    <w:basedOn w:val="0"/>
    <w:pPr>
      <w:tabs>
        <w:tab w:val="center" w:pos="4153"/>
        <w:tab w:val="right" w:pos="8306"/>
      </w:tabs>
      <w:snapToGrid w:val="0"/>
      <w:jc w:val="left"/>
    </w:pPr>
    <w:rPr>
      <w:rFonts w:ascii="Calibri" w:cs="Arial" w:hAnsi="Calibri"/>
      <w:sz w:val="18"/>
      <w:szCs w:val="18"/>
    </w:rPr>
  </w:style>
  <w:style w:type="paragraph" w:styleId="17">
    <w:name w:val="header"/>
    <w:basedOn w:val="0"/>
    <w:pPr>
      <w:pBdr>
        <w:bottom w:val="single" w:sz="6" w:space="1" w:color="auto"/>
      </w:pBdr>
      <w:tabs>
        <w:tab w:val="center" w:pos="4153"/>
        <w:tab w:val="right" w:pos="8306"/>
      </w:tabs>
      <w:snapToGrid w:val="0"/>
      <w:jc w:val="center"/>
    </w:pPr>
    <w:rPr>
      <w:rFonts w:ascii="Calibri" w:cs="Arial" w:hAnsi="Calibri"/>
      <w:sz w:val="18"/>
      <w:szCs w:val="18"/>
    </w:rPr>
  </w:style>
  <w:style w:type="paragraph" w:styleId="18">
    <w:name w:val="Normal (Web)"/>
    <w:pPr>
      <w:widowControl w:val="0"/>
      <w:spacing w:before="100" w:beforeAutospacing="1" w:after="100" w:afterAutospacing="1"/>
    </w:pPr>
    <w:rPr>
      <w:rFonts w:ascii="Times New Roman" w:eastAsia="宋体" w:cs="Times New Roman" w:hAnsi="Times New Roman"/>
      <w:sz w:val="24"/>
      <w:szCs w:val="20"/>
      <w:lang w:val="en-US" w:eastAsia="zh-CN" w:bidi="ar-SA"/>
    </w:rPr>
  </w:style>
  <w:style w:type="paragraph" w:styleId="19">
    <w:name w:val="Body Text First Indent 2"/>
    <w:pPr>
      <w:widowControl w:val="0"/>
      <w:spacing w:after="120"/>
      <w:ind w:leftChars="200" w:left="200" w:firstLineChars="200" w:firstLine="200"/>
      <w:jc w:val="both"/>
    </w:pPr>
    <w:rPr>
      <w:rFonts w:ascii="仿宋_GB2312" w:eastAsia="仿宋_GB2312" w:cs="Times New Roman"/>
      <w:kern w:val="2"/>
      <w:sz w:val="32"/>
      <w:szCs w:val="32"/>
      <w:lang w:val="en-US" w:eastAsia="zh-CN" w:bidi="ar-SA"/>
    </w:rPr>
  </w:style>
  <w:style w:type="character" w:styleId="20">
    <w:name w:val="Strong"/>
    <w:basedOn w:val="10"/>
    <w:rPr>
      <w:b/>
    </w:rPr>
  </w:style>
  <w:style w:type="paragraph" w:styleId="21">
    <w:name w:val="List Paragraph"/>
    <w:basedOn w:val="0"/>
    <w:pPr>
      <w:ind w:firstLineChars="200" w:firstLine="200"/>
    </w:pPr>
  </w:style>
  <w:style w:type="paragraph" w:customStyle="1" w:styleId="22">
    <w:name w:val="正文2"/>
    <w:next w:val="0"/>
    <w:pPr>
      <w:widowControl w:val="0"/>
      <w:jc w:val="both"/>
    </w:pPr>
    <w:rPr>
      <w:rFonts w:ascii="Times New Roman" w:eastAsia="仿宋_GB2312" w:cs="Times New Roman" w:hAnsi="Times New Roman"/>
      <w:kern w:val="2"/>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4.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30</TotalTime>
  <Application>Yozo_Office27021597764231179</Application>
  <Pages>11</Pages>
  <Words>4219</Words>
  <Characters>4412</Characters>
  <Lines>391</Lines>
  <Paragraphs>225</Paragraphs>
  <CharactersWithSpaces>4471</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user</cp:lastModifiedBy>
  <cp:revision>3</cp:revision>
  <dcterms:created xsi:type="dcterms:W3CDTF">2025-05-19T09:38:00Z</dcterms:created>
  <dcterms:modified xsi:type="dcterms:W3CDTF">2025-05-23T03:09:48Z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2052-12.1.0.16120</vt:lpwstr>
  </property>
  <property fmtid="{D5CDD505-2E9C-101B-9397-08002B2CF9AE}" pid="3" name="ICV">
    <vt:lpwstr>9D8C0E81619C4C6DA6294A7E413E03C9_13</vt:lpwstr>
  </property>
</Properties>
</file>