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778EA">
      <w:pPr>
        <w:pStyle w:val="2"/>
        <w:keepNext w:val="0"/>
        <w:keepLines w:val="0"/>
        <w:widowControl/>
        <w:suppressLineNumbers w:val="0"/>
        <w:shd w:val="clear" w:fill="FFFFFF"/>
        <w:spacing w:before="0" w:beforeAutospacing="0" w:after="0" w:afterAutospacing="0"/>
        <w:ind w:left="0" w:firstLine="0"/>
        <w:jc w:val="center"/>
        <w:rPr>
          <w:rFonts w:hint="eastAsia" w:ascii="宋体" w:hAnsi="宋体" w:eastAsia="宋体" w:cs="宋体"/>
          <w:i w:val="0"/>
          <w:iCs w:val="0"/>
          <w:caps w:val="0"/>
          <w:color w:val="000000"/>
          <w:spacing w:val="0"/>
          <w:sz w:val="18"/>
          <w:szCs w:val="18"/>
        </w:rPr>
      </w:pPr>
      <w:r>
        <w:rPr>
          <w:rFonts w:ascii="方正小标宋_GBK" w:hAnsi="方正小标宋_GBK" w:eastAsia="方正小标宋_GBK" w:cs="方正小标宋_GBK"/>
          <w:i w:val="0"/>
          <w:iCs w:val="0"/>
          <w:caps w:val="0"/>
          <w:color w:val="333333"/>
          <w:spacing w:val="0"/>
          <w:sz w:val="44"/>
          <w:szCs w:val="44"/>
          <w:shd w:val="clear" w:fill="FFFFFF"/>
        </w:rPr>
        <w:t>黑水县石碉楼乡便民和退役军人服务中心</w:t>
      </w:r>
      <w:r>
        <w:rPr>
          <w:rFonts w:hint="default" w:ascii="方正小标宋_GBK" w:hAnsi="方正小标宋_GBK" w:eastAsia="方正小标宋_GBK" w:cs="方正小标宋_GBK"/>
          <w:i w:val="0"/>
          <w:iCs w:val="0"/>
          <w:caps w:val="0"/>
          <w:color w:val="333333"/>
          <w:spacing w:val="0"/>
          <w:sz w:val="44"/>
          <w:szCs w:val="44"/>
          <w:shd w:val="clear" w:fill="FFFFFF"/>
        </w:rPr>
        <w:t>2026年单位预算编制说明</w:t>
      </w:r>
    </w:p>
    <w:p w14:paraId="1DFA64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ascii="Calibri" w:hAnsi="Calibri" w:eastAsia="宋体" w:cs="Calibri"/>
          <w:i w:val="0"/>
          <w:iCs w:val="0"/>
          <w:caps w:val="0"/>
          <w:color w:val="000000"/>
          <w:spacing w:val="0"/>
          <w:sz w:val="24"/>
          <w:szCs w:val="24"/>
          <w:bdr w:val="none" w:color="auto" w:sz="0" w:space="0"/>
          <w:shd w:val="clear" w:fill="FFFEFB"/>
        </w:rPr>
        <w:t> </w:t>
      </w:r>
      <w:r>
        <w:rPr>
          <w:rFonts w:hint="default" w:ascii="Calibri" w:hAnsi="Calibri" w:eastAsia="宋体" w:cs="Calibri"/>
          <w:b/>
          <w:bCs/>
          <w:i w:val="0"/>
          <w:iCs w:val="0"/>
          <w:caps w:val="0"/>
          <w:color w:val="000000"/>
          <w:spacing w:val="0"/>
          <w:sz w:val="24"/>
          <w:szCs w:val="24"/>
          <w:bdr w:val="none" w:color="auto" w:sz="0" w:space="0"/>
          <w:shd w:val="clear" w:fill="FFFEFB"/>
        </w:rPr>
        <w:t>  ⠼/font&gt;</w:t>
      </w:r>
      <w:r>
        <w:rPr>
          <w:rFonts w:ascii="黑体" w:hAnsi="宋体" w:eastAsia="黑体" w:cs="黑体"/>
          <w:i w:val="0"/>
          <w:iCs w:val="0"/>
          <w:caps w:val="0"/>
          <w:color w:val="000000"/>
          <w:spacing w:val="0"/>
          <w:sz w:val="32"/>
          <w:szCs w:val="32"/>
          <w:bdr w:val="none" w:color="auto" w:sz="0" w:space="0"/>
          <w:shd w:val="clear" w:fill="FFFEFB"/>
        </w:rPr>
        <w:t>目录</w:t>
      </w:r>
    </w:p>
    <w:p w14:paraId="191B73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一、基本职能及主要工作</w:t>
      </w:r>
      <w:r>
        <w:rPr>
          <w:rFonts w:hint="default" w:ascii="Calibri" w:hAnsi="Calibri" w:eastAsia="黑体" w:cs="Calibri"/>
          <w:i w:val="0"/>
          <w:iCs w:val="0"/>
          <w:caps w:val="0"/>
          <w:color w:val="000000"/>
          <w:spacing w:val="0"/>
          <w:sz w:val="32"/>
          <w:szCs w:val="32"/>
          <w:bdr w:val="none" w:color="auto" w:sz="0" w:space="0"/>
          <w:shd w:val="clear" w:fill="FFFEFB"/>
        </w:rPr>
        <w:t> </w:t>
      </w:r>
    </w:p>
    <w:p w14:paraId="7EE343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ascii="楷体_GB2312" w:hAnsi="Calibri" w:eastAsia="楷体_GB2312" w:cs="楷体_GB2312"/>
          <w:b/>
          <w:bCs/>
          <w:i w:val="0"/>
          <w:iCs w:val="0"/>
          <w:caps w:val="0"/>
          <w:color w:val="000000"/>
          <w:spacing w:val="0"/>
          <w:sz w:val="32"/>
          <w:szCs w:val="32"/>
          <w:bdr w:val="none" w:color="auto" w:sz="0" w:space="0"/>
          <w:shd w:val="clear" w:fill="FFFEFB"/>
        </w:rPr>
        <w:t>（一）部门职能简介</w:t>
      </w:r>
      <w:r>
        <w:rPr>
          <w:rFonts w:hint="default" w:ascii="Calibri" w:hAnsi="Calibri" w:eastAsia="楷体_GB2312" w:cs="Calibri"/>
          <w:b/>
          <w:bCs/>
          <w:i w:val="0"/>
          <w:iCs w:val="0"/>
          <w:caps w:val="0"/>
          <w:color w:val="000000"/>
          <w:spacing w:val="0"/>
          <w:sz w:val="32"/>
          <w:szCs w:val="32"/>
          <w:bdr w:val="none" w:color="auto" w:sz="0" w:space="0"/>
          <w:shd w:val="clear" w:fill="FFFEFB"/>
        </w:rPr>
        <w:t> </w:t>
      </w:r>
    </w:p>
    <w:p w14:paraId="60B834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（二）2026年重点工作</w:t>
      </w:r>
      <w:r>
        <w:rPr>
          <w:rFonts w:hint="default" w:ascii="Calibri" w:hAnsi="Calibri" w:eastAsia="宋体" w:cs="Calibri"/>
          <w:i w:val="0"/>
          <w:iCs w:val="0"/>
          <w:caps w:val="0"/>
          <w:color w:val="000000"/>
          <w:spacing w:val="0"/>
          <w:sz w:val="24"/>
          <w:szCs w:val="24"/>
          <w:bdr w:val="none" w:color="auto" w:sz="0" w:space="0"/>
          <w:shd w:val="clear" w:fill="FFFEFB"/>
        </w:rPr>
        <w:t> </w:t>
      </w:r>
    </w:p>
    <w:p w14:paraId="33A55A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二、部门预算单位构成</w:t>
      </w:r>
      <w:r>
        <w:rPr>
          <w:rFonts w:hint="default" w:ascii="Calibri" w:hAnsi="Calibri" w:eastAsia="黑体" w:cs="Calibri"/>
          <w:i w:val="0"/>
          <w:iCs w:val="0"/>
          <w:caps w:val="0"/>
          <w:color w:val="000000"/>
          <w:spacing w:val="0"/>
          <w:sz w:val="32"/>
          <w:szCs w:val="32"/>
          <w:bdr w:val="none" w:color="auto" w:sz="0" w:space="0"/>
          <w:shd w:val="clear" w:fill="FFFEFB"/>
        </w:rPr>
        <w:t> </w:t>
      </w:r>
    </w:p>
    <w:p w14:paraId="6FCEDB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三、收支预算情况说明</w:t>
      </w:r>
      <w:r>
        <w:rPr>
          <w:rFonts w:hint="default" w:ascii="Calibri" w:hAnsi="Calibri" w:eastAsia="宋体" w:cs="Calibri"/>
          <w:i w:val="0"/>
          <w:iCs w:val="0"/>
          <w:caps w:val="0"/>
          <w:color w:val="000000"/>
          <w:spacing w:val="0"/>
          <w:sz w:val="24"/>
          <w:szCs w:val="24"/>
          <w:bdr w:val="none" w:color="auto" w:sz="0" w:space="0"/>
          <w:shd w:val="clear" w:fill="FFFEFB"/>
        </w:rPr>
        <w:t> </w:t>
      </w:r>
    </w:p>
    <w:p w14:paraId="3B21B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（一）收入预算情况</w:t>
      </w:r>
      <w:r>
        <w:rPr>
          <w:rFonts w:hint="default" w:ascii="Calibri" w:hAnsi="Calibri" w:eastAsia="楷体_GB2312" w:cs="Calibri"/>
          <w:b/>
          <w:bCs/>
          <w:i w:val="0"/>
          <w:iCs w:val="0"/>
          <w:caps w:val="0"/>
          <w:color w:val="000000"/>
          <w:spacing w:val="0"/>
          <w:sz w:val="32"/>
          <w:szCs w:val="32"/>
          <w:bdr w:val="none" w:color="auto" w:sz="0" w:space="0"/>
          <w:shd w:val="clear" w:fill="FFFEFB"/>
        </w:rPr>
        <w:t> </w:t>
      </w:r>
    </w:p>
    <w:p w14:paraId="790708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（二）支出预算情况</w:t>
      </w:r>
      <w:r>
        <w:rPr>
          <w:rFonts w:hint="default" w:ascii="Calibri" w:hAnsi="Calibri" w:eastAsia="楷体_GB2312" w:cs="Calibri"/>
          <w:b/>
          <w:bCs/>
          <w:i w:val="0"/>
          <w:iCs w:val="0"/>
          <w:caps w:val="0"/>
          <w:color w:val="000000"/>
          <w:spacing w:val="0"/>
          <w:sz w:val="32"/>
          <w:szCs w:val="32"/>
          <w:bdr w:val="none" w:color="auto" w:sz="0" w:space="0"/>
          <w:shd w:val="clear" w:fill="FFFEFB"/>
        </w:rPr>
        <w:t> </w:t>
      </w:r>
    </w:p>
    <w:p w14:paraId="7F5646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四、财政拨款收支预算情况说明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42C68C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五、一般公共预算当年拨款情况说明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6E850C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（一）一般公共预算当年拨款规模变化情况</w:t>
      </w:r>
      <w:r>
        <w:rPr>
          <w:rFonts w:hint="default" w:ascii="Calibri" w:hAnsi="Calibri" w:eastAsia="楷体_GB2312" w:cs="Calibri"/>
          <w:b/>
          <w:bCs/>
          <w:i w:val="0"/>
          <w:iCs w:val="0"/>
          <w:caps w:val="0"/>
          <w:color w:val="000000"/>
          <w:spacing w:val="0"/>
          <w:sz w:val="32"/>
          <w:szCs w:val="32"/>
          <w:bdr w:val="none" w:color="auto" w:sz="0" w:space="0"/>
          <w:shd w:val="clear" w:fill="FFFEFB"/>
        </w:rPr>
        <w:t> </w:t>
      </w:r>
    </w:p>
    <w:p w14:paraId="2E251D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（二）一般公共预算当年拨款结构情况</w:t>
      </w:r>
      <w:r>
        <w:rPr>
          <w:rFonts w:hint="default" w:ascii="Calibri" w:hAnsi="Calibri" w:eastAsia="楷体_GB2312" w:cs="Calibri"/>
          <w:b/>
          <w:bCs/>
          <w:i w:val="0"/>
          <w:iCs w:val="0"/>
          <w:caps w:val="0"/>
          <w:color w:val="000000"/>
          <w:spacing w:val="0"/>
          <w:sz w:val="32"/>
          <w:szCs w:val="32"/>
          <w:bdr w:val="none" w:color="auto" w:sz="0" w:space="0"/>
          <w:shd w:val="clear" w:fill="FFFEFB"/>
        </w:rPr>
        <w:t> </w:t>
      </w:r>
    </w:p>
    <w:p w14:paraId="5EB0E4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default" w:ascii="楷体_GB2312" w:hAnsi="Calibri" w:eastAsia="楷体_GB2312" w:cs="楷体_GB2312"/>
          <w:b/>
          <w:bCs/>
          <w:i w:val="0"/>
          <w:iCs w:val="0"/>
          <w:caps w:val="0"/>
          <w:color w:val="000000"/>
          <w:spacing w:val="0"/>
          <w:sz w:val="32"/>
          <w:szCs w:val="32"/>
          <w:bdr w:val="none" w:color="auto" w:sz="0" w:space="0"/>
          <w:shd w:val="clear" w:fill="FFFEFB"/>
        </w:rPr>
        <w:t>（三）一般公共预算当年拨款具体使用情况</w:t>
      </w:r>
      <w:r>
        <w:rPr>
          <w:rFonts w:hint="default" w:ascii="Calibri" w:hAnsi="Calibri" w:eastAsia="宋体" w:cs="Calibri"/>
          <w:i w:val="0"/>
          <w:iCs w:val="0"/>
          <w:caps w:val="0"/>
          <w:color w:val="000000"/>
          <w:spacing w:val="0"/>
          <w:sz w:val="24"/>
          <w:szCs w:val="24"/>
          <w:bdr w:val="none" w:color="auto" w:sz="0" w:space="0"/>
          <w:shd w:val="clear" w:fill="FFFEFB"/>
        </w:rPr>
        <w:t> </w:t>
      </w:r>
    </w:p>
    <w:p w14:paraId="2065E9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六、一般公共预算基本支出情况说明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0791CB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七、“三公”经费财政拨款预算安排情况说明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50BAC9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八、政府性基金预算支出情况说明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2603B4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九、其他重要事项的情况说明</w:t>
      </w:r>
      <w:r>
        <w:rPr>
          <w:rFonts w:hint="default" w:ascii="Calibri" w:hAnsi="Calibri" w:eastAsia="黑体" w:cs="Calibri"/>
          <w:i w:val="0"/>
          <w:iCs w:val="0"/>
          <w:caps w:val="0"/>
          <w:color w:val="000000"/>
          <w:spacing w:val="0"/>
          <w:sz w:val="32"/>
          <w:szCs w:val="32"/>
          <w:bdr w:val="none" w:color="auto" w:sz="0" w:space="0"/>
          <w:shd w:val="clear" w:fill="FFFEFB"/>
        </w:rPr>
        <w:t> </w:t>
      </w:r>
    </w:p>
    <w:p w14:paraId="01F5F1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EFB"/>
        </w:rPr>
        <w:t>十、名称解释</w:t>
      </w:r>
      <w:r>
        <w:rPr>
          <w:rFonts w:hint="default" w:ascii="Calibri" w:hAnsi="Calibri" w:eastAsia="黑体" w:cs="Calibri"/>
          <w:i w:val="0"/>
          <w:iCs w:val="0"/>
          <w:caps w:val="0"/>
          <w:color w:val="000000"/>
          <w:spacing w:val="0"/>
          <w:sz w:val="32"/>
          <w:szCs w:val="32"/>
          <w:bdr w:val="none" w:color="auto" w:sz="0" w:space="0"/>
          <w:shd w:val="clear" w:fill="FFFEFB"/>
        </w:rPr>
        <w:t> </w:t>
      </w:r>
    </w:p>
    <w:p w14:paraId="711002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20"/>
        <w:jc w:val="left"/>
        <w:rPr>
          <w:rFonts w:hint="eastAsia" w:ascii="宋体" w:hAnsi="宋体" w:eastAsia="宋体" w:cs="宋体"/>
          <w:i w:val="0"/>
          <w:iCs w:val="0"/>
          <w:caps w:val="0"/>
          <w:color w:val="000000"/>
          <w:spacing w:val="0"/>
          <w:sz w:val="18"/>
          <w:szCs w:val="18"/>
        </w:rPr>
      </w:pPr>
      <w:r>
        <w:rPr>
          <w:rFonts w:hint="default" w:ascii="Calibri" w:hAnsi="Calibri" w:eastAsia="宋体" w:cs="Calibri"/>
          <w:i w:val="0"/>
          <w:iCs w:val="0"/>
          <w:caps w:val="0"/>
          <w:color w:val="000000"/>
          <w:spacing w:val="0"/>
          <w:kern w:val="0"/>
          <w:sz w:val="21"/>
          <w:szCs w:val="21"/>
          <w:bdr w:val="none" w:color="auto" w:sz="0" w:space="0"/>
          <w:shd w:val="clear" w:fill="FFFFFF"/>
          <w:lang w:val="en-US" w:eastAsia="zh-CN" w:bidi="ar"/>
        </w:rPr>
        <w:t> </w:t>
      </w:r>
    </w:p>
    <w:p w14:paraId="4E3403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8"/>
          <w:szCs w:val="18"/>
        </w:rPr>
      </w:pPr>
      <w:r>
        <w:rPr>
          <w:rFonts w:hint="default" w:ascii="Calibri" w:hAnsi="Calibri" w:eastAsia="宋体" w:cs="Calibri"/>
          <w:i w:val="0"/>
          <w:iCs w:val="0"/>
          <w:caps w:val="0"/>
          <w:color w:val="000000"/>
          <w:spacing w:val="0"/>
          <w:kern w:val="0"/>
          <w:sz w:val="21"/>
          <w:szCs w:val="21"/>
          <w:bdr w:val="none" w:color="auto" w:sz="0" w:space="0"/>
          <w:shd w:val="clear" w:fill="FFFFFF"/>
          <w:lang w:val="en-US" w:eastAsia="zh-CN" w:bidi="ar"/>
        </w:rPr>
        <w:t> </w:t>
      </w:r>
    </w:p>
    <w:p w14:paraId="243942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一、基本职能及主要工作</w:t>
      </w:r>
    </w:p>
    <w:p w14:paraId="094639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ascii="楷体" w:hAnsi="楷体" w:eastAsia="楷体" w:cs="楷体"/>
          <w:b/>
          <w:bCs/>
          <w:i w:val="0"/>
          <w:iCs w:val="0"/>
          <w:caps w:val="0"/>
          <w:color w:val="333333"/>
          <w:spacing w:val="0"/>
          <w:sz w:val="32"/>
          <w:szCs w:val="32"/>
          <w:bdr w:val="none" w:color="auto" w:sz="0" w:space="0"/>
          <w:shd w:val="clear" w:fill="FFFFFF"/>
        </w:rPr>
        <w:t>（一）部门职能简介</w:t>
      </w:r>
    </w:p>
    <w:p w14:paraId="4FDE43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1.</w:t>
      </w:r>
      <w:r>
        <w:rPr>
          <w:rFonts w:hint="default" w:ascii="仿宋_GB2312" w:hAnsi="Calibri" w:eastAsia="仿宋_GB2312" w:cs="仿宋_GB2312"/>
          <w:i w:val="0"/>
          <w:iCs w:val="0"/>
          <w:caps w:val="0"/>
          <w:color w:val="000000"/>
          <w:spacing w:val="0"/>
          <w:sz w:val="32"/>
          <w:szCs w:val="32"/>
          <w:bdr w:val="none" w:color="auto" w:sz="0" w:space="0"/>
          <w:shd w:val="clear" w:fill="FFFFFF"/>
        </w:rPr>
        <w:t>加强党的领导，抓好基层党建。履行政治领导责任，做好理论武装和思想政治工作，负责学习、宣传、贯彻执行党的理论和路线方针政策，贯彻落实党中央、省委、州委、县委的决策部署，发挥好把方向、管大局、保落实的重要作用。</w:t>
      </w:r>
    </w:p>
    <w:p w14:paraId="3B807D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2.</w:t>
      </w:r>
      <w:r>
        <w:rPr>
          <w:rFonts w:hint="default" w:ascii="仿宋_GB2312" w:hAnsi="Calibri" w:eastAsia="仿宋_GB2312" w:cs="仿宋_GB2312"/>
          <w:i w:val="0"/>
          <w:iCs w:val="0"/>
          <w:caps w:val="0"/>
          <w:color w:val="000000"/>
          <w:spacing w:val="0"/>
          <w:sz w:val="32"/>
          <w:szCs w:val="32"/>
          <w:bdr w:val="none" w:color="auto" w:sz="0" w:space="0"/>
          <w:shd w:val="clear" w:fill="FFFFFF"/>
        </w:rPr>
        <w:t>履行党要管党、从严治党主体责任，全面推进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14:paraId="006C28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3.</w:t>
      </w:r>
      <w:r>
        <w:rPr>
          <w:rFonts w:hint="default" w:ascii="仿宋_GB2312" w:hAnsi="Calibri" w:eastAsia="仿宋_GB2312" w:cs="仿宋_GB2312"/>
          <w:i w:val="0"/>
          <w:iCs w:val="0"/>
          <w:caps w:val="0"/>
          <w:color w:val="000000"/>
          <w:spacing w:val="0"/>
          <w:sz w:val="32"/>
          <w:szCs w:val="32"/>
          <w:bdr w:val="none" w:color="auto" w:sz="0" w:space="0"/>
          <w:shd w:val="clear" w:fill="FFFFFF"/>
        </w:rPr>
        <w:t>讨论和决定辖区内政治建设、经济建设、文化建设、社会建设、生态文明建设、法制建设和党的建设以及乡村振兴中的重大问题。其他应当由党委讨论和决定的重大问题。</w:t>
      </w:r>
    </w:p>
    <w:p w14:paraId="6D6971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4.</w:t>
      </w:r>
      <w:r>
        <w:rPr>
          <w:rFonts w:hint="default" w:ascii="仿宋_GB2312" w:hAnsi="Calibri" w:eastAsia="仿宋_GB2312" w:cs="仿宋_GB2312"/>
          <w:i w:val="0"/>
          <w:iCs w:val="0"/>
          <w:caps w:val="0"/>
          <w:color w:val="000000"/>
          <w:spacing w:val="0"/>
          <w:sz w:val="32"/>
          <w:szCs w:val="32"/>
          <w:bdr w:val="none" w:color="auto" w:sz="0" w:space="0"/>
          <w:shd w:val="clear" w:fill="FFFFFF"/>
        </w:rPr>
        <w:t>贯彻党管干部原则，加强干部队伍建设，完善干部培养选拔机制，加强干部教育管理监督。贯彻党管人才原则，加强人才队伍建设。加强对本乡工会、共青团、妇联等群团工作的领导。</w:t>
      </w:r>
    </w:p>
    <w:p w14:paraId="5178B5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5.</w:t>
      </w:r>
      <w:r>
        <w:rPr>
          <w:rFonts w:hint="default" w:ascii="仿宋_GB2312" w:hAnsi="Calibri" w:eastAsia="仿宋_GB2312" w:cs="仿宋_GB2312"/>
          <w:i w:val="0"/>
          <w:iCs w:val="0"/>
          <w:caps w:val="0"/>
          <w:color w:val="000000"/>
          <w:spacing w:val="0"/>
          <w:sz w:val="32"/>
          <w:szCs w:val="32"/>
          <w:bdr w:val="none" w:color="auto" w:sz="0" w:space="0"/>
          <w:shd w:val="clear" w:fill="FFFFFF"/>
        </w:rPr>
        <w:t>指导农村党建，落实基层党建工作责任制，严格抓好基层党组织建设各项制度，统筹抓好乡机关、村（社区）、驻辖区单位、行业、“两新”组织等党建工作，推进全面从严治党，强化“两个责任”，落实农村基层党建工作要求。</w:t>
      </w:r>
    </w:p>
    <w:p w14:paraId="20E8CC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6.</w:t>
      </w:r>
      <w:r>
        <w:rPr>
          <w:rFonts w:hint="default" w:ascii="仿宋_GB2312" w:hAnsi="Calibri" w:eastAsia="仿宋_GB2312" w:cs="仿宋_GB2312"/>
          <w:i w:val="0"/>
          <w:iCs w:val="0"/>
          <w:caps w:val="0"/>
          <w:color w:val="000000"/>
          <w:spacing w:val="0"/>
          <w:sz w:val="32"/>
          <w:szCs w:val="32"/>
          <w:bdr w:val="none" w:color="auto" w:sz="0" w:space="0"/>
          <w:shd w:val="clear" w:fill="FFFFFF"/>
        </w:rPr>
        <w:t>加强基层社会宣传、舆论引导、精神文明建设、统一战线工作，</w:t>
      </w:r>
      <w:r>
        <w:rPr>
          <w:rFonts w:hint="default" w:ascii="仿宋_GB2312" w:hAnsi="Times New Roman" w:eastAsia="仿宋_GB2312" w:cs="仿宋_GB2312"/>
          <w:i w:val="0"/>
          <w:iCs w:val="0"/>
          <w:caps w:val="0"/>
          <w:color w:val="000000"/>
          <w:spacing w:val="0"/>
          <w:sz w:val="32"/>
          <w:szCs w:val="32"/>
          <w:bdr w:val="none" w:color="auto" w:sz="0" w:space="0"/>
          <w:shd w:val="clear" w:fill="FFFFFF"/>
        </w:rPr>
        <w:t>全力抓实森林草原防灭火工作。坚持</w:t>
      </w:r>
      <w:r>
        <w:rPr>
          <w:rFonts w:hint="default" w:ascii="Times New Roman" w:hAnsi="Times New Roman" w:eastAsia="宋体" w:cs="Times New Roman"/>
          <w:i w:val="0"/>
          <w:iCs w:val="0"/>
          <w:caps w:val="0"/>
          <w:color w:val="000000"/>
          <w:spacing w:val="0"/>
          <w:sz w:val="32"/>
          <w:szCs w:val="32"/>
          <w:bdr w:val="none" w:color="auto" w:sz="0" w:space="0"/>
          <w:shd w:val="clear" w:fill="FFFFFF"/>
        </w:rPr>
        <w:t>“</w:t>
      </w:r>
      <w:r>
        <w:rPr>
          <w:rFonts w:hint="default" w:ascii="仿宋_GB2312" w:hAnsi="Times New Roman" w:eastAsia="仿宋_GB2312" w:cs="仿宋_GB2312"/>
          <w:i w:val="0"/>
          <w:iCs w:val="0"/>
          <w:caps w:val="0"/>
          <w:color w:val="000000"/>
          <w:spacing w:val="0"/>
          <w:sz w:val="32"/>
          <w:szCs w:val="32"/>
          <w:bdr w:val="none" w:color="auto" w:sz="0" w:space="0"/>
          <w:shd w:val="clear" w:fill="FFFFFF"/>
        </w:rPr>
        <w:t>预防为主、防消结合</w:t>
      </w:r>
      <w:r>
        <w:rPr>
          <w:rFonts w:hint="default" w:ascii="Times New Roman" w:hAnsi="Times New Roman" w:eastAsia="宋体" w:cs="Times New Roman"/>
          <w:i w:val="0"/>
          <w:iCs w:val="0"/>
          <w:caps w:val="0"/>
          <w:color w:val="000000"/>
          <w:spacing w:val="0"/>
          <w:sz w:val="32"/>
          <w:szCs w:val="32"/>
          <w:bdr w:val="none" w:color="auto" w:sz="0" w:space="0"/>
          <w:shd w:val="clear" w:fill="FFFFFF"/>
        </w:rPr>
        <w:t>”</w:t>
      </w:r>
      <w:r>
        <w:rPr>
          <w:rFonts w:hint="default" w:ascii="仿宋_GB2312" w:hAnsi="Times New Roman" w:eastAsia="仿宋_GB2312" w:cs="仿宋_GB2312"/>
          <w:i w:val="0"/>
          <w:iCs w:val="0"/>
          <w:caps w:val="0"/>
          <w:color w:val="000000"/>
          <w:spacing w:val="0"/>
          <w:sz w:val="32"/>
          <w:szCs w:val="32"/>
          <w:bdr w:val="none" w:color="auto" w:sz="0" w:space="0"/>
          <w:shd w:val="clear" w:fill="FFFFFF"/>
        </w:rPr>
        <w:t>的思路常态化开展森林草原防灭火工作。</w:t>
      </w:r>
      <w:r>
        <w:rPr>
          <w:rFonts w:hint="default" w:ascii="仿宋_GB2312" w:hAnsi="Calibri" w:eastAsia="仿宋_GB2312" w:cs="仿宋_GB2312"/>
          <w:i w:val="0"/>
          <w:iCs w:val="0"/>
          <w:caps w:val="0"/>
          <w:color w:val="000000"/>
          <w:spacing w:val="0"/>
          <w:sz w:val="32"/>
          <w:szCs w:val="32"/>
          <w:bdr w:val="none" w:color="auto" w:sz="0" w:space="0"/>
          <w:shd w:val="clear" w:fill="FFFFFF"/>
        </w:rPr>
        <w:t>落实党管意识形态工作责任制，健全完善党建引领基层体系，强化基层治理平台建设，进一步增强党在农村的政治领导力、思想引领力、群众组织力、社会号召力。</w:t>
      </w:r>
    </w:p>
    <w:p w14:paraId="26AC7F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7.</w:t>
      </w:r>
      <w:r>
        <w:rPr>
          <w:rFonts w:hint="default" w:ascii="仿宋_GB2312" w:hAnsi="Calibri" w:eastAsia="仿宋_GB2312" w:cs="仿宋_GB2312"/>
          <w:i w:val="0"/>
          <w:iCs w:val="0"/>
          <w:caps w:val="0"/>
          <w:color w:val="000000"/>
          <w:spacing w:val="0"/>
          <w:sz w:val="32"/>
          <w:szCs w:val="32"/>
          <w:bdr w:val="none" w:color="auto" w:sz="0" w:space="0"/>
          <w:shd w:val="clear" w:fill="FFFFFF"/>
        </w:rPr>
        <w:t>统筹经济发展，实施乡村振兴。负责辖区经济发展工作，执行辖区内的经济和社会发展计划、预算。参与区域内土地利用、产业发展等规划编制，对区域内重大基础设施建设、重大公共服务资源布局、重大决策提出意见建议。落实辖区内发展规划、专项规划、区域规划、国土空间规划和“四好农村路”建设等。</w:t>
      </w:r>
    </w:p>
    <w:p w14:paraId="3F0B53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（二）</w:t>
      </w:r>
      <w:r>
        <w:rPr>
          <w:rFonts w:hint="default" w:ascii="Times New Roman" w:hAnsi="Times New Roman" w:eastAsia="仿宋_GB2312" w:cs="Times New Roman"/>
          <w:b/>
          <w:bCs/>
          <w:i w:val="0"/>
          <w:iCs w:val="0"/>
          <w:caps w:val="0"/>
          <w:color w:val="000000"/>
          <w:spacing w:val="0"/>
          <w:sz w:val="32"/>
          <w:szCs w:val="32"/>
          <w:bdr w:val="none" w:color="auto" w:sz="0" w:space="0"/>
          <w:shd w:val="clear" w:fill="FFFFFF"/>
        </w:rPr>
        <w:t>2025</w:t>
      </w:r>
      <w:r>
        <w:rPr>
          <w:rFonts w:hint="default" w:ascii="仿宋_GB2312" w:hAnsi="Calibri" w:eastAsia="仿宋_GB2312" w:cs="仿宋_GB2312"/>
          <w:b/>
          <w:bCs/>
          <w:i w:val="0"/>
          <w:iCs w:val="0"/>
          <w:caps w:val="0"/>
          <w:color w:val="000000"/>
          <w:spacing w:val="0"/>
          <w:sz w:val="32"/>
          <w:szCs w:val="32"/>
          <w:bdr w:val="none" w:color="auto" w:sz="0" w:space="0"/>
          <w:shd w:val="clear" w:fill="FFFFFF"/>
        </w:rPr>
        <w:t>年重点工作</w:t>
      </w:r>
    </w:p>
    <w:p w14:paraId="2C4C67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1</w:t>
      </w:r>
      <w:r>
        <w:rPr>
          <w:rFonts w:hint="default" w:ascii="仿宋_GB2312" w:hAnsi="Calibri" w:eastAsia="仿宋_GB2312" w:cs="仿宋_GB2312"/>
          <w:i w:val="0"/>
          <w:iCs w:val="0"/>
          <w:caps w:val="0"/>
          <w:color w:val="000000"/>
          <w:spacing w:val="0"/>
          <w:sz w:val="32"/>
          <w:szCs w:val="32"/>
          <w:bdr w:val="none" w:color="auto" w:sz="0" w:space="0"/>
          <w:shd w:val="clear" w:fill="FFFFFF"/>
        </w:rPr>
        <w:t>）统筹安排财力，优先保障民生；统筹安排收支预算，优先保障基本支出和民生支出，切实提高政府性资金使用效益；</w:t>
      </w:r>
    </w:p>
    <w:p w14:paraId="3E8133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2</w:t>
      </w:r>
      <w:r>
        <w:rPr>
          <w:rFonts w:hint="default" w:ascii="仿宋_GB2312" w:hAnsi="Calibri" w:eastAsia="仿宋_GB2312" w:cs="仿宋_GB2312"/>
          <w:i w:val="0"/>
          <w:iCs w:val="0"/>
          <w:caps w:val="0"/>
          <w:color w:val="000000"/>
          <w:spacing w:val="0"/>
          <w:sz w:val="32"/>
          <w:szCs w:val="32"/>
          <w:bdr w:val="none" w:color="auto" w:sz="0" w:space="0"/>
          <w:shd w:val="clear" w:fill="FFFFFF"/>
        </w:rPr>
        <w:t>）加强经费的分配和使用管理，严格控制一般性支出，因公出国（境）费、公务用车购置及运行费、公务接待费等“三公”经费等；</w:t>
      </w:r>
    </w:p>
    <w:p w14:paraId="4CDA42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3</w:t>
      </w:r>
      <w:r>
        <w:rPr>
          <w:rFonts w:hint="default" w:ascii="仿宋_GB2312" w:hAnsi="Calibri" w:eastAsia="仿宋_GB2312" w:cs="仿宋_GB2312"/>
          <w:i w:val="0"/>
          <w:iCs w:val="0"/>
          <w:caps w:val="0"/>
          <w:color w:val="000000"/>
          <w:spacing w:val="0"/>
          <w:sz w:val="32"/>
          <w:szCs w:val="32"/>
          <w:bdr w:val="none" w:color="auto" w:sz="0" w:space="0"/>
          <w:shd w:val="clear" w:fill="FFFFFF"/>
        </w:rPr>
        <w:t>）夯实基础工作，提高资金使用效率，专款专用；</w:t>
      </w:r>
    </w:p>
    <w:p w14:paraId="3ABBDB9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4</w:t>
      </w:r>
      <w:r>
        <w:rPr>
          <w:rFonts w:hint="default" w:ascii="仿宋_GB2312" w:hAnsi="Calibri" w:eastAsia="仿宋_GB2312" w:cs="仿宋_GB2312"/>
          <w:i w:val="0"/>
          <w:iCs w:val="0"/>
          <w:caps w:val="0"/>
          <w:color w:val="000000"/>
          <w:spacing w:val="0"/>
          <w:sz w:val="32"/>
          <w:szCs w:val="32"/>
          <w:bdr w:val="none" w:color="auto" w:sz="0" w:space="0"/>
          <w:shd w:val="clear" w:fill="FFFFFF"/>
        </w:rPr>
        <w:t>）强化绩效管理，推进信息公开；</w:t>
      </w:r>
    </w:p>
    <w:p w14:paraId="291F4D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5</w:t>
      </w:r>
      <w:r>
        <w:rPr>
          <w:rFonts w:hint="default" w:ascii="仿宋_GB2312" w:hAnsi="Calibri" w:eastAsia="仿宋_GB2312" w:cs="仿宋_GB2312"/>
          <w:i w:val="0"/>
          <w:iCs w:val="0"/>
          <w:caps w:val="0"/>
          <w:color w:val="000000"/>
          <w:spacing w:val="0"/>
          <w:sz w:val="32"/>
          <w:szCs w:val="32"/>
          <w:bdr w:val="none" w:color="auto" w:sz="0" w:space="0"/>
          <w:shd w:val="clear" w:fill="FFFFFF"/>
        </w:rPr>
        <w:t>）加强学习财务资金管理办法及制度等。</w:t>
      </w:r>
    </w:p>
    <w:p w14:paraId="0AA63D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shd w:val="clear" w:fill="FFFFFF"/>
        </w:rPr>
        <w:t>二、部门预算单位构成</w:t>
      </w:r>
    </w:p>
    <w:p w14:paraId="41A930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000000"/>
          <w:spacing w:val="0"/>
          <w:sz w:val="32"/>
          <w:szCs w:val="32"/>
          <w:bdr w:val="none" w:color="auto" w:sz="0" w:space="0"/>
          <w:shd w:val="clear" w:fill="FFFFFF"/>
        </w:rPr>
        <w:t>黑水县石碉楼乡事业在编人数</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8</w:t>
      </w:r>
      <w:r>
        <w:rPr>
          <w:rFonts w:hint="default" w:ascii="仿宋_GB2312" w:hAnsi="Calibri" w:eastAsia="仿宋_GB2312" w:cs="仿宋_GB2312"/>
          <w:i w:val="0"/>
          <w:iCs w:val="0"/>
          <w:caps w:val="0"/>
          <w:color w:val="000000"/>
          <w:spacing w:val="0"/>
          <w:sz w:val="32"/>
          <w:szCs w:val="32"/>
          <w:bdr w:val="none" w:color="auto" w:sz="0" w:space="0"/>
          <w:shd w:val="clear" w:fill="FFFFFF"/>
        </w:rPr>
        <w:t>名，事业工勤</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1</w:t>
      </w:r>
      <w:r>
        <w:rPr>
          <w:rFonts w:hint="default" w:ascii="仿宋_GB2312" w:hAnsi="Calibri" w:eastAsia="仿宋_GB2312" w:cs="仿宋_GB2312"/>
          <w:i w:val="0"/>
          <w:iCs w:val="0"/>
          <w:caps w:val="0"/>
          <w:color w:val="000000"/>
          <w:spacing w:val="0"/>
          <w:sz w:val="32"/>
          <w:szCs w:val="32"/>
          <w:bdr w:val="none" w:color="auto" w:sz="0" w:space="0"/>
          <w:shd w:val="clear" w:fill="FFFFFF"/>
        </w:rPr>
        <w:t>名。</w:t>
      </w:r>
    </w:p>
    <w:p w14:paraId="41762C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420" w:right="0" w:firstLine="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三、收支预算情况说明</w:t>
      </w:r>
    </w:p>
    <w:p w14:paraId="49A6BC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按照综合预算的原则，石碉楼乡人民政府所有收入和支出均纳入部门预算管理。收入包括：一般公共预算收入206.82万元，事业收入0万元，其他收入0万元，上年结转0万元；支出包括：社会保障和就业支出33.20万元，卫生健康支出12.59万元，住房保障支出17.47万元，农林水支出143.56万元。石碉楼乡人民政府2026年收支总预算206.82万元,较2025年收支预算总数166.89万元，增加,39.93万元。增加19%，原因：2026年基数调整。</w:t>
      </w:r>
    </w:p>
    <w:p w14:paraId="19B473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（一）收入预算情况</w:t>
      </w:r>
    </w:p>
    <w:p w14:paraId="2F9FE7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石碉楼乡2026年收入预算206.82万元，其中：一般公共预算收入206.82万元，占总收入的100%；事业收入0万元；其他收入0万元。</w:t>
      </w:r>
    </w:p>
    <w:p w14:paraId="3B013C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（二）支出预算情况</w:t>
      </w:r>
    </w:p>
    <w:p w14:paraId="45802F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石碉楼乡2026年支出预算206.82万元，其中：一般公共预算拨款支出206.82万元，占100%；事业支出0万元；其他支出0万元。</w:t>
      </w:r>
    </w:p>
    <w:p w14:paraId="31670E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四、财政拨款收支预算情况说明</w:t>
      </w:r>
    </w:p>
    <w:p w14:paraId="7F2D72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石碉楼乡人民政府2026年收入总预算206.82万元较2025年收支预算总数166.89万元，增加,39.93万元。增加19%，原因：2026年在编人数大于2025年在编人数。</w:t>
      </w:r>
    </w:p>
    <w:p w14:paraId="277942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五、一般公共预算当年拨款情况说明</w:t>
      </w:r>
    </w:p>
    <w:p w14:paraId="5310B7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（一）一般公共预算当年拨款规模变化情况</w:t>
      </w:r>
    </w:p>
    <w:p w14:paraId="72D54C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石碉楼乡2026年一般公共预算当年拨款206.82万元，较2025年收支预算总数166.89万元，增加,39.93万元。增加19%，原因：2026年在编人数大于2025年在编人数，基数调整。</w:t>
      </w:r>
    </w:p>
    <w:p w14:paraId="52A91C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（二）一般公共预算当年拨款结构情况</w:t>
      </w:r>
    </w:p>
    <w:p w14:paraId="7BDEF1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2026年预算总支出206.82万元，其中社会保障和就业支出33.20万元，占总支出16.1%；卫生健康支出12.59万元，占总支出6.1%；住房保障支出17.47万元，占总支出8.45%，农林水支出143.56万元，占总支出69.41%。</w:t>
      </w:r>
    </w:p>
    <w:p w14:paraId="7B1A54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（三）一般公共预算当年拨款具体使用情况</w:t>
      </w:r>
    </w:p>
    <w:p w14:paraId="7C772F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1、农林水支出（类）农业农村（款）事业运行（项）：2026年预算数143.56万元，主要用于基本工资、津贴补贴、工伤保险、基本公用支出、体检费等。</w:t>
      </w:r>
    </w:p>
    <w:p w14:paraId="0824DE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2、社会保障和就业支出（类）行政事业单位养老支出（款）机关事业单位基本养老保险缴费支出（项）：2026年预算数22.14万元，主要用于养老保险缴费。</w:t>
      </w:r>
    </w:p>
    <w:p w14:paraId="69C02A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3、社会保障和就业支出（类）行政事业单位养老支出（款）机关事业单位职业年金缴费支出（项）：2026年预算数11.07万元，主要用于职业年金缴费。</w:t>
      </w:r>
    </w:p>
    <w:p w14:paraId="73DB0B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4、卫生健康支出（类）行政事业单位医疗（款）事业单位医疗（项）:2026年预算数9.68万元，主要用于事业人员医疗费。</w:t>
      </w:r>
    </w:p>
    <w:p w14:paraId="5043BD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5、卫生健康支出（类）行政事业单位医疗（款）其他行政事业单位医疗支出（项）:2026年预算数2.9万元，主要用于事业人员其他行政事业单位医疗费。</w:t>
      </w:r>
    </w:p>
    <w:p w14:paraId="2F0092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6、住房保障支出（类）住房改革支出（款）住房公积金（项）：2026年预算数17.47万元，主要是事业人员住房公积金。</w:t>
      </w:r>
    </w:p>
    <w:p w14:paraId="28EFAB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六、一般公共预算基本支出情况说明</w:t>
      </w:r>
    </w:p>
    <w:p w14:paraId="29CEB3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黑水县石碉楼乡人民政府2026年一般公共预算基本支出206.82万元。其中：人员经费181.57万元，主要包括：基本工资、津贴补贴、奖金、社会保险缴费、绩效工资、机关事业单位基本养老保险缴费、职业年金缴费、其他工资福利支出、离休费、住房公积金、其他对个人和家庭的补助支出。</w:t>
      </w:r>
    </w:p>
    <w:p w14:paraId="522519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公用经费25.25万元，主要包括：办公费、印刷费、水费、电费、邮电费、差旅费、维修（护）费、会议费、培训费、劳务费、工会经费、福利费、其他交通费、其他商品和服务支出。其中包括乡镇专项工作经费,主要用于:乡综治工作经费、乡人武部工作经费、乡安全生产工作经费、乡统计专项工作经费、乡共青团工作经费、乡禁毒工作经费、乡农村道路交通安全管理办法工作经费、脱贫攻坚与乡村振兴有效衔接专项工作经费、乡纪检工作经费、乡信访协调维稳经费、外出务工经商人员管理经费等。</w:t>
      </w:r>
    </w:p>
    <w:p w14:paraId="423349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七、“三公”经费财政拨款预算安排情况说明</w:t>
      </w:r>
    </w:p>
    <w:p w14:paraId="00551F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黑水县石碉楼乡人民政府2026年“三公”经费财政拨款预算数3万元，其中：因公出国（境）经费0万元;公务接待费0万元;公务用车购置及运行维护费3万元(其中公务用车运行维护费定额经费3万元，其他交通费0万元，公务用车购置费0万元)，增加3万元，增长100%，原因:2026年事业账套预算公务用车运行维护费。</w:t>
      </w:r>
    </w:p>
    <w:p w14:paraId="3772BF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八、政府性基金预算支出情况说明</w:t>
      </w:r>
    </w:p>
    <w:p w14:paraId="7521CB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黑水县石碉楼乡人民政府2026年政府性基金预算拨款安排的支出0万元。</w:t>
      </w:r>
    </w:p>
    <w:p w14:paraId="1FA450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九、其他重要事项的情况说明</w:t>
      </w:r>
    </w:p>
    <w:p w14:paraId="34ACD6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（一）机关运行经费</w:t>
      </w:r>
    </w:p>
    <w:p w14:paraId="51B350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黑水县石碉楼乡人民政府2026年机关运行经费财政拨款预算为25.25万元，较2025年预算22.78万元相比增加2.47万元，增长9.6%，原因：2026年在编人数大于2025年在编人数，基数调整。</w:t>
      </w:r>
    </w:p>
    <w:p w14:paraId="3EE1B6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（二）政府采购情况</w:t>
      </w:r>
    </w:p>
    <w:p w14:paraId="275D63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2026年黑水县石碉楼乡人民政府安排政府采购预算0万元。</w:t>
      </w:r>
    </w:p>
    <w:p w14:paraId="322DD7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（三）国有资产占有使用情况</w:t>
      </w:r>
    </w:p>
    <w:p w14:paraId="3DFB00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截至2026年底，单位有一般公务用车0辆其中核定车编0辆，社会捐赠0辆，护林防火消防用车0辆。单位价值200万元以上大型设备0台（套）。</w:t>
      </w:r>
    </w:p>
    <w:p w14:paraId="490636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楷体" w:hAnsi="楷体" w:eastAsia="楷体" w:cs="楷体"/>
          <w:b/>
          <w:bCs/>
          <w:i w:val="0"/>
          <w:iCs w:val="0"/>
          <w:caps w:val="0"/>
          <w:color w:val="333333"/>
          <w:spacing w:val="0"/>
          <w:sz w:val="32"/>
          <w:szCs w:val="32"/>
          <w:bdr w:val="none" w:color="auto" w:sz="0" w:space="0"/>
          <w:shd w:val="clear" w:fill="FFFFFF"/>
        </w:rPr>
        <w:t>（四）绩效目标设置情况</w:t>
      </w:r>
    </w:p>
    <w:p w14:paraId="5E2B9F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石碉楼乡人民政府2026年度一般资金部门整体预算绩效和项目绩效情况：</w:t>
      </w:r>
    </w:p>
    <w:p w14:paraId="6036F2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64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绩效目标设置情况：2026年石碉楼乡开展绩效管理的项目6个，涉及一般公共预算当年拨款206.82万元。其中:基本支出涉及预算206.82万元;项目支出涉及预算0元。</w:t>
      </w:r>
    </w:p>
    <w:p w14:paraId="46A823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333333"/>
          <w:spacing w:val="0"/>
          <w:sz w:val="32"/>
          <w:szCs w:val="32"/>
          <w:bdr w:val="none" w:color="auto" w:sz="0" w:space="0"/>
          <w:shd w:val="clear" w:fill="FFFFFF"/>
        </w:rPr>
        <w:t>十、名称解释</w:t>
      </w:r>
      <w:r>
        <w:rPr>
          <w:rFonts w:hint="default" w:ascii="仿宋_GB2312" w:hAnsi="Calibri" w:eastAsia="仿宋_GB2312" w:cs="仿宋_GB2312"/>
          <w:i w:val="0"/>
          <w:iCs w:val="0"/>
          <w:caps w:val="0"/>
          <w:color w:val="333333"/>
          <w:spacing w:val="0"/>
          <w:sz w:val="32"/>
          <w:szCs w:val="32"/>
          <w:bdr w:val="none" w:color="auto" w:sz="0" w:space="0"/>
          <w:shd w:val="clear" w:fill="FFFFFF"/>
        </w:rPr>
        <w:t>（一）财政拨款收入：指由财政拨款形成的部门收入。按现行管理制度，部门预算中反映的财政拨款仅包括一般公共预算拨款和政府性基金预算拨款。</w:t>
      </w:r>
    </w:p>
    <w:p w14:paraId="17B4B3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（二）事业收入：指所属事业单位开展专业业务活动及辅助活动所取得的收入。</w:t>
      </w:r>
    </w:p>
    <w:p w14:paraId="654AD4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（三）其他收入：指除上述“财政拨款收入”、“事业收入”、“事业单位经营收入”等以外的收入，主要是所属行政事业单位按规定动用的售房收入、存款利息收入等。</w:t>
      </w:r>
    </w:p>
    <w:p w14:paraId="25A9B1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（四）上年结转：指所属行政事业单位以前年度尚未完成、结转至本年按原规定用途继续使用的资金和以前年度已完成项目剩余资金经批准用于新用途使用的资金。</w:t>
      </w:r>
    </w:p>
    <w:p w14:paraId="0E2C7D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（五）社会保障和就业支出（类）行政事业单位养老支出（款）机关事业单位基本养老保险缴费支出（项），主要用于为在职职工缴纳基本养老保险支出。</w:t>
      </w:r>
    </w:p>
    <w:p w14:paraId="1BA48E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（六）社会保障和就业支出（类）行政事业单位养老支出（款）机关事业单位职业年金缴费支出（项），主要用于为在职职工缴纳职业年金支出。</w:t>
      </w:r>
    </w:p>
    <w:p w14:paraId="16E0EF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（七）卫生健康支出（类）行政事业单位医疗（款）行政事业单位医疗（项），主要用于为本单位职工缴纳医疗保险。</w:t>
      </w:r>
    </w:p>
    <w:p w14:paraId="57F1D7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（八）卫生健康支出（类）行政事业单位医疗（款）公务员医疗（项），主要用于全县大病统筹</w:t>
      </w:r>
    </w:p>
    <w:p w14:paraId="4023C4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（九）住房保障支出（类）住房改革支出（款）住房公积金（项），主要用于按照规定标准为职工缴纳住房公积金等支出。</w:t>
      </w:r>
    </w:p>
    <w:p w14:paraId="412B87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（十）基本支出：指为保证机构正常运转，完成日常工作任务而发生的人员支出和公用支出。</w:t>
      </w:r>
    </w:p>
    <w:p w14:paraId="7FA7B9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（十一）项目支出：指在基本支出之外为完成特定行政任务和事业发展目标所发生的支出。</w:t>
      </w:r>
    </w:p>
    <w:p w14:paraId="403008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十二）“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5CC2D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r>
        <w:rPr>
          <w:rFonts w:hint="default" w:ascii="仿宋_GB2312" w:hAnsi="Calibri" w:eastAsia="仿宋_GB2312" w:cs="仿宋_GB2312"/>
          <w:i w:val="0"/>
          <w:iCs w:val="0"/>
          <w:caps w:val="0"/>
          <w:color w:val="333333"/>
          <w:spacing w:val="0"/>
          <w:sz w:val="32"/>
          <w:szCs w:val="32"/>
          <w:bdr w:val="none" w:color="auto" w:sz="0" w:space="0"/>
          <w:shd w:val="clear" w:fill="FFFFFF"/>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A2787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60" w:lineRule="atLeast"/>
        <w:ind w:left="0" w:right="0" w:firstLine="420"/>
        <w:rPr>
          <w:rFonts w:hint="eastAsia" w:ascii="宋体" w:hAnsi="宋体" w:eastAsia="宋体" w:cs="宋体"/>
          <w:i w:val="0"/>
          <w:iCs w:val="0"/>
          <w:caps w:val="0"/>
          <w:color w:val="000000"/>
          <w:spacing w:val="0"/>
          <w:sz w:val="18"/>
          <w:szCs w:val="18"/>
        </w:rPr>
      </w:pPr>
      <w:bookmarkStart w:id="0" w:name="_GoBack"/>
      <w:bookmarkEnd w:id="0"/>
    </w:p>
    <w:p w14:paraId="01FDA6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8B7F58"/>
    <w:rsid w:val="6D8B7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2026-03-25T03:34:00Z</dcterms:created>
  <dc:creator>WPS_1604458475</dc:creator>
  <cp:lastModifiedBy>WPS_1604458475</cp:lastModifiedBy>
  <dcterms:modified xsi:type="dcterms:W3CDTF">2026-03-25T03:35:24Z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CE505B9F44764E5A9B4E921E691195E0_11</vt:lpwstr>
  </property>
  <property fmtid="{D5CDD505-2E9C-101B-9397-08002B2CF9AE}" pid="4" name="KSOTemplateDocerSaveRecord">
    <vt:lpwstr>eyJoZGlkIjoiYmMxZWViYzY2OTBkMWNmMDZlNjI2NmUwYzQyZTk2ZTMiLCJ1c2VySWQiOiIxMTM5OTQ5NTAyIn0=</vt:lpwstr>
  </property>
</Properties>
</file>