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480" w:lineRule="atLeast"/>
        <w:jc w:val="distribute"/>
        <w:rPr>
          <w:rFonts w:ascii="宋体" w:cs="宋体"/>
          <w:b/>
          <w:bCs/>
          <w:color w:val="FF0000"/>
          <w:w w:val="60"/>
          <w:sz w:val="112"/>
          <w:szCs w:val="112"/>
        </w:rPr>
      </w:pPr>
      <w:bookmarkStart w:id="0" w:name="_GoBack"/>
    </w:p>
    <w:p>
      <w:pPr>
        <w:adjustRightInd w:val="0"/>
        <w:snapToGrid w:val="0"/>
        <w:spacing w:line="480" w:lineRule="atLeast"/>
        <w:jc w:val="distribute"/>
        <w:rPr>
          <w:rFonts w:ascii="宋体" w:cs="宋体"/>
          <w:b/>
          <w:bCs/>
          <w:color w:val="FF0000"/>
          <w:w w:val="60"/>
          <w:sz w:val="112"/>
          <w:szCs w:val="112"/>
        </w:rPr>
      </w:pPr>
      <w:r>
        <w:rPr>
          <w:rFonts w:hint="eastAsia" w:ascii="宋体" w:cs="宋体"/>
          <w:b/>
          <w:bCs/>
          <w:color w:val="FF0000"/>
          <w:w w:val="60"/>
          <w:sz w:val="112"/>
          <w:szCs w:val="112"/>
        </w:rPr>
        <w:t>黑水县石碉楼乡人民政府</w:t>
      </w:r>
    </w:p>
    <w:p>
      <w:pPr>
        <w:adjustRightInd w:val="0"/>
        <w:snapToGrid w:val="0"/>
        <w:spacing w:line="560" w:lineRule="exact"/>
        <w:ind w:firstLine="404" w:firstLineChars="200"/>
        <w:rPr>
          <w:rFonts w:ascii="仿宋_GB2312" w:eastAsia="仿宋_GB2312" w:cs="仿宋_GB2312"/>
          <w:sz w:val="32"/>
          <w:szCs w:val="32"/>
        </w:rPr>
      </w:pPr>
      <w:r>
        <mc:AlternateContent>
          <mc:Choice Requires="wps">
            <w:drawing>
              <wp:anchor distT="0" distB="0" distL="114300" distR="114300" simplePos="0" relativeHeight="251659264" behindDoc="0" locked="0" layoutInCell="1" allowOverlap="1">
                <wp:simplePos x="0" y="0"/>
                <wp:positionH relativeFrom="column">
                  <wp:posOffset>28575</wp:posOffset>
                </wp:positionH>
                <wp:positionV relativeFrom="paragraph">
                  <wp:posOffset>349250</wp:posOffset>
                </wp:positionV>
                <wp:extent cx="5464810" cy="635"/>
                <wp:effectExtent l="0" t="13970" r="2540" b="23495"/>
                <wp:wrapNone/>
                <wp:docPr id="1" name="直线 2 2"/>
                <wp:cNvGraphicFramePr/>
                <a:graphic xmlns:a="http://schemas.openxmlformats.org/drawingml/2006/main">
                  <a:graphicData uri="http://schemas.microsoft.com/office/word/2010/wordprocessingShape">
                    <wps:wsp>
                      <wps:cNvCnPr/>
                      <wps:spPr>
                        <a:xfrm>
                          <a:off x="0" y="0"/>
                          <a:ext cx="5464810" cy="634"/>
                        </a:xfrm>
                        <a:prstGeom prst="line">
                          <a:avLst/>
                        </a:prstGeom>
                        <a:noFill/>
                        <a:ln w="28575" cap="flat" cmpd="sng">
                          <a:solidFill>
                            <a:srgbClr val="FF0000"/>
                          </a:solidFill>
                          <a:prstDash val="solid"/>
                          <a:miter/>
                        </a:ln>
                        <a:effectLst/>
                      </wps:spPr>
                      <wps:bodyPr vert="horz" wrap="square" lIns="91440" tIns="45720" rIns="91440" bIns="45720" anchor="t" anchorCtr="0" upright="1">
                        <a:noAutofit/>
                      </wps:bodyPr>
                    </wps:wsp>
                  </a:graphicData>
                </a:graphic>
              </wp:anchor>
            </w:drawing>
          </mc:Choice>
          <mc:Fallback>
            <w:pict>
              <v:line id="直线 2 2" o:spid="_x0000_s1026" o:spt="20" style="position:absolute;left:0pt;margin-left:2.25pt;margin-top:27.5pt;height:0.05pt;width:430.3pt;z-index:251659264;mso-width-relative:page;mso-height-relative:page;" filled="f" stroked="t" coordsize="21600,21600" o:gfxdata="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BYAAABkcnMv&#10;UEsBAhQAFAAAAAgAh07iQMcj0uzYAAAABwEAAA8AAAAAAAAAAQAgAAAAOAAAAGRycy9kb3ducmV2&#10;LnhtbFBLAQIUABQAAAAIAIdO4kAlcNP0HwIAADAEAAAOAAAAAAAAAAEAIAAAAD0BAABkcnMvZTJv&#10;RG9jLnhtbFBLBQYAAAAABgAGAFkBAADOBQAAAAA=&#10;">
                <v:fill on="f" focussize="0,0"/>
                <v:stroke weight="2.25pt" color="#FF0000" joinstyle="miter"/>
                <v:imagedata o:title=""/>
                <o:lock v:ext="edit" aspectratio="f"/>
              </v:line>
            </w:pict>
          </mc:Fallback>
        </mc:AlternateContent>
      </w:r>
      <w:r>
        <w:rPr>
          <w:rFonts w:hint="eastAsia" w:ascii="仿宋_GB2312" w:eastAsia="仿宋_GB2312" w:cs="仿宋_GB2312"/>
          <w:sz w:val="32"/>
          <w:szCs w:val="32"/>
        </w:rPr>
        <w:t>黑</w:t>
      </w:r>
      <w:r>
        <w:rPr>
          <w:rFonts w:ascii="仿宋_GB2312" w:eastAsia="仿宋_GB2312" w:cs="仿宋_GB2312"/>
          <w:sz w:val="32"/>
          <w:szCs w:val="32"/>
        </w:rPr>
        <w:t>石</w:t>
      </w:r>
      <w:r>
        <w:rPr>
          <w:rFonts w:hint="eastAsia" w:ascii="仿宋_GB2312" w:eastAsia="仿宋_GB2312" w:cs="仿宋_GB2312"/>
          <w:sz w:val="32"/>
          <w:szCs w:val="32"/>
        </w:rPr>
        <w:t>府〔</w:t>
      </w:r>
      <w:r>
        <w:rPr>
          <w:rFonts w:ascii="仿宋_GB2312" w:eastAsia="仿宋_GB2312" w:cs="仿宋_GB2312"/>
          <w:sz w:val="32"/>
          <w:szCs w:val="32"/>
        </w:rPr>
        <w:t>20</w:t>
      </w:r>
      <w:r>
        <w:rPr>
          <w:rFonts w:hint="eastAsia" w:ascii="仿宋_GB2312" w:eastAsia="仿宋_GB2312" w:cs="仿宋_GB2312"/>
          <w:sz w:val="32"/>
          <w:szCs w:val="32"/>
        </w:rPr>
        <w:t>26〕9号             签发人：</w:t>
      </w:r>
      <w:r>
        <w:rPr>
          <w:rFonts w:ascii="楷体" w:eastAsia="楷体" w:cs="楷体"/>
          <w:sz w:val="32"/>
          <w:szCs w:val="32"/>
        </w:rPr>
        <w:t>银忠扎西</w:t>
      </w:r>
    </w:p>
    <w:p>
      <w:pPr>
        <w:spacing w:line="580" w:lineRule="exact"/>
        <w:jc w:val="center"/>
        <w:rPr>
          <w:rFonts w:ascii="方正小标宋简体" w:eastAsia="方正小标宋简体" w:cs="方正小标宋简体"/>
          <w:kern w:val="0"/>
          <w:sz w:val="44"/>
          <w:szCs w:val="44"/>
        </w:rPr>
      </w:pPr>
    </w:p>
    <w:p>
      <w:pPr>
        <w:spacing w:line="640" w:lineRule="exact"/>
        <w:jc w:val="center"/>
        <w:rPr>
          <w:rFonts w:ascii="方正小标宋简体" w:eastAsia="方正小标宋简体" w:cs="方正小标宋简体"/>
          <w:kern w:val="0"/>
          <w:sz w:val="44"/>
          <w:szCs w:val="44"/>
        </w:rPr>
      </w:pPr>
      <w:r>
        <w:rPr>
          <w:rFonts w:hint="eastAsia" w:ascii="方正小标宋简体" w:eastAsia="方正小标宋简体" w:cs="方正小标宋简体"/>
          <w:kern w:val="0"/>
          <w:sz w:val="44"/>
          <w:szCs w:val="44"/>
        </w:rPr>
        <w:t>2025年度石碉楼乡人民政府</w:t>
      </w:r>
    </w:p>
    <w:p>
      <w:pPr>
        <w:spacing w:line="640" w:lineRule="exact"/>
        <w:jc w:val="center"/>
        <w:rPr>
          <w:rFonts w:ascii="方正小标宋简体" w:eastAsia="方正小标宋简体" w:cs="方正小标宋简体"/>
          <w:kern w:val="0"/>
          <w:sz w:val="44"/>
          <w:szCs w:val="44"/>
        </w:rPr>
      </w:pPr>
      <w:r>
        <w:rPr>
          <w:rFonts w:ascii="方正小标宋简体" w:eastAsia="方正小标宋简体" w:cs="方正小标宋简体"/>
          <w:kern w:val="0"/>
          <w:sz w:val="44"/>
          <w:szCs w:val="44"/>
        </w:rPr>
        <w:t>村级运行维护费</w:t>
      </w:r>
      <w:r>
        <w:rPr>
          <w:rFonts w:hint="eastAsia" w:ascii="方正小标宋简体" w:eastAsia="方正小标宋简体" w:cs="方正小标宋简体"/>
          <w:kern w:val="0"/>
          <w:sz w:val="44"/>
          <w:szCs w:val="44"/>
        </w:rPr>
        <w:t>项目支出绩效评价报告</w:t>
      </w:r>
    </w:p>
    <w:p>
      <w:pPr>
        <w:pStyle w:val="2"/>
        <w:ind w:left="804" w:hanging="402"/>
      </w:pPr>
    </w:p>
    <w:p>
      <w:pPr>
        <w:numPr>
          <w:ilvl w:val="0"/>
          <w:numId w:val="1"/>
        </w:numPr>
        <w:spacing w:line="576" w:lineRule="exact"/>
        <w:ind w:firstLine="624" w:firstLineChars="200"/>
        <w:rPr>
          <w:rFonts w:ascii="黑体" w:eastAsia="黑体" w:cs="黑体"/>
          <w:sz w:val="32"/>
          <w:szCs w:val="32"/>
        </w:rPr>
      </w:pPr>
      <w:r>
        <w:rPr>
          <w:rFonts w:hint="eastAsia" w:ascii="黑体" w:eastAsia="黑体" w:cs="黑体"/>
          <w:sz w:val="32"/>
          <w:szCs w:val="32"/>
        </w:rPr>
        <w:t>项目概况</w:t>
      </w:r>
    </w:p>
    <w:p>
      <w:pPr>
        <w:spacing w:line="576" w:lineRule="exact"/>
        <w:ind w:firstLine="624" w:firstLineChars="200"/>
        <w:rPr>
          <w:rFonts w:ascii="仿宋_GB2312" w:eastAsia="仿宋_GB2312" w:cs="仿宋_GB2312"/>
          <w:sz w:val="32"/>
          <w:szCs w:val="32"/>
          <w:lang w:val="zh-CN"/>
        </w:rPr>
      </w:pPr>
      <w:r>
        <w:rPr>
          <w:rFonts w:hint="eastAsia" w:ascii="楷体_GB2312" w:eastAsia="楷体_GB2312"/>
          <w:b/>
          <w:sz w:val="32"/>
          <w:szCs w:val="32"/>
          <w:lang w:val="zh-CN"/>
        </w:rPr>
        <w:t>（一）设立背景及基本情况</w:t>
      </w:r>
      <w:r>
        <w:rPr>
          <w:rFonts w:hint="eastAsia" w:ascii="仿宋_GB2312" w:eastAsia="仿宋_GB2312" w:cs="仿宋_GB2312"/>
          <w:sz w:val="32"/>
          <w:szCs w:val="32"/>
          <w:lang w:val="zh-CN"/>
        </w:rPr>
        <w:t>。</w:t>
      </w:r>
    </w:p>
    <w:p>
      <w:pPr>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石碉楼乡2025年度村级运行维护费，项目支出632440元。资金申报后在规定的时间内下发给我们单位，本单位也在规定时间内及时进行了支出。该项目均符合资金管理办法等相关规定。</w:t>
      </w:r>
    </w:p>
    <w:p>
      <w:pPr>
        <w:adjustRightInd w:val="0"/>
        <w:snapToGrid w:val="0"/>
        <w:spacing w:line="576" w:lineRule="exact"/>
        <w:ind w:firstLine="624" w:firstLineChars="200"/>
        <w:rPr>
          <w:rFonts w:ascii="楷体_GB2312" w:eastAsia="楷体_GB2312" w:cs="仿宋_GB2312"/>
          <w:b/>
          <w:sz w:val="32"/>
          <w:szCs w:val="32"/>
          <w:lang w:val="zh-CN"/>
        </w:rPr>
      </w:pPr>
      <w:r>
        <w:rPr>
          <w:rFonts w:hint="eastAsia" w:ascii="楷体_GB2312" w:eastAsia="楷体_GB2312" w:cs="仿宋_GB2312"/>
          <w:b/>
          <w:sz w:val="32"/>
          <w:szCs w:val="32"/>
          <w:lang w:val="zh-CN"/>
        </w:rPr>
        <w:t>（二）实施目的及支持方向。</w:t>
      </w:r>
    </w:p>
    <w:p>
      <w:pPr>
        <w:adjustRightInd w:val="0"/>
        <w:snapToGrid w:val="0"/>
        <w:spacing w:line="576" w:lineRule="exact"/>
        <w:ind w:firstLine="624" w:firstLineChars="200"/>
        <w:rPr>
          <w:rFonts w:ascii="仿宋_GB2312" w:eastAsia="仿宋_GB2312" w:cs="仿宋_GB2312"/>
          <w:sz w:val="32"/>
          <w:szCs w:val="32"/>
          <w:lang w:val="zh-CN"/>
        </w:rPr>
      </w:pPr>
      <w:r>
        <w:rPr>
          <w:rFonts w:hint="eastAsia" w:ascii="仿宋_GB2312" w:eastAsia="仿宋_GB2312" w:cs="仿宋_GB2312"/>
          <w:sz w:val="32"/>
          <w:szCs w:val="32"/>
        </w:rPr>
        <w:t>石碉楼乡2025年度村级运行维护费，主要用于</w:t>
      </w:r>
      <w:r>
        <w:rPr>
          <w:rFonts w:ascii="仿宋_GB2312" w:eastAsia="仿宋_GB2312" w:cs="仿宋_GB2312"/>
          <w:sz w:val="32"/>
          <w:szCs w:val="32"/>
        </w:rPr>
        <w:t>石碉楼乡9个行政村级公共运行维护费。</w:t>
      </w:r>
    </w:p>
    <w:p>
      <w:pPr>
        <w:adjustRightInd w:val="0"/>
        <w:snapToGrid w:val="0"/>
        <w:spacing w:line="576" w:lineRule="exact"/>
        <w:ind w:firstLine="624" w:firstLineChars="200"/>
        <w:rPr>
          <w:rFonts w:ascii="楷体_GB2312" w:eastAsia="楷体_GB2312" w:cs="仿宋_GB2312"/>
          <w:b/>
          <w:sz w:val="32"/>
          <w:szCs w:val="32"/>
          <w:lang w:val="zh-CN"/>
        </w:rPr>
      </w:pPr>
      <w:r>
        <w:rPr>
          <w:rFonts w:hint="eastAsia" w:ascii="楷体_GB2312" w:eastAsia="楷体_GB2312" w:cs="仿宋_GB2312"/>
          <w:b/>
          <w:sz w:val="32"/>
          <w:szCs w:val="32"/>
          <w:lang w:val="zh-CN"/>
        </w:rPr>
        <w:t>（三）预算安排及分配管理。</w:t>
      </w:r>
    </w:p>
    <w:p>
      <w:pPr>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该项目</w:t>
      </w:r>
      <w:r>
        <w:rPr>
          <w:rFonts w:ascii="仿宋_GB2312" w:eastAsia="仿宋_GB2312" w:cs="仿宋_GB2312"/>
          <w:sz w:val="32"/>
          <w:szCs w:val="32"/>
        </w:rPr>
        <w:t>预算安排石碉楼有9个涉及村共计</w:t>
      </w:r>
      <w:r>
        <w:rPr>
          <w:rFonts w:hint="eastAsia" w:ascii="仿宋_GB2312" w:eastAsia="仿宋_GB2312" w:cs="仿宋_GB2312"/>
          <w:sz w:val="32"/>
          <w:szCs w:val="32"/>
        </w:rPr>
        <w:t>632440</w:t>
      </w:r>
      <w:r>
        <w:rPr>
          <w:rFonts w:ascii="仿宋_GB2312" w:eastAsia="仿宋_GB2312" w:cs="仿宋_GB2312"/>
          <w:sz w:val="32"/>
          <w:szCs w:val="32"/>
        </w:rPr>
        <w:t>元,</w:t>
      </w:r>
      <w:r>
        <w:rPr>
          <w:rFonts w:hint="eastAsia" w:ascii="仿宋_GB2312" w:eastAsia="仿宋_GB2312" w:cs="仿宋_GB2312"/>
          <w:sz w:val="32"/>
          <w:szCs w:val="32"/>
        </w:rPr>
        <w:t>截止评价时点实际到位及时，资金到位情况与资金计划基本一致。</w:t>
      </w:r>
    </w:p>
    <w:p>
      <w:pPr>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评价项目严格执行财务管理制度、财务处理及时、会计核算规范。绩效目标是预算编制的前提和基础，按照“费随事定”的原则。严格按照州、县预算编制要求，按时完成了基础信息、项目库的报送工作，完成基础信息的更新，按时完成预算编制并提交部门预算草案。预算编制中，特别注意对预算编制准确性的把握，并严格按照要求进行预算执行调整，按时完成待批复提前细化。严格执行“厉行节约、反对浪费”的规定。预算内经费和专项基金我单位按照有关法律法规和财务制度严格执行，经费组织决算及报表的审核、报送与财政部门逐一核对，确保经费预决算的严肃性、准确性。评价项目是否严格执行财务管理制度、财务处理是否及时、会计核算是否规范等。</w:t>
      </w:r>
    </w:p>
    <w:p>
      <w:pPr>
        <w:adjustRightInd w:val="0"/>
        <w:snapToGrid w:val="0"/>
        <w:spacing w:line="576" w:lineRule="exact"/>
        <w:ind w:firstLine="624" w:firstLineChars="200"/>
        <w:rPr>
          <w:rFonts w:ascii="楷体_GB2312" w:eastAsia="楷体_GB2312" w:cs="仿宋_GB2312"/>
          <w:b/>
          <w:sz w:val="32"/>
          <w:szCs w:val="32"/>
          <w:lang w:val="zh-CN"/>
        </w:rPr>
      </w:pPr>
      <w:r>
        <w:rPr>
          <w:rFonts w:hint="eastAsia" w:ascii="楷体_GB2312" w:eastAsia="楷体_GB2312" w:cs="仿宋_GB2312"/>
          <w:b/>
          <w:sz w:val="32"/>
          <w:szCs w:val="32"/>
          <w:lang w:val="zh-CN"/>
        </w:rPr>
        <w:t>(四)项目绩效目标设置</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石碉楼乡2025年度村级运行维护费支出，保障脱贫村巩固拓展脱贫攻坚成果同乡村振兴有效衔接工作顺利开展。</w:t>
      </w:r>
    </w:p>
    <w:p>
      <w:pPr>
        <w:adjustRightInd w:val="0"/>
        <w:snapToGrid w:val="0"/>
        <w:spacing w:line="576" w:lineRule="exact"/>
        <w:ind w:firstLine="624" w:firstLineChars="200"/>
        <w:rPr>
          <w:rFonts w:ascii="黑体" w:eastAsia="黑体" w:cs="黑体"/>
          <w:color w:val="000000"/>
          <w:sz w:val="32"/>
          <w:szCs w:val="32"/>
        </w:rPr>
      </w:pPr>
      <w:r>
        <w:rPr>
          <w:rFonts w:hint="eastAsia" w:ascii="黑体" w:eastAsia="黑体" w:cs="黑体"/>
          <w:color w:val="000000"/>
          <w:sz w:val="32"/>
          <w:szCs w:val="32"/>
        </w:rPr>
        <w:t>二、评价实施</w:t>
      </w:r>
    </w:p>
    <w:p>
      <w:pPr>
        <w:spacing w:line="576" w:lineRule="exact"/>
        <w:ind w:firstLine="624" w:firstLineChars="200"/>
        <w:rPr>
          <w:rFonts w:ascii="仿宋_GB2312" w:eastAsia="仿宋_GB2312" w:cs="仿宋_GB2312"/>
          <w:sz w:val="32"/>
          <w:szCs w:val="32"/>
        </w:rPr>
      </w:pPr>
      <w:r>
        <w:rPr>
          <w:rFonts w:hint="eastAsia" w:ascii="楷体_GB2312" w:eastAsia="楷体_GB2312"/>
          <w:b/>
          <w:sz w:val="32"/>
          <w:szCs w:val="32"/>
          <w:lang w:val="zh-CN"/>
        </w:rPr>
        <w:t>（一）评价目的。</w:t>
      </w:r>
      <w:r>
        <w:rPr>
          <w:rFonts w:hint="eastAsia" w:ascii="仿宋_GB2312" w:eastAsia="仿宋_GB2312" w:cs="仿宋_GB2312"/>
          <w:sz w:val="32"/>
          <w:szCs w:val="32"/>
        </w:rPr>
        <w:t>先对项目进行实施计划，根据项目下达计划，我们按相关编制的初步实施方案，编制了我乡的实施方案，拟定了建设内容、建设要求、建设期限，制定了项目管理措施，成立了项目领导小组、实施小组制定了资金管理制度，保证了项目的顺利实施。</w:t>
      </w:r>
    </w:p>
    <w:p>
      <w:pPr>
        <w:adjustRightInd w:val="0"/>
        <w:snapToGrid w:val="0"/>
        <w:spacing w:line="576" w:lineRule="exact"/>
        <w:ind w:firstLine="624" w:firstLineChars="200"/>
        <w:rPr>
          <w:rFonts w:ascii="仿宋_GB2312" w:eastAsia="仿宋_GB2312" w:cs="仿宋_GB2312"/>
          <w:sz w:val="32"/>
          <w:szCs w:val="32"/>
          <w:lang w:val="zh-CN"/>
        </w:rPr>
      </w:pPr>
      <w:r>
        <w:rPr>
          <w:rFonts w:hint="eastAsia" w:ascii="楷体_GB2312" w:eastAsia="楷体_GB2312"/>
          <w:b/>
          <w:sz w:val="32"/>
          <w:szCs w:val="32"/>
          <w:lang w:val="zh-CN"/>
        </w:rPr>
        <w:t>（二）预设问题及评价重点。</w:t>
      </w:r>
      <w:r>
        <w:rPr>
          <w:rFonts w:hint="eastAsia" w:ascii="仿宋_GB2312" w:eastAsia="仿宋_GB2312" w:cs="仿宋_GB2312"/>
          <w:sz w:val="32"/>
          <w:szCs w:val="32"/>
        </w:rPr>
        <w:t>本次评价主要针对该项目的规划编制的内容完整性和项目实施工作的质量问题，结合该项目资金的使用情况来完整的体现。</w:t>
      </w:r>
    </w:p>
    <w:p>
      <w:pPr>
        <w:adjustRightInd w:val="0"/>
        <w:snapToGrid w:val="0"/>
        <w:spacing w:line="576" w:lineRule="exact"/>
        <w:ind w:firstLine="624" w:firstLineChars="200"/>
        <w:rPr>
          <w:rFonts w:ascii="仿宋_GB2312" w:eastAsia="仿宋_GB2312" w:cs="仿宋_GB2312"/>
          <w:sz w:val="32"/>
          <w:szCs w:val="32"/>
        </w:rPr>
      </w:pPr>
      <w:r>
        <w:rPr>
          <w:rFonts w:hint="eastAsia" w:ascii="楷体_GB2312" w:eastAsia="楷体_GB2312"/>
          <w:b/>
          <w:sz w:val="32"/>
          <w:szCs w:val="32"/>
          <w:lang w:val="zh-CN"/>
        </w:rPr>
        <w:t>（三）评价选点。</w:t>
      </w:r>
      <w:r>
        <w:rPr>
          <w:rFonts w:hint="eastAsia" w:ascii="仿宋_GB2312" w:eastAsia="仿宋_GB2312" w:cs="仿宋_GB2312"/>
          <w:sz w:val="32"/>
          <w:szCs w:val="32"/>
        </w:rPr>
        <w:t>石碉楼乡2025年村级运行维护费项目主要开展工作地点为黑水县石碉楼乡，本次绩效评价主体为黑水县石碉楼乡人民政府，项目不涉及其他。</w:t>
      </w:r>
    </w:p>
    <w:p>
      <w:pPr>
        <w:adjustRightInd w:val="0"/>
        <w:snapToGrid w:val="0"/>
        <w:spacing w:line="576" w:lineRule="exact"/>
        <w:ind w:firstLine="624" w:firstLineChars="200"/>
        <w:rPr>
          <w:rFonts w:ascii="仿宋_GB2312" w:eastAsia="仿宋_GB2312" w:cs="仿宋_GB2312"/>
          <w:sz w:val="32"/>
          <w:szCs w:val="32"/>
        </w:rPr>
      </w:pPr>
      <w:r>
        <w:rPr>
          <w:rFonts w:hint="eastAsia" w:ascii="楷体_GB2312" w:eastAsia="楷体_GB2312"/>
          <w:b/>
          <w:sz w:val="32"/>
          <w:szCs w:val="32"/>
          <w:lang w:val="zh-CN"/>
        </w:rPr>
        <w:t>（四）评价方法。</w:t>
      </w:r>
      <w:r>
        <w:rPr>
          <w:rFonts w:hint="eastAsia" w:ascii="仿宋_GB2312" w:eastAsia="仿宋_GB2312" w:cs="仿宋_GB2312"/>
          <w:sz w:val="32"/>
          <w:szCs w:val="32"/>
        </w:rPr>
        <w:t>采用先进的绩效评价方法和科学的数据分析是取得正确客观评价结论的重要保障，评价组从采取以下几个方法对项目实施评价，通过定量和定性分析得出评价结论。</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1、比较分析法。是指通过对绩效目标与实施效果、历史与当期情况、不同部门和地区同类支出的比较，综合分析绩效目标实现程度。</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2、因素分析法。是指通过综合分析影响绩效目标实现、实施效果的内外因素，评价绩效目标实现程度。</w:t>
      </w:r>
    </w:p>
    <w:p>
      <w:pPr>
        <w:spacing w:line="576" w:lineRule="exact"/>
        <w:ind w:firstLine="624" w:firstLineChars="200"/>
        <w:rPr>
          <w:rFonts w:ascii="楷体_GB2312" w:eastAsia="楷体_GB2312"/>
          <w:b/>
          <w:sz w:val="32"/>
          <w:szCs w:val="32"/>
          <w:lang w:val="zh-CN"/>
        </w:rPr>
      </w:pPr>
      <w:r>
        <w:rPr>
          <w:rFonts w:hint="eastAsia" w:ascii="楷体_GB2312" w:eastAsia="楷体_GB2312"/>
          <w:b/>
          <w:sz w:val="32"/>
          <w:szCs w:val="32"/>
          <w:lang w:val="zh-CN"/>
        </w:rPr>
        <w:t>（五）评价组织。</w:t>
      </w:r>
    </w:p>
    <w:p>
      <w:pPr>
        <w:spacing w:line="576" w:lineRule="exact"/>
        <w:ind w:firstLine="624" w:firstLineChars="200"/>
        <w:rPr>
          <w:rFonts w:ascii="仿宋_GB2312" w:eastAsia="仿宋_GB2312" w:cs="仿宋_GB2312"/>
          <w:bCs/>
          <w:sz w:val="32"/>
          <w:szCs w:val="32"/>
        </w:rPr>
      </w:pPr>
      <w:r>
        <w:rPr>
          <w:rFonts w:hint="eastAsia" w:ascii="仿宋_GB2312" w:eastAsia="仿宋_GB2312" w:cs="仿宋_GB2312"/>
          <w:sz w:val="32"/>
          <w:szCs w:val="32"/>
        </w:rPr>
        <w:t>评价组人员构成和职责分工。</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1、领导小组职责：</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（1）研究和决定</w:t>
      </w:r>
      <w:r>
        <w:rPr>
          <w:rFonts w:ascii="仿宋_GB2312" w:eastAsia="仿宋_GB2312" w:cs="仿宋_GB2312"/>
          <w:sz w:val="32"/>
          <w:szCs w:val="32"/>
        </w:rPr>
        <w:t>单位</w:t>
      </w:r>
      <w:r>
        <w:rPr>
          <w:rFonts w:hint="eastAsia" w:ascii="仿宋_GB2312" w:eastAsia="仿宋_GB2312" w:cs="仿宋_GB2312"/>
          <w:sz w:val="32"/>
          <w:szCs w:val="32"/>
        </w:rPr>
        <w:t>管理绩效评价中的重大问题。</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（2）组织协调绩效评价工作，确保评价的顺利进行。</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（3）对各</w:t>
      </w:r>
      <w:r>
        <w:rPr>
          <w:rFonts w:ascii="仿宋_GB2312" w:eastAsia="仿宋_GB2312" w:cs="仿宋_GB2312"/>
          <w:sz w:val="32"/>
          <w:szCs w:val="32"/>
        </w:rPr>
        <w:t>站、所</w:t>
      </w:r>
      <w:r>
        <w:rPr>
          <w:rFonts w:hint="eastAsia" w:ascii="仿宋_GB2312" w:eastAsia="仿宋_GB2312" w:cs="仿宋_GB2312"/>
          <w:sz w:val="32"/>
          <w:szCs w:val="32"/>
        </w:rPr>
        <w:t>的工作目标、绩效考核结果和等次、奖惩方案进行审核，并报</w:t>
      </w:r>
      <w:r>
        <w:rPr>
          <w:rFonts w:ascii="仿宋_GB2312" w:eastAsia="仿宋_GB2312" w:cs="仿宋_GB2312"/>
          <w:sz w:val="32"/>
          <w:szCs w:val="32"/>
        </w:rPr>
        <w:t>乡</w:t>
      </w:r>
      <w:r>
        <w:rPr>
          <w:rFonts w:hint="eastAsia" w:ascii="仿宋_GB2312" w:eastAsia="仿宋_GB2312" w:cs="仿宋_GB2312"/>
          <w:sz w:val="32"/>
          <w:szCs w:val="32"/>
        </w:rPr>
        <w:t>党委和政府审定。</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2、办公室职责：</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（1）提出政府绩效评价的工作方案，并负责具体组织实施。</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（2）综合评价信息，提出评价结果等次认定方案及奖惩方案等。</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（3）负责绩效评价的日常工作，包括宣传、沟通、协调等。</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（4）根据评价结果撰写绩效评价报告，并递交给领导小组。</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3、具体执行人员职责：</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（1）组长：审批绩效自评方案，监督、检查、核实绩效自评结果。</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w:t>
      </w:r>
      <w:r>
        <w:rPr>
          <w:rFonts w:ascii="仿宋_GB2312" w:eastAsia="仿宋_GB2312" w:cs="仿宋_GB2312"/>
          <w:sz w:val="32"/>
          <w:szCs w:val="32"/>
        </w:rPr>
        <w:t>2</w:t>
      </w:r>
      <w:r>
        <w:rPr>
          <w:rFonts w:hint="eastAsia" w:ascii="仿宋_GB2312" w:eastAsia="仿宋_GB2312" w:cs="仿宋_GB2312"/>
          <w:sz w:val="32"/>
          <w:szCs w:val="32"/>
        </w:rPr>
        <w:t>）小组成员：起草和修改绩效考评方案报自评领导工作组会议讨论通过，实施执行绩效自评方案；牵头组织并实施年度绩效自评，根据组长指示，对考评结果进行复核，完成绩效自核工作组安排的其他工作。</w:t>
      </w:r>
    </w:p>
    <w:p>
      <w:pPr>
        <w:spacing w:line="576" w:lineRule="exact"/>
        <w:ind w:firstLine="624" w:firstLineChars="200"/>
        <w:rPr>
          <w:rFonts w:ascii="黑体" w:eastAsia="黑体" w:cs="黑体"/>
          <w:color w:val="FFC000"/>
          <w:sz w:val="32"/>
          <w:szCs w:val="32"/>
        </w:rPr>
      </w:pPr>
      <w:r>
        <w:rPr>
          <w:rFonts w:hint="eastAsia" w:ascii="黑体" w:eastAsia="黑体"/>
          <w:sz w:val="32"/>
          <w:szCs w:val="32"/>
        </w:rPr>
        <w:t>三、绩效分析</w:t>
      </w:r>
    </w:p>
    <w:p>
      <w:pPr>
        <w:spacing w:line="576" w:lineRule="exact"/>
        <w:ind w:firstLine="624" w:firstLineChars="200"/>
        <w:rPr>
          <w:rFonts w:ascii="楷体_GB2312" w:eastAsia="楷体_GB2312"/>
          <w:b/>
          <w:sz w:val="32"/>
          <w:szCs w:val="32"/>
        </w:rPr>
      </w:pPr>
      <w:r>
        <w:rPr>
          <w:rFonts w:hint="eastAsia" w:ascii="楷体_GB2312" w:eastAsia="楷体_GB2312"/>
          <w:b/>
          <w:sz w:val="32"/>
          <w:szCs w:val="32"/>
          <w:lang w:val="zh-CN"/>
        </w:rPr>
        <w:t>（一）</w:t>
      </w:r>
      <w:r>
        <w:rPr>
          <w:rFonts w:hint="eastAsia" w:ascii="楷体_GB2312" w:eastAsia="楷体_GB2312"/>
          <w:b/>
          <w:sz w:val="32"/>
          <w:szCs w:val="32"/>
        </w:rPr>
        <w:t>通用指标</w:t>
      </w:r>
      <w:r>
        <w:rPr>
          <w:rFonts w:hint="eastAsia" w:ascii="楷体_GB2312" w:eastAsia="楷体_GB2312"/>
          <w:b/>
          <w:bCs/>
          <w:sz w:val="32"/>
          <w:szCs w:val="32"/>
        </w:rPr>
        <w:t>绩效分析。</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（1）决策程序</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项目设立、调整延续等方面符合资金管理基本规范和决策程序要求，该项指标得分6分。</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（2）规划论证</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项目规划符合中央、省委省政府有关决策部署安排，项目充分评估论证了立项必要性、前瞻性、合理性和可行性。项目总体绩效目标设置合理性的偏离度≤15%，绩效目标科学合理、规范完整、量化细化、预算匹配，该项指标得分5分。</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（3）资金投向</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项目属于政府支持范围，且符合财政事权支出责任划分规定，资金投向与项目总体规划、相关行业事业发展相匹配，聚焦重大任务、重点领域、重点环节和重点项目，体现“集中财力办大事”原则，避免“撒胡椒面”，未与其他同类项目或部门内部相关项目交叉重复，该项指标得分6分。</w:t>
      </w:r>
    </w:p>
    <w:p>
      <w:pPr>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2.项目管理。</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（1）制度办法</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项目未制定资金管理办法，管理制度体系有所欠缺，存在管理制度缺失、管理办法过期情况，该项指标得分</w:t>
      </w:r>
      <w:r>
        <w:rPr>
          <w:rFonts w:ascii="仿宋_GB2312" w:eastAsia="仿宋_GB2312" w:cs="仿宋_GB2312"/>
          <w:sz w:val="32"/>
          <w:szCs w:val="32"/>
        </w:rPr>
        <w:t>2</w:t>
      </w:r>
      <w:r>
        <w:rPr>
          <w:rFonts w:hint="eastAsia" w:ascii="仿宋_GB2312" w:eastAsia="仿宋_GB2312" w:cs="仿宋_GB2312"/>
          <w:sz w:val="32"/>
          <w:szCs w:val="32"/>
        </w:rPr>
        <w:t>分。</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（2）分配管理</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资金分配因素选取充分考虑了相关行业事业发展实际和发展需求，资金分配因素的权重设置有效突出了项目实施重点，资金区域分布结果公平合理，建设了项目储备库，实行了入库项目动态管理、推动了资金竞争性分配，明确了项目申报审核程序，按规定程序履行了项目审批，资金分配依据充分合理，资金分配严格按管理办法执行，决策程序符合管理要求，及时高效，该项指标得分8分。</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（3）绩效监管</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项目按</w:t>
      </w:r>
      <w:r>
        <w:rPr>
          <w:rFonts w:hint="default" w:ascii="仿宋_GB2312" w:eastAsia="仿宋_GB2312" w:cs="仿宋_GB2312"/>
          <w:sz w:val="32"/>
          <w:szCs w:val="32"/>
        </w:rPr>
        <w:t>中央、省委</w:t>
      </w:r>
      <w:r>
        <w:rPr>
          <w:rFonts w:hint="eastAsia" w:ascii="仿宋_GB2312" w:eastAsia="仿宋_GB2312" w:cs="仿宋_GB2312"/>
          <w:sz w:val="32"/>
          <w:szCs w:val="32"/>
        </w:rPr>
        <w:t>要求全面完成绩效目标（含事前评估）、绩效评价、以前年度问题整改等预算绩效管理工作；省级部门对市县主管部门预算绩效管理要求到位，不存在对市县资金分配和项目管理指导力度不够的情况，对市县开展了评价、监督、指导等工作，该项指标得分6分。</w:t>
      </w:r>
    </w:p>
    <w:p>
      <w:pPr>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3.项目实施。围绕、进行绩效分析。</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（1）预算执行</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财政资金已按照要求拨付完毕，拨付率100%，该项指标得分=财政资金拨付率×100%×6=6分。</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（2）资金使用</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该项指标得分3分。</w:t>
      </w:r>
    </w:p>
    <w:p>
      <w:pPr>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4.项目结果。</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（1）目标完成</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项目完成预期目标，实施结果与绩效目标相匹配，该项指标得分6分。</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（2）完成时效</w:t>
      </w:r>
    </w:p>
    <w:p>
      <w:pPr>
        <w:adjustRightInd w:val="0"/>
        <w:snapToGrid w:val="0"/>
        <w:spacing w:line="576" w:lineRule="exact"/>
        <w:ind w:firstLine="624" w:firstLineChars="200"/>
        <w:rPr>
          <w:rFonts w:ascii="仿宋_GB2312" w:eastAsia="仿宋_GB2312" w:cs="仿宋_GB2312"/>
          <w:sz w:val="32"/>
          <w:szCs w:val="32"/>
        </w:rPr>
      </w:pPr>
      <w:r>
        <w:rPr>
          <w:rFonts w:hint="eastAsia" w:ascii="仿宋_GB2312" w:eastAsia="仿宋_GB2312" w:cs="仿宋_GB2312"/>
          <w:sz w:val="32"/>
          <w:szCs w:val="32"/>
        </w:rPr>
        <w:t>项目实际完成时间与计划完成时间相符，该项指标得分3分。</w:t>
      </w:r>
    </w:p>
    <w:p>
      <w:pPr>
        <w:spacing w:line="576" w:lineRule="exact"/>
        <w:ind w:firstLine="624" w:firstLineChars="200"/>
        <w:rPr>
          <w:rFonts w:ascii="楷体_GB2312" w:eastAsia="楷体_GB2312"/>
          <w:b/>
          <w:bCs/>
          <w:sz w:val="32"/>
          <w:szCs w:val="32"/>
          <w:lang w:val="zh-CN"/>
        </w:rPr>
      </w:pPr>
      <w:r>
        <w:rPr>
          <w:rFonts w:hint="eastAsia" w:ascii="楷体_GB2312" w:eastAsia="楷体_GB2312"/>
          <w:b/>
          <w:sz w:val="32"/>
          <w:szCs w:val="32"/>
          <w:lang w:val="zh-CN"/>
        </w:rPr>
        <w:t>（二）专用指标</w:t>
      </w:r>
      <w:r>
        <w:rPr>
          <w:rFonts w:hint="eastAsia" w:ascii="楷体_GB2312" w:eastAsia="楷体_GB2312"/>
          <w:b/>
          <w:bCs/>
          <w:sz w:val="32"/>
          <w:szCs w:val="32"/>
          <w:lang w:val="zh-CN"/>
        </w:rPr>
        <w:t>绩效分析。</w:t>
      </w:r>
    </w:p>
    <w:p>
      <w:pPr>
        <w:spacing w:line="576" w:lineRule="exact"/>
        <w:ind w:firstLine="624" w:firstLineChars="200"/>
        <w:rPr>
          <w:rFonts w:ascii="楷体_GB2312" w:eastAsia="楷体_GB2312"/>
          <w:b/>
          <w:bCs/>
          <w:sz w:val="32"/>
          <w:szCs w:val="32"/>
          <w:lang w:val="zh-CN"/>
        </w:rPr>
      </w:pPr>
      <w:r>
        <w:rPr>
          <w:rFonts w:ascii="楷体_GB2312" w:eastAsia="楷体_GB2312"/>
          <w:b/>
          <w:bCs/>
          <w:sz w:val="32"/>
          <w:szCs w:val="32"/>
          <w:lang w:val="zh-CN"/>
        </w:rPr>
        <w:t>民生保障</w:t>
      </w:r>
    </w:p>
    <w:p>
      <w:pPr>
        <w:adjustRightInd w:val="0"/>
        <w:snapToGrid w:val="0"/>
        <w:spacing w:line="576" w:lineRule="exact"/>
        <w:ind w:firstLine="624" w:firstLineChars="200"/>
        <w:rPr>
          <w:kern w:val="0"/>
          <w:szCs w:val="28"/>
        </w:rPr>
      </w:pPr>
      <w:r>
        <w:rPr>
          <w:rFonts w:hint="eastAsia" w:ascii="仿宋_GB2312" w:eastAsia="仿宋_GB2312" w:cs="仿宋_GB2312"/>
          <w:bCs/>
          <w:sz w:val="32"/>
          <w:szCs w:val="32"/>
          <w:lang w:val="zh-CN"/>
        </w:rPr>
        <w:t>按</w:t>
      </w:r>
      <w:r>
        <w:rPr>
          <w:rFonts w:ascii="仿宋_GB2312" w:eastAsia="仿宋_GB2312" w:cs="仿宋_GB2312"/>
          <w:bCs/>
          <w:sz w:val="32"/>
          <w:szCs w:val="32"/>
          <w:lang w:val="zh-CN"/>
        </w:rPr>
        <w:t>区域均衡性</w:t>
      </w:r>
      <w:r>
        <w:rPr>
          <w:rFonts w:hint="eastAsia" w:ascii="仿宋_GB2312" w:eastAsia="仿宋_GB2312" w:cs="仿宋_GB2312"/>
          <w:bCs/>
          <w:sz w:val="32"/>
          <w:szCs w:val="32"/>
          <w:lang w:val="zh-CN"/>
        </w:rPr>
        <w:t>规定用途、适用范围进行本地区专项资金分配</w:t>
      </w:r>
      <w:r>
        <w:rPr>
          <w:rFonts w:ascii="仿宋_GB2312" w:eastAsia="仿宋_GB2312" w:cs="仿宋_GB2312"/>
          <w:bCs/>
          <w:sz w:val="32"/>
          <w:szCs w:val="32"/>
          <w:lang w:val="zh-CN"/>
        </w:rPr>
        <w:t>得10分</w:t>
      </w:r>
      <w:r>
        <w:rPr>
          <w:rFonts w:hint="eastAsia" w:ascii="仿宋_GB2312" w:eastAsia="仿宋_GB2312" w:cs="仿宋_GB2312"/>
          <w:bCs/>
          <w:sz w:val="32"/>
          <w:szCs w:val="32"/>
          <w:lang w:val="zh-CN"/>
        </w:rPr>
        <w:t>；</w:t>
      </w:r>
      <w:r>
        <w:rPr>
          <w:rFonts w:ascii="仿宋_GB2312" w:eastAsia="仿宋_GB2312" w:cs="仿宋_GB2312"/>
          <w:bCs/>
          <w:sz w:val="32"/>
          <w:szCs w:val="32"/>
          <w:lang w:val="zh-CN"/>
        </w:rPr>
        <w:t>按对象精准性资金管理程序符合专项资金管理要求得10分；按标准合理性资金分配标准符合专项资金管理要求得5分；按群众满意度资金涉及相关受益群体满意度为优得5分，</w:t>
      </w:r>
      <w:r>
        <w:rPr>
          <w:rFonts w:hint="eastAsia" w:ascii="仿宋_GB2312" w:eastAsia="仿宋_GB2312" w:cs="仿宋_GB2312"/>
          <w:bCs/>
          <w:sz w:val="32"/>
          <w:szCs w:val="32"/>
          <w:lang w:val="zh-CN"/>
        </w:rPr>
        <w:t>该项指标</w:t>
      </w:r>
      <w:r>
        <w:rPr>
          <w:rFonts w:ascii="仿宋_GB2312" w:eastAsia="仿宋_GB2312" w:cs="仿宋_GB2312"/>
          <w:bCs/>
          <w:sz w:val="32"/>
          <w:szCs w:val="32"/>
          <w:lang w:val="zh-CN"/>
        </w:rPr>
        <w:t>总</w:t>
      </w:r>
      <w:r>
        <w:rPr>
          <w:rFonts w:hint="eastAsia" w:ascii="仿宋_GB2312" w:eastAsia="仿宋_GB2312" w:cs="仿宋_GB2312"/>
          <w:bCs/>
          <w:sz w:val="32"/>
          <w:szCs w:val="32"/>
          <w:lang w:val="zh-CN"/>
        </w:rPr>
        <w:t>得分30分。</w:t>
      </w:r>
    </w:p>
    <w:p>
      <w:pPr>
        <w:spacing w:line="576" w:lineRule="exact"/>
        <w:ind w:firstLine="624" w:firstLineChars="200"/>
        <w:rPr>
          <w:rFonts w:ascii="仿宋_GB2312" w:eastAsia="仿宋_GB2312" w:cs="仿宋_GB2312"/>
          <w:bCs/>
          <w:sz w:val="32"/>
          <w:szCs w:val="32"/>
          <w:lang w:val="zh-CN"/>
        </w:rPr>
      </w:pPr>
      <w:r>
        <w:rPr>
          <w:rFonts w:hint="eastAsia" w:ascii="楷体_GB2312" w:eastAsia="楷体_GB2312"/>
          <w:b/>
          <w:sz w:val="32"/>
          <w:szCs w:val="32"/>
          <w:lang w:val="zh-CN"/>
        </w:rPr>
        <w:t>（三）个性指标</w:t>
      </w:r>
      <w:r>
        <w:rPr>
          <w:rFonts w:hint="eastAsia" w:ascii="楷体_GB2312" w:eastAsia="楷体_GB2312"/>
          <w:b/>
          <w:bCs/>
          <w:sz w:val="32"/>
          <w:szCs w:val="32"/>
          <w:lang w:val="zh-CN"/>
        </w:rPr>
        <w:t>绩效分析。</w:t>
      </w:r>
      <w:r>
        <w:rPr>
          <w:rFonts w:hint="eastAsia" w:ascii="仿宋_GB2312" w:eastAsia="仿宋_GB2312" w:cs="仿宋_GB2312"/>
          <w:bCs/>
          <w:sz w:val="32"/>
          <w:szCs w:val="32"/>
          <w:lang w:val="zh-CN"/>
        </w:rPr>
        <w:t>项目已如期建成，资金已按期拨付，项目实施后已达到预期效果，该项指标得分</w:t>
      </w:r>
      <w:r>
        <w:rPr>
          <w:rFonts w:ascii="仿宋_GB2312" w:eastAsia="仿宋_GB2312" w:cs="仿宋_GB2312"/>
          <w:bCs/>
          <w:sz w:val="32"/>
          <w:szCs w:val="32"/>
          <w:lang w:val="zh-CN"/>
        </w:rPr>
        <w:t>16</w:t>
      </w:r>
      <w:r>
        <w:rPr>
          <w:rFonts w:hint="eastAsia" w:ascii="仿宋_GB2312" w:eastAsia="仿宋_GB2312" w:cs="仿宋_GB2312"/>
          <w:bCs/>
          <w:sz w:val="32"/>
          <w:szCs w:val="32"/>
          <w:lang w:val="zh-CN"/>
        </w:rPr>
        <w:t>分。</w:t>
      </w:r>
    </w:p>
    <w:p>
      <w:pPr>
        <w:ind w:firstLine="624" w:firstLineChars="200"/>
        <w:rPr>
          <w:rFonts w:ascii="方正黑体_GBK" w:eastAsia="方正黑体_GBK" w:cs="方正黑体_GBK"/>
          <w:sz w:val="32"/>
          <w:szCs w:val="32"/>
        </w:rPr>
      </w:pPr>
      <w:r>
        <w:rPr>
          <w:rFonts w:hint="eastAsia" w:ascii="方正黑体_GBK" w:eastAsia="方正黑体_GBK" w:cs="方正黑体_GBK"/>
          <w:sz w:val="32"/>
          <w:szCs w:val="32"/>
        </w:rPr>
        <w:t>四、评价结论</w:t>
      </w:r>
    </w:p>
    <w:p>
      <w:pPr>
        <w:adjustRightInd w:val="0"/>
        <w:snapToGrid w:val="0"/>
        <w:spacing w:line="576" w:lineRule="exact"/>
        <w:ind w:firstLine="624" w:firstLineChars="200"/>
        <w:rPr>
          <w:rFonts w:ascii="仿宋_GB2312" w:eastAsia="仿宋_GB2312" w:cs="仿宋_GB2312"/>
          <w:bCs/>
          <w:sz w:val="32"/>
          <w:szCs w:val="32"/>
          <w:lang w:val="zh-CN"/>
        </w:rPr>
      </w:pPr>
      <w:r>
        <w:rPr>
          <w:rFonts w:ascii="仿宋_GB2312" w:eastAsia="仿宋_GB2312" w:cs="仿宋_GB2312"/>
          <w:bCs/>
          <w:sz w:val="32"/>
          <w:szCs w:val="32"/>
          <w:lang w:val="zh-CN"/>
        </w:rPr>
        <w:t>我单位严格按照绩效自评工作要求，秉承客观公正、实事求是的原则开展了</w:t>
      </w:r>
      <w:r>
        <w:rPr>
          <w:rFonts w:hint="eastAsia" w:ascii="仿宋_GB2312" w:eastAsia="仿宋_GB2312" w:cs="仿宋_GB2312"/>
          <w:bCs/>
          <w:sz w:val="32"/>
          <w:szCs w:val="32"/>
          <w:lang w:val="zh-CN"/>
        </w:rPr>
        <w:t>石碉楼乡2025年</w:t>
      </w:r>
      <w:r>
        <w:rPr>
          <w:rFonts w:ascii="仿宋_GB2312" w:eastAsia="仿宋_GB2312" w:cs="仿宋_GB2312"/>
          <w:bCs/>
          <w:sz w:val="32"/>
          <w:szCs w:val="32"/>
          <w:lang w:val="zh-CN"/>
        </w:rPr>
        <w:t>村级运行维护费</w:t>
      </w:r>
      <w:r>
        <w:rPr>
          <w:rFonts w:hint="eastAsia" w:ascii="仿宋_GB2312" w:eastAsia="仿宋_GB2312" w:cs="仿宋_GB2312"/>
          <w:bCs/>
          <w:sz w:val="32"/>
          <w:szCs w:val="32"/>
          <w:lang w:val="zh-CN"/>
        </w:rPr>
        <w:t>项目</w:t>
      </w:r>
      <w:r>
        <w:rPr>
          <w:rFonts w:ascii="仿宋_GB2312" w:eastAsia="仿宋_GB2312" w:cs="仿宋_GB2312"/>
          <w:bCs/>
          <w:sz w:val="32"/>
          <w:szCs w:val="32"/>
          <w:lang w:val="zh-CN"/>
        </w:rPr>
        <w:t>支出绩效自评工作，经对各类指标进行评分和汇总分析，</w:t>
      </w:r>
      <w:r>
        <w:rPr>
          <w:rFonts w:hint="eastAsia" w:ascii="仿宋_GB2312" w:eastAsia="仿宋_GB2312" w:cs="仿宋_GB2312"/>
          <w:bCs/>
          <w:sz w:val="32"/>
          <w:szCs w:val="32"/>
          <w:lang w:val="zh-CN"/>
        </w:rPr>
        <w:t>石碉楼乡2025年</w:t>
      </w:r>
      <w:r>
        <w:rPr>
          <w:rFonts w:ascii="仿宋_GB2312" w:eastAsia="仿宋_GB2312" w:cs="仿宋_GB2312"/>
          <w:bCs/>
          <w:sz w:val="32"/>
          <w:szCs w:val="32"/>
          <w:lang w:val="zh-CN"/>
        </w:rPr>
        <w:t>村级运行维护费</w:t>
      </w:r>
      <w:r>
        <w:rPr>
          <w:rFonts w:hint="eastAsia" w:ascii="仿宋_GB2312" w:eastAsia="仿宋_GB2312" w:cs="仿宋_GB2312"/>
          <w:bCs/>
          <w:sz w:val="32"/>
          <w:szCs w:val="32"/>
          <w:lang w:val="zh-CN"/>
        </w:rPr>
        <w:t>项目</w:t>
      </w:r>
      <w:r>
        <w:rPr>
          <w:rFonts w:ascii="仿宋_GB2312" w:eastAsia="仿宋_GB2312" w:cs="仿宋_GB2312"/>
          <w:bCs/>
          <w:sz w:val="32"/>
          <w:szCs w:val="32"/>
          <w:lang w:val="zh-CN"/>
        </w:rPr>
        <w:t>支出绩效评价综合得分9</w:t>
      </w:r>
      <w:r>
        <w:rPr>
          <w:rFonts w:hint="eastAsia" w:ascii="仿宋_GB2312" w:eastAsia="仿宋_GB2312" w:cs="仿宋_GB2312"/>
          <w:bCs/>
          <w:sz w:val="32"/>
          <w:szCs w:val="32"/>
        </w:rPr>
        <w:t>7</w:t>
      </w:r>
      <w:r>
        <w:rPr>
          <w:rFonts w:ascii="仿宋_GB2312" w:eastAsia="仿宋_GB2312" w:cs="仿宋_GB2312"/>
          <w:bCs/>
          <w:sz w:val="32"/>
          <w:szCs w:val="32"/>
          <w:lang w:val="zh-CN"/>
        </w:rPr>
        <w:t>分。评价结果显示，</w:t>
      </w:r>
      <w:r>
        <w:rPr>
          <w:rFonts w:hint="eastAsia" w:ascii="仿宋_GB2312" w:eastAsia="仿宋_GB2312" w:cs="仿宋_GB2312"/>
          <w:bCs/>
          <w:sz w:val="32"/>
          <w:szCs w:val="32"/>
          <w:lang w:val="zh-CN"/>
        </w:rPr>
        <w:t>石碉楼乡2025年</w:t>
      </w:r>
      <w:r>
        <w:rPr>
          <w:rFonts w:ascii="仿宋_GB2312" w:eastAsia="仿宋_GB2312" w:cs="仿宋_GB2312"/>
          <w:bCs/>
          <w:sz w:val="32"/>
          <w:szCs w:val="32"/>
          <w:lang w:val="zh-CN"/>
        </w:rPr>
        <w:t>村级运行维护费</w:t>
      </w:r>
      <w:r>
        <w:rPr>
          <w:rFonts w:hint="eastAsia" w:ascii="仿宋_GB2312" w:eastAsia="仿宋_GB2312" w:cs="仿宋_GB2312"/>
          <w:bCs/>
          <w:sz w:val="32"/>
          <w:szCs w:val="32"/>
          <w:lang w:val="zh-CN"/>
        </w:rPr>
        <w:t>项目</w:t>
      </w:r>
      <w:r>
        <w:rPr>
          <w:rFonts w:ascii="仿宋_GB2312" w:eastAsia="仿宋_GB2312" w:cs="仿宋_GB2312"/>
          <w:bCs/>
          <w:sz w:val="32"/>
          <w:szCs w:val="32"/>
          <w:lang w:val="zh-CN"/>
        </w:rPr>
        <w:t>按照相关规定进行使用和管理，程序较为规范，项目支出使用效益达到预期。</w:t>
      </w:r>
    </w:p>
    <w:p>
      <w:pPr>
        <w:pStyle w:val="6"/>
        <w:spacing w:line="576" w:lineRule="exact"/>
        <w:ind w:firstLine="624" w:firstLineChars="200"/>
        <w:jc w:val="both"/>
        <w:rPr>
          <w:rFonts w:ascii="黑体"/>
          <w:sz w:val="32"/>
          <w:szCs w:val="32"/>
        </w:rPr>
      </w:pPr>
      <w:r>
        <w:rPr>
          <w:rFonts w:hint="eastAsia" w:ascii="黑体"/>
          <w:sz w:val="32"/>
          <w:szCs w:val="32"/>
        </w:rPr>
        <w:t>五、存在主要问题</w:t>
      </w:r>
    </w:p>
    <w:p>
      <w:pPr>
        <w:adjustRightInd w:val="0"/>
        <w:snapToGrid w:val="0"/>
        <w:spacing w:line="576" w:lineRule="exact"/>
        <w:ind w:firstLine="624" w:firstLineChars="200"/>
        <w:rPr>
          <w:rFonts w:ascii="仿宋_GB2312" w:eastAsia="仿宋_GB2312" w:cs="仿宋_GB2312"/>
          <w:bCs/>
          <w:sz w:val="32"/>
          <w:szCs w:val="32"/>
          <w:lang w:val="zh-CN"/>
        </w:rPr>
      </w:pPr>
      <w:r>
        <w:rPr>
          <w:rFonts w:ascii="仿宋_GB2312" w:eastAsia="仿宋_GB2312" w:cs="仿宋_GB2312"/>
          <w:bCs/>
          <w:sz w:val="32"/>
          <w:szCs w:val="32"/>
          <w:lang w:val="zh-CN"/>
        </w:rPr>
        <w:t>无</w:t>
      </w:r>
      <w:r>
        <w:rPr>
          <w:rFonts w:hint="eastAsia" w:ascii="仿宋_GB2312" w:eastAsia="仿宋_GB2312" w:cs="仿宋_GB2312"/>
          <w:bCs/>
          <w:sz w:val="32"/>
          <w:szCs w:val="32"/>
          <w:lang w:val="zh-CN"/>
        </w:rPr>
        <w:t>。</w:t>
      </w:r>
    </w:p>
    <w:p>
      <w:pPr>
        <w:pStyle w:val="6"/>
        <w:spacing w:line="576" w:lineRule="exact"/>
        <w:ind w:firstLine="624" w:firstLineChars="200"/>
        <w:jc w:val="both"/>
        <w:rPr>
          <w:rFonts w:ascii="黑体"/>
          <w:sz w:val="32"/>
          <w:szCs w:val="32"/>
          <w:lang w:val="zh-CN"/>
        </w:rPr>
      </w:pPr>
      <w:r>
        <w:rPr>
          <w:rFonts w:hint="eastAsia" w:ascii="黑体"/>
          <w:sz w:val="32"/>
          <w:szCs w:val="32"/>
          <w:lang w:val="zh-CN"/>
        </w:rPr>
        <w:t>六、改进建议</w:t>
      </w:r>
    </w:p>
    <w:p>
      <w:pPr>
        <w:adjustRightInd w:val="0"/>
        <w:snapToGrid w:val="0"/>
        <w:spacing w:line="576" w:lineRule="exact"/>
        <w:ind w:firstLine="624" w:firstLineChars="200"/>
        <w:rPr>
          <w:rFonts w:ascii="仿宋_GB2312" w:eastAsia="仿宋_GB2312" w:cs="仿宋_GB2312"/>
          <w:bCs/>
          <w:sz w:val="32"/>
          <w:szCs w:val="32"/>
          <w:lang w:val="zh-CN"/>
        </w:rPr>
      </w:pPr>
      <w:r>
        <w:rPr>
          <w:rFonts w:ascii="仿宋_GB2312" w:eastAsia="仿宋_GB2312" w:cs="仿宋_GB2312"/>
          <w:bCs/>
          <w:sz w:val="32"/>
          <w:szCs w:val="32"/>
          <w:lang w:val="zh-CN"/>
        </w:rPr>
        <w:t>无</w:t>
      </w:r>
      <w:r>
        <w:rPr>
          <w:rFonts w:hint="eastAsia" w:ascii="仿宋_GB2312" w:eastAsia="仿宋_GB2312" w:cs="仿宋_GB2312"/>
          <w:bCs/>
          <w:sz w:val="32"/>
          <w:szCs w:val="32"/>
          <w:lang w:val="zh-CN"/>
        </w:rPr>
        <w:t>。</w:t>
      </w:r>
    </w:p>
    <w:p>
      <w:pPr>
        <w:adjustRightInd w:val="0"/>
        <w:snapToGrid w:val="0"/>
        <w:spacing w:line="560" w:lineRule="exact"/>
        <w:ind w:firstLine="624" w:firstLineChars="200"/>
        <w:rPr>
          <w:rFonts w:ascii="仿宋_GB2312" w:eastAsia="仿宋_GB2312"/>
          <w:kern w:val="0"/>
          <w:sz w:val="32"/>
          <w:szCs w:val="32"/>
        </w:rPr>
      </w:pPr>
      <w:r>
        <w:rPr>
          <w:rFonts w:ascii="仿宋_GB2312" w:eastAsia="仿宋_GB2312" w:cs="仿宋_GB2312"/>
          <w:bCs/>
          <w:sz w:val="32"/>
          <w:szCs w:val="32"/>
          <w:lang w:val="zh-CN"/>
        </w:rPr>
        <w:t>附表：</w:t>
      </w:r>
      <w:r>
        <w:rPr>
          <w:rFonts w:ascii="仿宋_GB2312" w:eastAsia="仿宋_GB2312"/>
          <w:kern w:val="0"/>
          <w:sz w:val="32"/>
          <w:szCs w:val="32"/>
        </w:rPr>
        <w:t>1.</w:t>
      </w:r>
      <w:r>
        <w:rPr>
          <w:rFonts w:hint="eastAsia" w:ascii="仿宋_GB2312" w:eastAsia="仿宋_GB2312"/>
          <w:kern w:val="0"/>
          <w:sz w:val="32"/>
          <w:szCs w:val="32"/>
        </w:rPr>
        <w:t>专项</w:t>
      </w:r>
      <w:r>
        <w:rPr>
          <w:rFonts w:ascii="仿宋_GB2312" w:eastAsia="仿宋_GB2312"/>
          <w:kern w:val="0"/>
          <w:sz w:val="32"/>
          <w:szCs w:val="32"/>
        </w:rPr>
        <w:t>预算绩效自评打分表</w:t>
      </w:r>
    </w:p>
    <w:p>
      <w:pPr>
        <w:adjustRightInd w:val="0"/>
        <w:snapToGrid w:val="0"/>
        <w:spacing w:line="560" w:lineRule="exact"/>
        <w:ind w:firstLine="624" w:firstLineChars="200"/>
        <w:rPr>
          <w:rFonts w:ascii="仿宋_GB2312" w:eastAsia="仿宋_GB2312"/>
          <w:kern w:val="0"/>
          <w:sz w:val="32"/>
          <w:szCs w:val="32"/>
        </w:rPr>
      </w:pPr>
      <w:r>
        <w:rPr>
          <w:rFonts w:ascii="仿宋_GB2312" w:eastAsia="仿宋_GB2312"/>
          <w:kern w:val="0"/>
          <w:sz w:val="32"/>
          <w:szCs w:val="32"/>
        </w:rPr>
        <w:t>2.专项预算绩效自评实地踏勘点位清单表</w:t>
      </w:r>
    </w:p>
    <w:p>
      <w:pPr>
        <w:adjustRightInd w:val="0"/>
        <w:snapToGrid w:val="0"/>
        <w:spacing w:line="560" w:lineRule="exact"/>
        <w:ind w:firstLine="624" w:firstLineChars="200"/>
        <w:rPr>
          <w:rFonts w:ascii="仿宋_GB2312" w:eastAsia="仿宋_GB2312"/>
          <w:color w:val="000000"/>
          <w:kern w:val="0"/>
          <w:sz w:val="32"/>
          <w:szCs w:val="32"/>
          <w:shd w:val="clear" w:color="auto" w:fill="FFFFFF"/>
        </w:rPr>
      </w:pPr>
      <w:r>
        <w:rPr>
          <w:rFonts w:hint="eastAsia" w:ascii="仿宋_GB2312" w:eastAsia="仿宋_GB2312"/>
          <w:kern w:val="0"/>
          <w:sz w:val="32"/>
          <w:szCs w:val="32"/>
        </w:rPr>
        <w:t xml:space="preserve">      3.</w:t>
      </w:r>
      <w:r>
        <w:rPr>
          <w:rFonts w:ascii="仿宋_GB2312" w:eastAsia="仿宋_GB2312"/>
          <w:kern w:val="0"/>
          <w:sz w:val="32"/>
          <w:szCs w:val="32"/>
        </w:rPr>
        <w:t>专项预算项目绩效目标完成情况自评表</w:t>
      </w:r>
    </w:p>
    <w:p>
      <w:pPr>
        <w:adjustRightInd w:val="0"/>
        <w:snapToGrid w:val="0"/>
        <w:spacing w:line="576" w:lineRule="exact"/>
        <w:ind w:firstLine="1560" w:firstLineChars="500"/>
        <w:rPr>
          <w:rFonts w:ascii="仿宋_GB2312" w:eastAsia="仿宋_GB2312" w:cs="仿宋_GB2312"/>
          <w:bCs/>
          <w:sz w:val="32"/>
          <w:szCs w:val="32"/>
          <w:lang w:val="zh-CN"/>
        </w:rPr>
      </w:pPr>
    </w:p>
    <w:p>
      <w:pPr>
        <w:adjustRightInd w:val="0"/>
        <w:snapToGrid w:val="0"/>
        <w:spacing w:line="576" w:lineRule="exact"/>
        <w:ind w:firstLine="624" w:firstLineChars="200"/>
        <w:rPr>
          <w:rFonts w:ascii="仿宋_GB2312" w:eastAsia="仿宋_GB2312" w:cs="仿宋_GB2312"/>
          <w:bCs/>
          <w:sz w:val="32"/>
          <w:szCs w:val="32"/>
          <w:lang w:val="zh-CN"/>
        </w:rPr>
      </w:pPr>
    </w:p>
    <w:p>
      <w:pPr>
        <w:pStyle w:val="2"/>
        <w:ind w:left="1024" w:hanging="622"/>
        <w:rPr>
          <w:rFonts w:ascii="仿宋_GB2312" w:eastAsia="仿宋_GB2312" w:cs="仿宋_GB2312"/>
          <w:bCs/>
          <w:sz w:val="32"/>
          <w:szCs w:val="32"/>
          <w:lang w:val="zh-CN"/>
        </w:rPr>
      </w:pPr>
    </w:p>
    <w:p>
      <w:pPr>
        <w:rPr>
          <w:lang w:val="zh-CN"/>
        </w:rPr>
      </w:pPr>
    </w:p>
    <w:p>
      <w:pPr>
        <w:spacing w:line="576" w:lineRule="exact"/>
        <w:jc w:val="right"/>
        <w:rPr>
          <w:rFonts w:ascii="仿宋_GB2312" w:eastAsia="仿宋_GB2312" w:cs="仿宋_GB2312"/>
          <w:sz w:val="32"/>
          <w:szCs w:val="32"/>
        </w:rPr>
      </w:pPr>
      <w:r>
        <w:rPr>
          <w:rFonts w:hint="eastAsia" w:ascii="仿宋_GB2312" w:eastAsia="仿宋_GB2312" w:cs="仿宋_GB2312"/>
          <w:sz w:val="32"/>
          <w:szCs w:val="32"/>
        </w:rPr>
        <w:t>黑水县石碉楼乡人民政府</w:t>
      </w:r>
    </w:p>
    <w:p>
      <w:pPr>
        <w:spacing w:line="576" w:lineRule="exact"/>
        <w:ind w:firstLine="5616" w:firstLineChars="1800"/>
        <w:jc w:val="right"/>
        <w:rPr>
          <w:rFonts w:ascii="仿宋_GB2312" w:eastAsia="仿宋_GB2312" w:cs="仿宋_GB2312"/>
          <w:sz w:val="32"/>
          <w:szCs w:val="32"/>
        </w:rPr>
      </w:pPr>
      <w:r>
        <w:rPr>
          <w:rFonts w:hint="eastAsia" w:ascii="仿宋_GB2312" w:eastAsia="仿宋_GB2312" w:cs="仿宋_GB2312"/>
          <w:sz w:val="32"/>
          <w:szCs w:val="32"/>
        </w:rPr>
        <w:t>2026年3月27日</w:t>
      </w:r>
    </w:p>
    <w:p>
      <w:pPr>
        <w:widowControl/>
        <w:adjustRightInd w:val="0"/>
        <w:snapToGrid w:val="0"/>
        <w:spacing w:line="578" w:lineRule="exact"/>
        <w:contextualSpacing/>
        <w:jc w:val="left"/>
        <w:rPr>
          <w:rFonts w:ascii="黑体" w:eastAsia="黑体" w:cs="黑体"/>
          <w:kern w:val="0"/>
          <w:sz w:val="32"/>
          <w:szCs w:val="32"/>
          <w:shd w:val="clear" w:color="auto" w:fill="FFFFFF"/>
          <w:lang w:val="zh-CN"/>
        </w:rPr>
      </w:pPr>
    </w:p>
    <w:p>
      <w:pPr>
        <w:rPr>
          <w:rFonts w:ascii="黑体" w:eastAsia="黑体" w:cs="黑体"/>
          <w:kern w:val="0"/>
          <w:sz w:val="32"/>
          <w:szCs w:val="32"/>
          <w:shd w:val="clear" w:color="auto" w:fill="FFFFFF"/>
          <w:lang w:val="zh-CN"/>
        </w:rPr>
      </w:pPr>
    </w:p>
    <w:p>
      <w:pPr>
        <w:pStyle w:val="2"/>
        <w:ind w:left="1024" w:hanging="622"/>
        <w:rPr>
          <w:rFonts w:ascii="黑体" w:eastAsia="黑体" w:cs="黑体"/>
          <w:kern w:val="0"/>
          <w:sz w:val="32"/>
          <w:szCs w:val="32"/>
          <w:shd w:val="clear" w:color="auto" w:fill="FFFFFF"/>
          <w:lang w:val="zh-CN"/>
        </w:rPr>
      </w:pPr>
    </w:p>
    <w:p>
      <w:pPr>
        <w:rPr>
          <w:rFonts w:ascii="黑体" w:eastAsia="黑体" w:cs="黑体"/>
          <w:kern w:val="0"/>
          <w:sz w:val="32"/>
          <w:szCs w:val="32"/>
          <w:shd w:val="clear" w:color="auto" w:fill="FFFFFF"/>
          <w:lang w:val="zh-CN"/>
        </w:rPr>
      </w:pPr>
    </w:p>
    <w:p>
      <w:pPr>
        <w:pStyle w:val="2"/>
        <w:ind w:left="1024" w:hanging="622"/>
        <w:rPr>
          <w:rFonts w:ascii="黑体" w:eastAsia="黑体" w:cs="黑体"/>
          <w:kern w:val="0"/>
          <w:sz w:val="32"/>
          <w:szCs w:val="32"/>
          <w:shd w:val="clear" w:color="auto" w:fill="FFFFFF"/>
          <w:lang w:val="zh-CN"/>
        </w:rPr>
      </w:pPr>
    </w:p>
    <w:p>
      <w:pPr>
        <w:rPr>
          <w:rFonts w:ascii="黑体" w:eastAsia="黑体" w:cs="黑体"/>
          <w:kern w:val="0"/>
          <w:sz w:val="32"/>
          <w:szCs w:val="32"/>
          <w:shd w:val="clear" w:color="auto" w:fill="FFFFFF"/>
          <w:lang w:val="zh-CN"/>
        </w:rPr>
      </w:pPr>
    </w:p>
    <w:p>
      <w:pPr>
        <w:pStyle w:val="2"/>
        <w:ind w:left="804" w:hanging="402"/>
        <w:rPr>
          <w:lang w:val="zh-CN"/>
        </w:rPr>
      </w:pPr>
    </w:p>
    <w:p>
      <w:pPr>
        <w:pStyle w:val="2"/>
        <w:ind w:left="804" w:hanging="402"/>
        <w:rPr>
          <w:lang w:val="zh-CN"/>
        </w:rPr>
      </w:pPr>
    </w:p>
    <w:p>
      <w:pPr>
        <w:pBdr>
          <w:top w:val="single" w:color="auto" w:sz="6" w:space="1"/>
          <w:bottom w:val="single" w:color="auto" w:sz="6" w:space="1"/>
        </w:pBdr>
        <w:rPr>
          <w:rFonts w:ascii="黑体" w:eastAsia="黑体" w:cs="黑体"/>
          <w:kern w:val="0"/>
          <w:sz w:val="32"/>
          <w:szCs w:val="32"/>
          <w:shd w:val="clear" w:color="auto" w:fill="FFFFFF"/>
          <w:lang w:val="zh-CN"/>
        </w:rPr>
      </w:pPr>
      <w:r>
        <w:rPr>
          <w:rFonts w:hint="eastAsia" w:ascii="仿宋" w:eastAsia="仿宋" w:cs="仿宋"/>
          <w:sz w:val="32"/>
          <w:szCs w:val="32"/>
        </w:rPr>
        <w:t>石碉楼乡人民政府                   2026年3月27日</w:t>
      </w:r>
    </w:p>
    <w:p>
      <w:pPr>
        <w:snapToGrid w:val="0"/>
        <w:spacing w:line="578" w:lineRule="exact"/>
        <w:rPr>
          <w:rFonts w:eastAsia="黑体"/>
          <w:kern w:val="0"/>
          <w:sz w:val="32"/>
          <w:szCs w:val="32"/>
          <w:shd w:val="clear" w:color="auto" w:fill="FFFFFF"/>
        </w:rPr>
      </w:pPr>
      <w:r>
        <w:rPr>
          <w:rFonts w:eastAsia="黑体"/>
          <w:kern w:val="0"/>
          <w:sz w:val="32"/>
          <w:szCs w:val="32"/>
          <w:shd w:val="clear" w:color="auto" w:fill="FFFFFF"/>
          <w:lang w:val="zh-CN"/>
        </w:rPr>
        <w:t>附表</w:t>
      </w:r>
      <w:r>
        <w:rPr>
          <w:rFonts w:eastAsia="黑体"/>
          <w:kern w:val="0"/>
          <w:sz w:val="32"/>
          <w:szCs w:val="32"/>
          <w:shd w:val="clear" w:color="auto" w:fill="FFFFFF"/>
        </w:rPr>
        <w:t>1</w:t>
      </w:r>
    </w:p>
    <w:p>
      <w:pPr>
        <w:spacing w:line="578" w:lineRule="exact"/>
        <w:jc w:val="center"/>
        <w:rPr>
          <w:rFonts w:eastAsia="方正小标宋_GBK"/>
          <w:sz w:val="40"/>
          <w:szCs w:val="40"/>
        </w:rPr>
      </w:pPr>
      <w:r>
        <w:rPr>
          <w:rFonts w:hint="eastAsia" w:eastAsia="方正小标宋_GBK"/>
          <w:sz w:val="40"/>
          <w:szCs w:val="40"/>
        </w:rPr>
        <w:t>专项</w:t>
      </w:r>
      <w:r>
        <w:rPr>
          <w:rFonts w:eastAsia="方正小标宋_GBK"/>
          <w:sz w:val="40"/>
          <w:szCs w:val="40"/>
        </w:rPr>
        <w:t>预算绩效自评打分表</w:t>
      </w:r>
    </w:p>
    <w:tbl>
      <w:tblPr>
        <w:tblStyle w:val="10"/>
        <w:tblW w:w="10901" w:type="dxa"/>
        <w:jc w:val="center"/>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tblPrEx>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指标解释</w:t>
            </w:r>
          </w:p>
        </w:tc>
        <w:tc>
          <w:tcPr>
            <w:tcW w:w="732" w:type="dxa"/>
            <w:vMerge w:val="restart"/>
            <w:tcBorders>
              <w:top w:val="single" w:color="000000" w:sz="4" w:space="0"/>
              <w:left w:val="single" w:color="000000" w:sz="4" w:space="0"/>
              <w:right w:val="single" w:color="000000" w:sz="4" w:space="0"/>
            </w:tcBorders>
            <w:noWrap/>
            <w:vAlign w:val="center"/>
          </w:tcPr>
          <w:p>
            <w:pPr>
              <w:widowControl/>
              <w:spacing w:line="240" w:lineRule="exact"/>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自评得分</w:t>
            </w:r>
          </w:p>
        </w:tc>
        <w:tc>
          <w:tcPr>
            <w:tcW w:w="468" w:type="dxa"/>
            <w:vMerge w:val="restart"/>
            <w:tcBorders>
              <w:top w:val="single" w:color="000000" w:sz="4" w:space="0"/>
              <w:left w:val="single" w:color="000000" w:sz="4" w:space="0"/>
              <w:right w:val="single" w:color="000000" w:sz="4" w:space="0"/>
            </w:tcBorders>
            <w:noWrap/>
            <w:vAlign w:val="center"/>
          </w:tcPr>
          <w:p>
            <w:pPr>
              <w:widowControl/>
              <w:spacing w:line="240" w:lineRule="exact"/>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备注</w:t>
            </w:r>
          </w:p>
        </w:tc>
      </w:tr>
      <w:tr>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二级指标</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三级指标</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指标</w:t>
            </w:r>
            <w:r>
              <w:rPr>
                <w:rFonts w:hint="eastAsia" w:ascii="黑体" w:hAnsi="宋体" w:eastAsia="黑体" w:cs="黑体"/>
                <w:color w:val="000000"/>
                <w:kern w:val="0"/>
                <w:sz w:val="24"/>
              </w:rPr>
              <w:br w:type="textWrapping"/>
            </w:r>
            <w:r>
              <w:rPr>
                <w:rFonts w:hint="eastAsia" w:ascii="黑体" w:hAnsi="宋体" w:eastAsia="黑体" w:cs="黑体"/>
                <w:color w:val="000000"/>
                <w:kern w:val="0"/>
                <w:sz w:val="24"/>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黑体" w:hAnsi="宋体" w:eastAsia="黑体" w:cs="黑体"/>
                <w:color w:val="000000"/>
                <w:sz w:val="24"/>
              </w:rPr>
            </w:pPr>
          </w:p>
        </w:tc>
        <w:tc>
          <w:tcPr>
            <w:tcW w:w="732" w:type="dxa"/>
            <w:vMerge w:val="continue"/>
            <w:tcBorders>
              <w:left w:val="single" w:color="000000" w:sz="4" w:space="0"/>
              <w:bottom w:val="single" w:color="000000" w:sz="4" w:space="0"/>
              <w:right w:val="single" w:color="000000" w:sz="4" w:space="0"/>
            </w:tcBorders>
            <w:noWrap/>
            <w:vAlign w:val="center"/>
          </w:tcPr>
          <w:p>
            <w:pPr>
              <w:widowControl/>
              <w:spacing w:line="240" w:lineRule="exact"/>
              <w:jc w:val="center"/>
              <w:rPr>
                <w:rFonts w:ascii="黑体" w:hAnsi="宋体" w:eastAsia="黑体" w:cs="黑体"/>
                <w:color w:val="000000"/>
                <w:sz w:val="24"/>
              </w:rPr>
            </w:pPr>
          </w:p>
        </w:tc>
        <w:tc>
          <w:tcPr>
            <w:tcW w:w="468" w:type="dxa"/>
            <w:vMerge w:val="continue"/>
            <w:tcBorders>
              <w:left w:val="single" w:color="000000" w:sz="4" w:space="0"/>
              <w:bottom w:val="single" w:color="000000" w:sz="4" w:space="0"/>
              <w:right w:val="single" w:color="000000" w:sz="4" w:space="0"/>
            </w:tcBorders>
            <w:noWrap/>
            <w:vAlign w:val="center"/>
          </w:tcPr>
          <w:p>
            <w:pPr>
              <w:widowControl/>
              <w:spacing w:line="240" w:lineRule="exact"/>
              <w:jc w:val="center"/>
              <w:rPr>
                <w:rFonts w:ascii="黑体" w:hAnsi="宋体" w:eastAsia="黑体" w:cs="黑体"/>
                <w:color w:val="000000"/>
                <w:sz w:val="24"/>
              </w:rPr>
            </w:pPr>
          </w:p>
        </w:tc>
      </w:tr>
      <w:tr>
        <w:tblPrEx>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rPr>
              <w:t>通用指标</w:t>
            </w:r>
            <w:r>
              <w:rPr>
                <w:rFonts w:hint="eastAsia" w:ascii="宋体" w:hAnsi="宋体" w:cs="宋体"/>
                <w:b/>
                <w:color w:val="000000"/>
                <w:kern w:val="0"/>
                <w:sz w:val="24"/>
              </w:rPr>
              <w:br w:type="textWrapping"/>
            </w:r>
            <w:r>
              <w:rPr>
                <w:rFonts w:hint="eastAsia" w:ascii="宋体" w:hAnsi="宋体" w:cs="宋体"/>
                <w:b/>
                <w:color w:val="000000"/>
                <w:kern w:val="0"/>
                <w:sz w:val="24"/>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rPr>
              <w:t>项目决策</w:t>
            </w:r>
            <w:r>
              <w:rPr>
                <w:rFonts w:hint="eastAsia" w:ascii="宋体" w:hAnsi="宋体" w:cs="宋体"/>
                <w:b/>
                <w:color w:val="000000"/>
                <w:kern w:val="0"/>
                <w:sz w:val="24"/>
              </w:rPr>
              <w:br w:type="textWrapping"/>
            </w:r>
            <w:r>
              <w:rPr>
                <w:rFonts w:hint="eastAsia" w:ascii="宋体" w:hAnsi="宋体" w:cs="宋体"/>
                <w:b/>
                <w:color w:val="000000"/>
                <w:kern w:val="0"/>
                <w:sz w:val="24"/>
              </w:rPr>
              <w:t>（18分）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决策程序</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r>
      <w:tr>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规划论证</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项目规划论证是否符合</w:t>
            </w:r>
            <w:r>
              <w:rPr>
                <w:rFonts w:hint="default" w:ascii="宋体" w:hAnsi="宋体" w:cs="宋体"/>
                <w:color w:val="000000"/>
                <w:kern w:val="0"/>
                <w:sz w:val="24"/>
              </w:rPr>
              <w:t>中央、省委</w:t>
            </w:r>
            <w:r>
              <w:rPr>
                <w:rFonts w:hint="eastAsia" w:ascii="宋体" w:hAnsi="宋体" w:cs="宋体"/>
                <w:color w:val="000000"/>
                <w:kern w:val="0"/>
                <w:sz w:val="24"/>
              </w:rPr>
              <w:t>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5</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资金投向</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r>
      <w:tr>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rPr>
              <w:t>项目管理</w:t>
            </w:r>
            <w:r>
              <w:rPr>
                <w:rFonts w:hint="eastAsia" w:ascii="宋体" w:hAnsi="宋体" w:cs="宋体"/>
                <w:b/>
                <w:color w:val="000000"/>
                <w:kern w:val="0"/>
                <w:sz w:val="24"/>
              </w:rPr>
              <w:br w:type="textWrapping"/>
            </w:r>
            <w:r>
              <w:rPr>
                <w:rFonts w:hint="eastAsia" w:ascii="宋体" w:hAnsi="宋体" w:cs="宋体"/>
                <w:b/>
                <w:color w:val="000000"/>
                <w:kern w:val="0"/>
                <w:sz w:val="24"/>
              </w:rPr>
              <w:t>（18分）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制度办法</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2</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2</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分配管理</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8</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r>
      <w:tr>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绩效监管</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rPr>
              <w:t>项目实施</w:t>
            </w:r>
            <w:r>
              <w:rPr>
                <w:rFonts w:hint="eastAsia" w:ascii="宋体" w:hAnsi="宋体" w:cs="宋体"/>
                <w:b/>
                <w:color w:val="000000"/>
                <w:kern w:val="0"/>
                <w:sz w:val="24"/>
              </w:rPr>
              <w:br w:type="textWrapping"/>
            </w:r>
            <w:r>
              <w:rPr>
                <w:rFonts w:hint="eastAsia" w:ascii="宋体" w:hAnsi="宋体" w:cs="宋体"/>
                <w:b/>
                <w:color w:val="000000"/>
                <w:kern w:val="0"/>
                <w:sz w:val="24"/>
              </w:rPr>
              <w:t>（9分）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预算执行</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r>
      <w:tr>
        <w:trPr>
          <w:trHeight w:val="331"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资金使用</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3</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3</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rPr>
              <w:t>项目结果</w:t>
            </w:r>
            <w:r>
              <w:rPr>
                <w:rFonts w:hint="eastAsia" w:ascii="宋体" w:hAnsi="宋体" w:cs="宋体"/>
                <w:b/>
                <w:color w:val="000000"/>
                <w:kern w:val="0"/>
                <w:sz w:val="24"/>
              </w:rPr>
              <w:br w:type="textWrapping"/>
            </w:r>
            <w:r>
              <w:rPr>
                <w:rFonts w:hint="eastAsia" w:ascii="宋体" w:hAnsi="宋体" w:cs="宋体"/>
                <w:b/>
                <w:color w:val="000000"/>
                <w:kern w:val="0"/>
                <w:sz w:val="24"/>
              </w:rPr>
              <w:t>（9分）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目标完成</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r>
      <w:tr>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完成时效</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3</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3</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rPr>
              <w:t>专用指标</w:t>
            </w:r>
            <w:r>
              <w:rPr>
                <w:rFonts w:hint="eastAsia" w:ascii="宋体" w:hAnsi="宋体" w:cs="宋体"/>
                <w:b/>
                <w:color w:val="000000"/>
                <w:kern w:val="0"/>
                <w:sz w:val="24"/>
              </w:rPr>
              <w:br w:type="textWrapping"/>
            </w:r>
            <w:r>
              <w:rPr>
                <w:rFonts w:hint="eastAsia" w:ascii="宋体" w:hAnsi="宋体" w:cs="宋体"/>
                <w:b/>
                <w:color w:val="000000"/>
                <w:kern w:val="0"/>
                <w:sz w:val="24"/>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rPr>
              <w:t>产业发展</w:t>
            </w:r>
            <w:r>
              <w:rPr>
                <w:rFonts w:hint="eastAsia" w:ascii="宋体" w:hAnsi="宋体" w:cs="宋体"/>
                <w:b/>
                <w:color w:val="000000"/>
                <w:kern w:val="0"/>
                <w:sz w:val="24"/>
              </w:rPr>
              <w:br w:type="textWrapping"/>
            </w:r>
            <w:r>
              <w:rPr>
                <w:rFonts w:hint="eastAsia" w:ascii="宋体" w:hAnsi="宋体" w:cs="宋体"/>
                <w:b/>
                <w:color w:val="000000"/>
                <w:kern w:val="0"/>
                <w:sz w:val="24"/>
              </w:rPr>
              <w:t>（30分）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符合性</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r>
      <w:tr>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成长性</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经济性</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r>
      <w:tr>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rPr>
              <w:t>民生保障</w:t>
            </w:r>
            <w:r>
              <w:rPr>
                <w:rFonts w:hint="eastAsia" w:ascii="宋体" w:hAnsi="宋体" w:cs="宋体"/>
                <w:b/>
                <w:color w:val="000000"/>
                <w:kern w:val="0"/>
                <w:sz w:val="24"/>
              </w:rPr>
              <w:br w:type="textWrapping"/>
            </w:r>
            <w:r>
              <w:rPr>
                <w:rFonts w:hint="eastAsia" w:ascii="宋体" w:hAnsi="宋体" w:cs="宋体"/>
                <w:b/>
                <w:color w:val="000000"/>
                <w:kern w:val="0"/>
                <w:sz w:val="24"/>
              </w:rPr>
              <w:t>（30分）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区域均衡性</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对象精准性</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r>
      <w:tr>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标准合理性</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5</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群众满意度</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5</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r>
      <w:tr>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765"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rPr>
              <w:t>基础</w:t>
            </w:r>
            <w:r>
              <w:rPr>
                <w:rFonts w:hint="eastAsia" w:ascii="宋体" w:hAnsi="宋体" w:cs="宋体"/>
                <w:b/>
                <w:color w:val="000000"/>
                <w:kern w:val="0"/>
                <w:sz w:val="24"/>
              </w:rPr>
              <w:br w:type="textWrapping"/>
            </w:r>
            <w:r>
              <w:rPr>
                <w:rFonts w:hint="eastAsia" w:ascii="宋体" w:hAnsi="宋体" w:cs="宋体"/>
                <w:b/>
                <w:color w:val="000000"/>
                <w:kern w:val="0"/>
                <w:sz w:val="24"/>
              </w:rPr>
              <w:t>设施</w:t>
            </w:r>
            <w:r>
              <w:rPr>
                <w:rFonts w:hint="eastAsia" w:ascii="宋体" w:hAnsi="宋体" w:cs="宋体"/>
                <w:b/>
                <w:color w:val="000000"/>
                <w:kern w:val="0"/>
                <w:sz w:val="24"/>
              </w:rPr>
              <w:br w:type="textWrapping"/>
            </w:r>
            <w:r>
              <w:rPr>
                <w:rFonts w:hint="eastAsia" w:ascii="宋体" w:hAnsi="宋体" w:cs="宋体"/>
                <w:b/>
                <w:color w:val="000000"/>
                <w:kern w:val="0"/>
                <w:sz w:val="24"/>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rPr>
              <w:t>在建</w:t>
            </w:r>
            <w:r>
              <w:rPr>
                <w:rFonts w:hint="eastAsia" w:ascii="宋体" w:hAnsi="宋体" w:cs="宋体"/>
                <w:b/>
                <w:color w:val="000000"/>
                <w:kern w:val="0"/>
                <w:sz w:val="24"/>
              </w:rPr>
              <w:br w:type="textWrapping"/>
            </w:r>
            <w:r>
              <w:rPr>
                <w:rFonts w:hint="eastAsia" w:ascii="宋体" w:hAnsi="宋体" w:cs="宋体"/>
                <w:b/>
                <w:color w:val="000000"/>
                <w:kern w:val="0"/>
                <w:sz w:val="24"/>
              </w:rPr>
              <w:t>项目</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工程进度</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15</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825"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资金拨付</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15</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r>
      <w:tr>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825"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rPr>
              <w:t>建成</w:t>
            </w:r>
            <w:r>
              <w:rPr>
                <w:rFonts w:hint="eastAsia" w:ascii="宋体" w:hAnsi="宋体" w:cs="宋体"/>
                <w:b/>
                <w:color w:val="000000"/>
                <w:kern w:val="0"/>
                <w:sz w:val="24"/>
              </w:rPr>
              <w:br w:type="textWrapping"/>
            </w:r>
            <w:r>
              <w:rPr>
                <w:rFonts w:hint="eastAsia" w:ascii="宋体" w:hAnsi="宋体" w:cs="宋体"/>
                <w:b/>
                <w:color w:val="000000"/>
                <w:kern w:val="0"/>
                <w:sz w:val="24"/>
              </w:rPr>
              <w:t>项目</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项目验收</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825"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功能实现</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r>
      <w:tr>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765"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825"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后续管护</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rPr>
              <w:t>专用指标</w:t>
            </w:r>
            <w:r>
              <w:rPr>
                <w:rFonts w:hint="eastAsia" w:ascii="宋体" w:hAnsi="宋体" w:cs="宋体"/>
                <w:b/>
                <w:color w:val="000000"/>
                <w:kern w:val="0"/>
                <w:sz w:val="24"/>
              </w:rPr>
              <w:br w:type="textWrapping"/>
            </w:r>
            <w:r>
              <w:rPr>
                <w:rFonts w:hint="eastAsia" w:ascii="宋体" w:hAnsi="宋体" w:cs="宋体"/>
                <w:b/>
                <w:color w:val="000000"/>
                <w:kern w:val="0"/>
                <w:sz w:val="24"/>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rPr>
              <w:t>行政运转</w:t>
            </w:r>
            <w:r>
              <w:rPr>
                <w:rFonts w:hint="eastAsia" w:ascii="宋体" w:hAnsi="宋体" w:cs="宋体"/>
                <w:b/>
                <w:color w:val="000000"/>
                <w:kern w:val="0"/>
                <w:sz w:val="24"/>
              </w:rPr>
              <w:br w:type="textWrapping"/>
            </w:r>
            <w:r>
              <w:rPr>
                <w:rFonts w:hint="eastAsia" w:ascii="宋体" w:hAnsi="宋体" w:cs="宋体"/>
                <w:b/>
                <w:color w:val="000000"/>
                <w:kern w:val="0"/>
                <w:sz w:val="24"/>
              </w:rPr>
              <w:t>（30分）</w:t>
            </w:r>
          </w:p>
        </w:tc>
        <w:tc>
          <w:tcPr>
            <w:tcW w:w="1355" w:type="dxa"/>
            <w:tcBorders>
              <w:top w:val="nil"/>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用途合规性</w:t>
            </w:r>
          </w:p>
        </w:tc>
        <w:tc>
          <w:tcPr>
            <w:tcW w:w="696" w:type="dxa"/>
            <w:tcBorders>
              <w:top w:val="nil"/>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10</w:t>
            </w:r>
          </w:p>
        </w:tc>
        <w:tc>
          <w:tcPr>
            <w:tcW w:w="5340" w:type="dxa"/>
            <w:tcBorders>
              <w:top w:val="nil"/>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10</w:t>
            </w:r>
          </w:p>
        </w:tc>
        <w:tc>
          <w:tcPr>
            <w:tcW w:w="468" w:type="dxa"/>
            <w:tcBorders>
              <w:top w:val="nil"/>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r>
      <w:tr>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1355" w:type="dxa"/>
            <w:tcBorders>
              <w:top w:val="nil"/>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程序合规性</w:t>
            </w:r>
          </w:p>
        </w:tc>
        <w:tc>
          <w:tcPr>
            <w:tcW w:w="696" w:type="dxa"/>
            <w:tcBorders>
              <w:top w:val="nil"/>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10</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1355" w:type="dxa"/>
            <w:tcBorders>
              <w:top w:val="nil"/>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标准合规性</w:t>
            </w:r>
          </w:p>
        </w:tc>
        <w:tc>
          <w:tcPr>
            <w:tcW w:w="696" w:type="dxa"/>
            <w:tcBorders>
              <w:top w:val="nil"/>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10</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r>
      <w:tr>
        <w:trPr>
          <w:trHeight w:val="420"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rPr>
              <w:t>个性指标</w:t>
            </w:r>
            <w:r>
              <w:rPr>
                <w:rFonts w:hint="eastAsia" w:ascii="宋体" w:hAnsi="宋体" w:cs="宋体"/>
                <w:b/>
                <w:color w:val="000000"/>
                <w:kern w:val="0"/>
                <w:sz w:val="24"/>
              </w:rPr>
              <w:br w:type="textWrapping"/>
            </w:r>
            <w:r>
              <w:rPr>
                <w:rFonts w:hint="eastAsia" w:ascii="宋体" w:hAnsi="宋体" w:cs="宋体"/>
                <w:b/>
                <w:color w:val="000000"/>
                <w:kern w:val="0"/>
                <w:sz w:val="24"/>
              </w:rPr>
              <w:t>（16分）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满意度指标</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8</w:t>
            </w:r>
          </w:p>
        </w:tc>
        <w:tc>
          <w:tcPr>
            <w:tcW w:w="5340"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对日常工作开展满意情况</w:t>
            </w:r>
          </w:p>
          <w:p>
            <w:pPr>
              <w:widowControl/>
              <w:spacing w:line="240" w:lineRule="exact"/>
              <w:jc w:val="left"/>
              <w:textAlignment w:val="center"/>
            </w:pPr>
            <w:r>
              <w:rPr>
                <w:rFonts w:hint="eastAsia" w:ascii="宋体" w:hAnsi="宋体" w:cs="宋体"/>
                <w:color w:val="000000"/>
                <w:kern w:val="0"/>
                <w:sz w:val="24"/>
              </w:rPr>
              <w:t>此项目成本预算控制是否合理</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r>
              <w:rPr>
                <w:rFonts w:hint="eastAsia" w:ascii="宋体" w:hAnsi="宋体" w:cs="宋体"/>
                <w:color w:val="000000"/>
                <w:kern w:val="0"/>
                <w:sz w:val="24"/>
              </w:rPr>
              <w:t>8</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r>
      <w:tr>
        <w:tblPrEx>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rPr>
                <w:rFonts w:ascii="宋体" w:hAnsi="宋体" w:cs="宋体"/>
                <w:b/>
                <w:color w:val="000000"/>
                <w:sz w:val="24"/>
              </w:rPr>
            </w:p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成本指标</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8</w:t>
            </w:r>
          </w:p>
        </w:tc>
        <w:tc>
          <w:tcPr>
            <w:tcW w:w="534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rPr>
                <w:rFonts w:ascii="宋体" w:hAnsi="宋体" w:cs="宋体"/>
                <w:color w:val="000000"/>
                <w:sz w:val="24"/>
              </w:rPr>
            </w:pP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rPr>
                <w:rFonts w:ascii="宋体" w:hAnsi="宋体" w:cs="宋体"/>
                <w:color w:val="000000"/>
                <w:sz w:val="24"/>
              </w:rPr>
            </w:pPr>
            <w:r>
              <w:rPr>
                <w:rFonts w:hint="eastAsia" w:ascii="宋体" w:hAnsi="宋体" w:cs="宋体"/>
                <w:color w:val="000000"/>
                <w:sz w:val="24"/>
              </w:rPr>
              <w:t>8</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rPr>
                <w:rFonts w:ascii="宋体" w:hAnsi="宋体" w:cs="宋体"/>
                <w:color w:val="000000"/>
                <w:sz w:val="24"/>
              </w:rPr>
            </w:pPr>
          </w:p>
        </w:tc>
      </w:tr>
      <w:tr>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b/>
                <w:color w:val="000000"/>
                <w:sz w:val="24"/>
              </w:rPr>
            </w:pPr>
            <w:r>
              <w:rPr>
                <w:rFonts w:hint="eastAsia" w:ascii="宋体" w:hAnsi="宋体" w:cs="宋体"/>
                <w:b/>
                <w:color w:val="000000"/>
                <w:kern w:val="0"/>
                <w:sz w:val="24"/>
              </w:rPr>
              <w:t>扣分项</w:t>
            </w:r>
            <w:r>
              <w:rPr>
                <w:rFonts w:hint="eastAsia" w:ascii="宋体" w:hAnsi="宋体" w:cs="宋体"/>
                <w:b/>
                <w:color w:val="000000"/>
                <w:kern w:val="0"/>
                <w:sz w:val="24"/>
              </w:rPr>
              <w:br w:type="textWrapping"/>
            </w:r>
            <w:r>
              <w:rPr>
                <w:rFonts w:hint="eastAsia" w:ascii="宋体" w:hAnsi="宋体" w:cs="宋体"/>
                <w:b/>
                <w:color w:val="000000"/>
                <w:kern w:val="0"/>
                <w:sz w:val="24"/>
              </w:rPr>
              <w:t>（10分）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被评价</w:t>
            </w:r>
            <w:r>
              <w:rPr>
                <w:rFonts w:hint="eastAsia" w:ascii="宋体" w:hAnsi="宋体" w:cs="宋体"/>
                <w:color w:val="000000"/>
                <w:kern w:val="0"/>
                <w:sz w:val="24"/>
              </w:rPr>
              <w:br w:type="textWrapping"/>
            </w:r>
            <w:r>
              <w:rPr>
                <w:rFonts w:hint="eastAsia" w:ascii="宋体" w:hAnsi="宋体" w:cs="宋体"/>
                <w:color w:val="000000"/>
                <w:kern w:val="0"/>
                <w:sz w:val="24"/>
              </w:rPr>
              <w:t>部门配合度</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hAnsi="宋体" w:cs="宋体"/>
                <w:color w:val="000000"/>
                <w:sz w:val="24"/>
              </w:rPr>
            </w:pPr>
            <w:r>
              <w:rPr>
                <w:rFonts w:hint="eastAsia" w:ascii="宋体" w:hAnsi="宋体" w:cs="宋体"/>
                <w:color w:val="000000"/>
                <w:kern w:val="0"/>
                <w:sz w:val="24"/>
              </w:rPr>
              <w:t>—</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sz w:val="24"/>
              </w:rPr>
            </w:pPr>
            <w:r>
              <w:rPr>
                <w:rFonts w:hint="eastAsia" w:ascii="宋体" w:hAnsi="宋体" w:cs="宋体"/>
                <w:color w:val="000000"/>
                <w:kern w:val="0"/>
                <w:sz w:val="24"/>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hAnsi="宋体" w:cs="宋体"/>
                <w:color w:val="000000"/>
                <w:kern w:val="0"/>
                <w:sz w:val="24"/>
              </w:rPr>
            </w:pPr>
          </w:p>
        </w:tc>
      </w:tr>
    </w:tbl>
    <w:p>
      <w:pPr>
        <w:spacing w:line="578" w:lineRule="exact"/>
      </w:pPr>
      <w:r>
        <w:rPr>
          <w:rFonts w:eastAsia="黑体"/>
          <w:kern w:val="0"/>
          <w:sz w:val="32"/>
          <w:szCs w:val="32"/>
          <w:shd w:val="clear" w:color="auto" w:fill="FFFFFF"/>
          <w:lang w:val="zh-CN"/>
        </w:rPr>
        <w:t>附表</w:t>
      </w:r>
      <w:r>
        <w:rPr>
          <w:rFonts w:hint="eastAsia"/>
          <w:kern w:val="0"/>
          <w:sz w:val="32"/>
          <w:szCs w:val="32"/>
          <w:shd w:val="clear" w:color="auto" w:fill="FFFFFF"/>
        </w:rPr>
        <w:t>2</w:t>
      </w:r>
    </w:p>
    <w:p>
      <w:pPr>
        <w:spacing w:line="578" w:lineRule="exact"/>
        <w:jc w:val="center"/>
        <w:rPr>
          <w:rFonts w:ascii="楷体_GB2312" w:hAnsi="楷体_GB2312" w:eastAsia="楷体_GB2312" w:cs="楷体_GB2312"/>
          <w:sz w:val="28"/>
          <w:szCs w:val="28"/>
        </w:rPr>
      </w:pPr>
      <w:r>
        <w:rPr>
          <w:rFonts w:eastAsia="方正小标宋_GBK"/>
          <w:sz w:val="40"/>
          <w:szCs w:val="40"/>
        </w:rPr>
        <w:t>专项预算绩效自评实地踏勘点位清单表</w:t>
      </w:r>
    </w:p>
    <w:tbl>
      <w:tblPr>
        <w:tblStyle w:val="11"/>
        <w:tblW w:w="91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0"/>
        <w:gridCol w:w="6849"/>
        <w:gridCol w:w="10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9" w:hRule="exact"/>
          <w:jc w:val="center"/>
        </w:trPr>
        <w:tc>
          <w:tcPr>
            <w:tcW w:w="1290" w:type="dxa"/>
            <w:noWrap/>
          </w:tcPr>
          <w:p>
            <w:pPr>
              <w:spacing w:line="300" w:lineRule="exact"/>
              <w:jc w:val="center"/>
              <w:rPr>
                <w:rFonts w:eastAsia="黑体"/>
                <w:sz w:val="24"/>
              </w:rPr>
            </w:pPr>
            <w:r>
              <w:rPr>
                <w:rFonts w:eastAsia="黑体"/>
                <w:sz w:val="24"/>
              </w:rPr>
              <w:t>序号</w:t>
            </w:r>
          </w:p>
        </w:tc>
        <w:tc>
          <w:tcPr>
            <w:tcW w:w="6849" w:type="dxa"/>
            <w:noWrap/>
          </w:tcPr>
          <w:p>
            <w:pPr>
              <w:spacing w:line="300" w:lineRule="exact"/>
              <w:jc w:val="center"/>
              <w:rPr>
                <w:rFonts w:eastAsia="黑体"/>
                <w:sz w:val="24"/>
              </w:rPr>
            </w:pPr>
            <w:r>
              <w:rPr>
                <w:rFonts w:eastAsia="黑体"/>
                <w:sz w:val="24"/>
              </w:rPr>
              <w:t>实地踏勘点位</w:t>
            </w:r>
          </w:p>
        </w:tc>
        <w:tc>
          <w:tcPr>
            <w:tcW w:w="1040" w:type="dxa"/>
            <w:noWrap/>
          </w:tcPr>
          <w:p>
            <w:pPr>
              <w:spacing w:line="300" w:lineRule="exact"/>
              <w:jc w:val="center"/>
              <w:rPr>
                <w:rFonts w:eastAsia="黑体"/>
                <w:sz w:val="24"/>
              </w:rPr>
            </w:pPr>
            <w:r>
              <w:rPr>
                <w:rFonts w:eastAsia="黑体"/>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9" w:hRule="exact"/>
          <w:jc w:val="center"/>
        </w:trPr>
        <w:tc>
          <w:tcPr>
            <w:tcW w:w="1290" w:type="dxa"/>
            <w:noWrap/>
          </w:tcPr>
          <w:p>
            <w:pPr>
              <w:spacing w:line="300" w:lineRule="exact"/>
              <w:jc w:val="center"/>
              <w:rPr>
                <w:sz w:val="24"/>
              </w:rPr>
            </w:pPr>
            <w:r>
              <w:rPr>
                <w:sz w:val="24"/>
              </w:rPr>
              <w:t>1</w:t>
            </w:r>
          </w:p>
        </w:tc>
        <w:tc>
          <w:tcPr>
            <w:tcW w:w="6849" w:type="dxa"/>
            <w:noWrap/>
          </w:tcPr>
          <w:p>
            <w:pPr>
              <w:spacing w:line="300" w:lineRule="exact"/>
              <w:jc w:val="center"/>
              <w:rPr>
                <w:sz w:val="24"/>
              </w:rPr>
            </w:pPr>
            <w:r>
              <w:rPr>
                <w:rFonts w:hint="eastAsia"/>
                <w:sz w:val="24"/>
              </w:rPr>
              <w:t>石碉楼乡人民政府</w:t>
            </w: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9" w:hRule="exact"/>
          <w:jc w:val="center"/>
        </w:trPr>
        <w:tc>
          <w:tcPr>
            <w:tcW w:w="1290" w:type="dxa"/>
            <w:noWrap/>
          </w:tcPr>
          <w:p>
            <w:pPr>
              <w:spacing w:line="300" w:lineRule="exact"/>
              <w:jc w:val="center"/>
              <w:rPr>
                <w:sz w:val="24"/>
              </w:rPr>
            </w:pPr>
            <w:r>
              <w:rPr>
                <w:sz w:val="24"/>
              </w:rPr>
              <w:t>2</w:t>
            </w:r>
          </w:p>
        </w:tc>
        <w:tc>
          <w:tcPr>
            <w:tcW w:w="6849" w:type="dxa"/>
            <w:noWrap/>
          </w:tcPr>
          <w:p>
            <w:pPr>
              <w:spacing w:line="300" w:lineRule="exact"/>
              <w:jc w:val="center"/>
              <w:rPr>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9" w:hRule="exact"/>
          <w:jc w:val="center"/>
        </w:trPr>
        <w:tc>
          <w:tcPr>
            <w:tcW w:w="1290" w:type="dxa"/>
            <w:noWrap/>
          </w:tcPr>
          <w:p>
            <w:pPr>
              <w:spacing w:line="300" w:lineRule="exact"/>
              <w:jc w:val="center"/>
              <w:rPr>
                <w:sz w:val="24"/>
              </w:rPr>
            </w:pPr>
            <w:r>
              <w:rPr>
                <w:sz w:val="24"/>
              </w:rPr>
              <w:t>3</w:t>
            </w:r>
          </w:p>
        </w:tc>
        <w:tc>
          <w:tcPr>
            <w:tcW w:w="6849" w:type="dxa"/>
            <w:noWrap/>
          </w:tcPr>
          <w:p>
            <w:pPr>
              <w:spacing w:line="300" w:lineRule="exact"/>
              <w:jc w:val="center"/>
              <w:rPr>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9" w:hRule="exact"/>
          <w:jc w:val="center"/>
        </w:trPr>
        <w:tc>
          <w:tcPr>
            <w:tcW w:w="1290" w:type="dxa"/>
            <w:noWrap/>
          </w:tcPr>
          <w:p>
            <w:pPr>
              <w:spacing w:line="300" w:lineRule="exact"/>
              <w:jc w:val="center"/>
              <w:rPr>
                <w:sz w:val="24"/>
              </w:rPr>
            </w:pPr>
            <w:r>
              <w:rPr>
                <w:sz w:val="24"/>
              </w:rPr>
              <w:t>4</w:t>
            </w:r>
          </w:p>
        </w:tc>
        <w:tc>
          <w:tcPr>
            <w:tcW w:w="6849" w:type="dxa"/>
            <w:noWrap/>
          </w:tcPr>
          <w:p>
            <w:pPr>
              <w:spacing w:line="300" w:lineRule="exact"/>
              <w:jc w:val="center"/>
              <w:rPr>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9" w:hRule="exact"/>
          <w:jc w:val="center"/>
        </w:trPr>
        <w:tc>
          <w:tcPr>
            <w:tcW w:w="1290" w:type="dxa"/>
            <w:noWrap/>
          </w:tcPr>
          <w:p>
            <w:pPr>
              <w:spacing w:line="300" w:lineRule="exact"/>
              <w:jc w:val="center"/>
              <w:rPr>
                <w:sz w:val="24"/>
              </w:rPr>
            </w:pPr>
            <w:r>
              <w:rPr>
                <w:sz w:val="24"/>
              </w:rPr>
              <w:t>5</w:t>
            </w:r>
          </w:p>
        </w:tc>
        <w:tc>
          <w:tcPr>
            <w:tcW w:w="6849" w:type="dxa"/>
            <w:noWrap/>
          </w:tcPr>
          <w:p>
            <w:pPr>
              <w:spacing w:line="300" w:lineRule="exact"/>
              <w:jc w:val="center"/>
              <w:rPr>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9" w:hRule="exact"/>
          <w:jc w:val="center"/>
        </w:trPr>
        <w:tc>
          <w:tcPr>
            <w:tcW w:w="1290" w:type="dxa"/>
            <w:noWrap/>
          </w:tcPr>
          <w:p>
            <w:pPr>
              <w:spacing w:line="300" w:lineRule="exact"/>
              <w:jc w:val="center"/>
              <w:rPr>
                <w:sz w:val="24"/>
              </w:rPr>
            </w:pPr>
            <w:r>
              <w:rPr>
                <w:sz w:val="24"/>
              </w:rPr>
              <w:t>6</w:t>
            </w:r>
          </w:p>
        </w:tc>
        <w:tc>
          <w:tcPr>
            <w:tcW w:w="6849" w:type="dxa"/>
            <w:noWrap/>
          </w:tcPr>
          <w:p>
            <w:pPr>
              <w:spacing w:line="300" w:lineRule="exact"/>
              <w:jc w:val="center"/>
              <w:rPr>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9" w:hRule="exact"/>
          <w:jc w:val="center"/>
        </w:trPr>
        <w:tc>
          <w:tcPr>
            <w:tcW w:w="1290" w:type="dxa"/>
            <w:noWrap/>
          </w:tcPr>
          <w:p>
            <w:pPr>
              <w:spacing w:line="300" w:lineRule="exact"/>
              <w:jc w:val="center"/>
              <w:rPr>
                <w:sz w:val="24"/>
              </w:rPr>
            </w:pPr>
            <w:r>
              <w:rPr>
                <w:sz w:val="24"/>
              </w:rPr>
              <w:t>7</w:t>
            </w:r>
          </w:p>
        </w:tc>
        <w:tc>
          <w:tcPr>
            <w:tcW w:w="6849" w:type="dxa"/>
            <w:noWrap/>
          </w:tcPr>
          <w:p>
            <w:pPr>
              <w:spacing w:line="300" w:lineRule="exact"/>
              <w:jc w:val="center"/>
              <w:rPr>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9" w:hRule="exact"/>
          <w:jc w:val="center"/>
        </w:trPr>
        <w:tc>
          <w:tcPr>
            <w:tcW w:w="1290" w:type="dxa"/>
            <w:noWrap/>
          </w:tcPr>
          <w:p>
            <w:pPr>
              <w:spacing w:line="300" w:lineRule="exact"/>
              <w:jc w:val="center"/>
              <w:rPr>
                <w:sz w:val="24"/>
              </w:rPr>
            </w:pPr>
            <w:r>
              <w:rPr>
                <w:sz w:val="24"/>
              </w:rPr>
              <w:t>8</w:t>
            </w:r>
          </w:p>
        </w:tc>
        <w:tc>
          <w:tcPr>
            <w:tcW w:w="6849" w:type="dxa"/>
            <w:noWrap/>
          </w:tcPr>
          <w:p>
            <w:pPr>
              <w:spacing w:line="300" w:lineRule="exact"/>
              <w:jc w:val="center"/>
              <w:rPr>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9" w:hRule="exact"/>
          <w:jc w:val="center"/>
        </w:trPr>
        <w:tc>
          <w:tcPr>
            <w:tcW w:w="1290" w:type="dxa"/>
            <w:noWrap/>
          </w:tcPr>
          <w:p>
            <w:pPr>
              <w:spacing w:line="300" w:lineRule="exact"/>
              <w:jc w:val="center"/>
              <w:rPr>
                <w:sz w:val="24"/>
              </w:rPr>
            </w:pPr>
            <w:r>
              <w:rPr>
                <w:sz w:val="24"/>
              </w:rPr>
              <w:t>9</w:t>
            </w:r>
          </w:p>
        </w:tc>
        <w:tc>
          <w:tcPr>
            <w:tcW w:w="6849" w:type="dxa"/>
            <w:noWrap/>
          </w:tcPr>
          <w:p>
            <w:pPr>
              <w:spacing w:line="300" w:lineRule="exact"/>
              <w:jc w:val="center"/>
              <w:rPr>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9" w:hRule="exact"/>
          <w:jc w:val="center"/>
        </w:trPr>
        <w:tc>
          <w:tcPr>
            <w:tcW w:w="1290" w:type="dxa"/>
            <w:noWrap/>
          </w:tcPr>
          <w:p>
            <w:pPr>
              <w:spacing w:line="300" w:lineRule="exact"/>
              <w:jc w:val="center"/>
              <w:rPr>
                <w:sz w:val="24"/>
              </w:rPr>
            </w:pPr>
            <w:r>
              <w:rPr>
                <w:sz w:val="24"/>
              </w:rPr>
              <w:t>10</w:t>
            </w:r>
          </w:p>
        </w:tc>
        <w:tc>
          <w:tcPr>
            <w:tcW w:w="6849" w:type="dxa"/>
            <w:noWrap/>
          </w:tcPr>
          <w:p>
            <w:pPr>
              <w:spacing w:line="300" w:lineRule="exact"/>
              <w:jc w:val="center"/>
              <w:rPr>
                <w:rFonts w:eastAsia="仿宋_GB2312"/>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9" w:hRule="exact"/>
          <w:jc w:val="center"/>
        </w:trPr>
        <w:tc>
          <w:tcPr>
            <w:tcW w:w="1290" w:type="dxa"/>
            <w:noWrap/>
          </w:tcPr>
          <w:p>
            <w:pPr>
              <w:spacing w:line="300" w:lineRule="exact"/>
              <w:jc w:val="center"/>
              <w:rPr>
                <w:sz w:val="24"/>
              </w:rPr>
            </w:pPr>
            <w:r>
              <w:rPr>
                <w:sz w:val="24"/>
              </w:rPr>
              <w:t>11</w:t>
            </w:r>
          </w:p>
        </w:tc>
        <w:tc>
          <w:tcPr>
            <w:tcW w:w="6849" w:type="dxa"/>
            <w:noWrap/>
          </w:tcPr>
          <w:p>
            <w:pPr>
              <w:spacing w:line="300" w:lineRule="exact"/>
              <w:jc w:val="center"/>
              <w:rPr>
                <w:rFonts w:eastAsia="仿宋_GB2312"/>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9" w:hRule="exact"/>
          <w:jc w:val="center"/>
        </w:trPr>
        <w:tc>
          <w:tcPr>
            <w:tcW w:w="1290" w:type="dxa"/>
            <w:noWrap/>
          </w:tcPr>
          <w:p>
            <w:pPr>
              <w:spacing w:line="300" w:lineRule="exact"/>
              <w:jc w:val="center"/>
              <w:rPr>
                <w:sz w:val="24"/>
              </w:rPr>
            </w:pPr>
            <w:r>
              <w:rPr>
                <w:sz w:val="24"/>
              </w:rPr>
              <w:t>12</w:t>
            </w:r>
          </w:p>
        </w:tc>
        <w:tc>
          <w:tcPr>
            <w:tcW w:w="6849" w:type="dxa"/>
            <w:noWrap/>
          </w:tcPr>
          <w:p>
            <w:pPr>
              <w:spacing w:line="300" w:lineRule="exact"/>
              <w:jc w:val="center"/>
              <w:rPr>
                <w:rFonts w:eastAsia="仿宋_GB2312"/>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9" w:hRule="exact"/>
          <w:jc w:val="center"/>
        </w:trPr>
        <w:tc>
          <w:tcPr>
            <w:tcW w:w="1290" w:type="dxa"/>
            <w:noWrap/>
          </w:tcPr>
          <w:p>
            <w:pPr>
              <w:spacing w:line="300" w:lineRule="exact"/>
              <w:jc w:val="center"/>
              <w:rPr>
                <w:sz w:val="24"/>
              </w:rPr>
            </w:pPr>
            <w:r>
              <w:rPr>
                <w:sz w:val="24"/>
              </w:rPr>
              <w:t>13</w:t>
            </w:r>
          </w:p>
        </w:tc>
        <w:tc>
          <w:tcPr>
            <w:tcW w:w="6849" w:type="dxa"/>
            <w:noWrap/>
          </w:tcPr>
          <w:p>
            <w:pPr>
              <w:spacing w:line="300" w:lineRule="exact"/>
              <w:jc w:val="center"/>
              <w:rPr>
                <w:rFonts w:eastAsia="仿宋_GB2312"/>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9" w:hRule="exact"/>
          <w:jc w:val="center"/>
        </w:trPr>
        <w:tc>
          <w:tcPr>
            <w:tcW w:w="1290" w:type="dxa"/>
            <w:noWrap/>
          </w:tcPr>
          <w:p>
            <w:pPr>
              <w:spacing w:line="300" w:lineRule="exact"/>
              <w:jc w:val="center"/>
              <w:rPr>
                <w:sz w:val="24"/>
              </w:rPr>
            </w:pPr>
            <w:r>
              <w:rPr>
                <w:sz w:val="24"/>
              </w:rPr>
              <w:t>14</w:t>
            </w:r>
          </w:p>
        </w:tc>
        <w:tc>
          <w:tcPr>
            <w:tcW w:w="6849" w:type="dxa"/>
            <w:noWrap/>
          </w:tcPr>
          <w:p>
            <w:pPr>
              <w:spacing w:line="300" w:lineRule="exact"/>
              <w:jc w:val="center"/>
              <w:rPr>
                <w:rFonts w:eastAsia="仿宋_GB2312"/>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9" w:hRule="exact"/>
          <w:jc w:val="center"/>
        </w:trPr>
        <w:tc>
          <w:tcPr>
            <w:tcW w:w="1290" w:type="dxa"/>
            <w:noWrap/>
          </w:tcPr>
          <w:p>
            <w:pPr>
              <w:spacing w:line="300" w:lineRule="exact"/>
              <w:jc w:val="center"/>
              <w:rPr>
                <w:sz w:val="24"/>
              </w:rPr>
            </w:pPr>
            <w:r>
              <w:rPr>
                <w:sz w:val="24"/>
              </w:rPr>
              <w:t>15</w:t>
            </w:r>
          </w:p>
        </w:tc>
        <w:tc>
          <w:tcPr>
            <w:tcW w:w="6849" w:type="dxa"/>
            <w:noWrap/>
          </w:tcPr>
          <w:p>
            <w:pPr>
              <w:spacing w:line="300" w:lineRule="exact"/>
              <w:jc w:val="center"/>
              <w:rPr>
                <w:rFonts w:eastAsia="仿宋_GB2312"/>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9" w:hRule="exact"/>
          <w:jc w:val="center"/>
        </w:trPr>
        <w:tc>
          <w:tcPr>
            <w:tcW w:w="1290" w:type="dxa"/>
            <w:noWrap/>
          </w:tcPr>
          <w:p>
            <w:pPr>
              <w:spacing w:line="300" w:lineRule="exact"/>
              <w:jc w:val="center"/>
              <w:rPr>
                <w:sz w:val="24"/>
              </w:rPr>
            </w:pPr>
            <w:r>
              <w:rPr>
                <w:sz w:val="24"/>
              </w:rPr>
              <w:t>16</w:t>
            </w:r>
          </w:p>
        </w:tc>
        <w:tc>
          <w:tcPr>
            <w:tcW w:w="6849" w:type="dxa"/>
            <w:noWrap/>
          </w:tcPr>
          <w:p>
            <w:pPr>
              <w:spacing w:line="300" w:lineRule="exact"/>
              <w:jc w:val="center"/>
              <w:rPr>
                <w:rFonts w:eastAsia="仿宋_GB2312"/>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9" w:hRule="exact"/>
          <w:jc w:val="center"/>
        </w:trPr>
        <w:tc>
          <w:tcPr>
            <w:tcW w:w="1290" w:type="dxa"/>
            <w:noWrap/>
          </w:tcPr>
          <w:p>
            <w:pPr>
              <w:spacing w:line="300" w:lineRule="exact"/>
              <w:jc w:val="center"/>
              <w:rPr>
                <w:sz w:val="24"/>
              </w:rPr>
            </w:pPr>
            <w:r>
              <w:rPr>
                <w:sz w:val="24"/>
              </w:rPr>
              <w:t>17</w:t>
            </w:r>
          </w:p>
        </w:tc>
        <w:tc>
          <w:tcPr>
            <w:tcW w:w="6849" w:type="dxa"/>
            <w:noWrap/>
          </w:tcPr>
          <w:p>
            <w:pPr>
              <w:spacing w:line="300" w:lineRule="exact"/>
              <w:jc w:val="center"/>
              <w:rPr>
                <w:rFonts w:eastAsia="仿宋_GB2312"/>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9" w:hRule="exact"/>
          <w:jc w:val="center"/>
        </w:trPr>
        <w:tc>
          <w:tcPr>
            <w:tcW w:w="1290" w:type="dxa"/>
            <w:noWrap/>
          </w:tcPr>
          <w:p>
            <w:pPr>
              <w:spacing w:line="300" w:lineRule="exact"/>
              <w:jc w:val="center"/>
              <w:rPr>
                <w:sz w:val="24"/>
              </w:rPr>
            </w:pPr>
            <w:r>
              <w:rPr>
                <w:sz w:val="24"/>
              </w:rPr>
              <w:t>18</w:t>
            </w:r>
          </w:p>
        </w:tc>
        <w:tc>
          <w:tcPr>
            <w:tcW w:w="6849" w:type="dxa"/>
            <w:noWrap/>
          </w:tcPr>
          <w:p>
            <w:pPr>
              <w:spacing w:line="300" w:lineRule="exact"/>
              <w:jc w:val="center"/>
              <w:rPr>
                <w:rFonts w:eastAsia="仿宋_GB2312"/>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9" w:hRule="exact"/>
          <w:jc w:val="center"/>
        </w:trPr>
        <w:tc>
          <w:tcPr>
            <w:tcW w:w="1290" w:type="dxa"/>
            <w:noWrap/>
          </w:tcPr>
          <w:p>
            <w:pPr>
              <w:spacing w:line="300" w:lineRule="exact"/>
              <w:jc w:val="center"/>
              <w:rPr>
                <w:sz w:val="24"/>
              </w:rPr>
            </w:pPr>
            <w:r>
              <w:rPr>
                <w:sz w:val="24"/>
              </w:rPr>
              <w:t>19</w:t>
            </w:r>
          </w:p>
        </w:tc>
        <w:tc>
          <w:tcPr>
            <w:tcW w:w="6849" w:type="dxa"/>
            <w:noWrap/>
          </w:tcPr>
          <w:p>
            <w:pPr>
              <w:spacing w:line="300" w:lineRule="exact"/>
              <w:rPr>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39" w:hRule="exact"/>
          <w:jc w:val="center"/>
        </w:trPr>
        <w:tc>
          <w:tcPr>
            <w:tcW w:w="1290" w:type="dxa"/>
            <w:noWrap/>
          </w:tcPr>
          <w:p>
            <w:pPr>
              <w:spacing w:line="300" w:lineRule="exact"/>
              <w:jc w:val="center"/>
              <w:rPr>
                <w:sz w:val="24"/>
              </w:rPr>
            </w:pPr>
            <w:r>
              <w:rPr>
                <w:sz w:val="24"/>
              </w:rPr>
              <w:t>20</w:t>
            </w:r>
          </w:p>
        </w:tc>
        <w:tc>
          <w:tcPr>
            <w:tcW w:w="6849" w:type="dxa"/>
            <w:noWrap/>
          </w:tcPr>
          <w:p>
            <w:pPr>
              <w:spacing w:line="300" w:lineRule="exact"/>
              <w:rPr>
                <w:sz w:val="24"/>
              </w:rPr>
            </w:pPr>
          </w:p>
        </w:tc>
        <w:tc>
          <w:tcPr>
            <w:tcW w:w="1040" w:type="dxa"/>
            <w:noWrap/>
          </w:tcPr>
          <w:p>
            <w:pPr>
              <w:spacing w:line="300" w:lineRule="exact"/>
              <w:rPr>
                <w:sz w:val="24"/>
              </w:rPr>
            </w:pPr>
          </w:p>
        </w:tc>
      </w:tr>
    </w:tbl>
    <w:p>
      <w:pPr>
        <w:spacing w:line="400" w:lineRule="exact"/>
        <w:jc w:val="center"/>
        <w:rPr>
          <w:szCs w:val="21"/>
        </w:rPr>
      </w:pPr>
      <w:r>
        <w:rPr>
          <w:szCs w:val="21"/>
        </w:rPr>
        <w:t>备注：项目</w:t>
      </w:r>
      <w:r>
        <w:rPr>
          <w:rFonts w:hint="eastAsia"/>
          <w:szCs w:val="21"/>
        </w:rPr>
        <w:t>实地踏勘</w:t>
      </w:r>
      <w:r>
        <w:rPr>
          <w:szCs w:val="21"/>
        </w:rPr>
        <w:t>点位包括市（州）本级、县（市、区）</w:t>
      </w:r>
      <w:r>
        <w:rPr>
          <w:rFonts w:hint="eastAsia"/>
          <w:szCs w:val="21"/>
        </w:rPr>
        <w:t>本级及有关项目、单位、公司</w:t>
      </w:r>
      <w:r>
        <w:rPr>
          <w:szCs w:val="21"/>
        </w:rPr>
        <w:t>等。</w:t>
      </w:r>
    </w:p>
    <w:p>
      <w:pPr>
        <w:pStyle w:val="9"/>
        <w:spacing w:after="0" w:line="578" w:lineRule="exact"/>
        <w:ind w:left="0" w:leftChars="0" w:firstLine="0" w:firstLineChars="0"/>
        <w:rPr>
          <w:rFonts w:ascii="Times New Roman" w:eastAsia="黑体"/>
          <w:szCs w:val="24"/>
        </w:rPr>
      </w:pPr>
    </w:p>
    <w:p>
      <w:pPr>
        <w:pStyle w:val="9"/>
        <w:spacing w:after="0" w:line="578" w:lineRule="exact"/>
        <w:ind w:left="0" w:leftChars="0" w:firstLine="0" w:firstLineChars="0"/>
        <w:rPr>
          <w:rFonts w:ascii="Times New Roman" w:eastAsia="黑体"/>
          <w:szCs w:val="24"/>
        </w:rPr>
      </w:pPr>
    </w:p>
    <w:p>
      <w:pPr>
        <w:pStyle w:val="9"/>
        <w:spacing w:after="0" w:line="578" w:lineRule="exact"/>
        <w:ind w:left="0" w:leftChars="0" w:firstLine="0" w:firstLineChars="0"/>
        <w:rPr>
          <w:rFonts w:ascii="Times New Roman" w:eastAsia="黑体"/>
          <w:szCs w:val="24"/>
        </w:rPr>
      </w:pPr>
      <w:r>
        <w:rPr>
          <w:rFonts w:ascii="Times New Roman" w:eastAsia="黑体"/>
          <w:szCs w:val="24"/>
        </w:rPr>
        <w:t>附表</w:t>
      </w:r>
      <w:r>
        <w:rPr>
          <w:rFonts w:hint="eastAsia" w:ascii="Times New Roman" w:eastAsia="黑体"/>
          <w:szCs w:val="24"/>
        </w:rPr>
        <w:t>3</w:t>
      </w:r>
    </w:p>
    <w:tbl>
      <w:tblPr>
        <w:tblStyle w:val="10"/>
        <w:tblW w:w="10232" w:type="dxa"/>
        <w:jc w:val="center"/>
        <w:tblLayout w:type="fixed"/>
        <w:tblCellMar>
          <w:top w:w="15" w:type="dxa"/>
          <w:left w:w="15" w:type="dxa"/>
          <w:bottom w:w="15" w:type="dxa"/>
          <w:right w:w="15" w:type="dxa"/>
        </w:tblCellMar>
      </w:tblPr>
      <w:tblGrid>
        <w:gridCol w:w="651"/>
        <w:gridCol w:w="1048"/>
        <w:gridCol w:w="1282"/>
        <w:gridCol w:w="1313"/>
        <w:gridCol w:w="1127"/>
        <w:gridCol w:w="971"/>
        <w:gridCol w:w="1061"/>
        <w:gridCol w:w="938"/>
        <w:gridCol w:w="1841"/>
      </w:tblGrid>
      <w:tr>
        <w:tblPrEx>
          <w:tblCellMar>
            <w:top w:w="15" w:type="dxa"/>
            <w:left w:w="15" w:type="dxa"/>
            <w:bottom w:w="15" w:type="dxa"/>
            <w:right w:w="15" w:type="dxa"/>
          </w:tblCellMar>
        </w:tblPrEx>
        <w:trPr>
          <w:trHeight w:val="576" w:hRule="atLeast"/>
          <w:jc w:val="center"/>
        </w:trPr>
        <w:tc>
          <w:tcPr>
            <w:tcW w:w="10232" w:type="dxa"/>
            <w:gridSpan w:val="9"/>
            <w:tcBorders>
              <w:top w:val="nil"/>
              <w:left w:val="nil"/>
              <w:bottom w:val="nil"/>
              <w:right w:val="nil"/>
            </w:tcBorders>
            <w:shd w:val="clear" w:color="auto" w:fill="auto"/>
            <w:noWrap/>
            <w:vAlign w:val="center"/>
          </w:tcPr>
          <w:p>
            <w:pPr>
              <w:widowControl/>
              <w:spacing w:line="600" w:lineRule="exact"/>
              <w:jc w:val="center"/>
              <w:textAlignment w:val="center"/>
              <w:rPr>
                <w:rFonts w:ascii="黑体" w:eastAsia="黑体" w:cs="黑体"/>
                <w:color w:val="000000"/>
                <w:sz w:val="30"/>
                <w:szCs w:val="30"/>
              </w:rPr>
            </w:pPr>
            <w:r>
              <w:rPr>
                <w:rFonts w:hint="eastAsia" w:ascii="方正小标宋简体" w:eastAsia="方正小标宋简体" w:cs="方正小标宋简体"/>
                <w:color w:val="000000"/>
                <w:kern w:val="0"/>
                <w:sz w:val="40"/>
                <w:szCs w:val="40"/>
              </w:rPr>
              <w:t>专项预算项目绩效目标完成情况自评表</w:t>
            </w:r>
          </w:p>
        </w:tc>
      </w:tr>
      <w:tr>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项目名称</w:t>
            </w:r>
          </w:p>
        </w:tc>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rPr>
                <w:rFonts w:ascii="宋体" w:cs="宋体"/>
                <w:color w:val="000000"/>
                <w:sz w:val="24"/>
              </w:rPr>
            </w:pPr>
            <w:r>
              <w:rPr>
                <w:rFonts w:hint="eastAsia" w:ascii="仿宋_GB2312" w:eastAsia="仿宋_GB2312" w:cs="仿宋_GB2312"/>
                <w:bCs/>
                <w:sz w:val="32"/>
                <w:szCs w:val="32"/>
                <w:lang w:val="zh-CN"/>
              </w:rPr>
              <w:t>2025年</w:t>
            </w:r>
            <w:r>
              <w:rPr>
                <w:rFonts w:ascii="仿宋_GB2312" w:eastAsia="仿宋_GB2312" w:cs="仿宋_GB2312"/>
                <w:bCs/>
                <w:sz w:val="32"/>
                <w:szCs w:val="32"/>
                <w:lang w:val="zh-CN"/>
              </w:rPr>
              <w:t>村级运行维护费</w:t>
            </w:r>
          </w:p>
        </w:tc>
      </w:tr>
      <w:tr>
        <w:tblPrEx>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预算单位</w:t>
            </w:r>
          </w:p>
        </w:tc>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rPr>
                <w:rFonts w:ascii="宋体" w:cs="宋体"/>
                <w:color w:val="000000"/>
                <w:sz w:val="24"/>
              </w:rPr>
            </w:pPr>
            <w:r>
              <w:rPr>
                <w:rFonts w:ascii="宋体" w:cs="宋体"/>
                <w:color w:val="000000"/>
                <w:sz w:val="24"/>
              </w:rPr>
              <w:t>黑水县石碉楼乡人民政府</w:t>
            </w:r>
          </w:p>
        </w:tc>
      </w:tr>
      <w:tr>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项目类型</w:t>
            </w:r>
          </w:p>
        </w:tc>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jc w:val="left"/>
              <w:rPr>
                <w:rFonts w:ascii="宋体" w:cs="宋体"/>
                <w:color w:val="000000"/>
                <w:sz w:val="24"/>
              </w:rPr>
            </w:pPr>
            <w:r>
              <w:rPr>
                <w:rFonts w:hint="eastAsia" w:ascii="宋体" w:cs="宋体"/>
                <w:color w:val="000000"/>
                <w:kern w:val="0"/>
                <w:sz w:val="24"/>
              </w:rPr>
              <w:t>经常性项目</w:t>
            </w:r>
          </w:p>
        </w:tc>
      </w:tr>
      <w:tr>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项目 概况</w:t>
            </w: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left"/>
              <w:textAlignment w:val="center"/>
              <w:rPr>
                <w:rFonts w:ascii="宋体" w:cs="宋体"/>
                <w:color w:val="000000"/>
                <w:kern w:val="0"/>
                <w:sz w:val="24"/>
              </w:rPr>
            </w:pPr>
            <w:r>
              <w:rPr>
                <w:rFonts w:ascii="宋体" w:cs="宋体"/>
                <w:color w:val="000000"/>
                <w:kern w:val="0"/>
                <w:sz w:val="24"/>
              </w:rPr>
              <w:t>中长期规划（名称、文号，仅指</w:t>
            </w:r>
          </w:p>
          <w:p>
            <w:pPr>
              <w:widowControl/>
              <w:spacing w:line="300" w:lineRule="exact"/>
              <w:jc w:val="left"/>
              <w:textAlignment w:val="center"/>
              <w:rPr>
                <w:rFonts w:ascii="宋体" w:cs="宋体"/>
                <w:color w:val="000000"/>
                <w:sz w:val="24"/>
              </w:rPr>
            </w:pPr>
            <w:r>
              <w:rPr>
                <w:rFonts w:ascii="宋体" w:cs="宋体"/>
                <w:color w:val="000000"/>
                <w:kern w:val="0"/>
                <w:sz w:val="24"/>
              </w:rPr>
              <w:t>常年项目）</w:t>
            </w:r>
          </w:p>
        </w:tc>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jc w:val="left"/>
              <w:rPr>
                <w:rFonts w:ascii="宋体" w:cs="宋体"/>
                <w:color w:val="000000"/>
                <w:sz w:val="24"/>
              </w:rPr>
            </w:pPr>
            <w:r>
              <w:rPr>
                <w:rFonts w:ascii="宋体" w:cs="宋体"/>
                <w:color w:val="000000"/>
                <w:sz w:val="24"/>
              </w:rPr>
              <w:t>无</w:t>
            </w:r>
          </w:p>
        </w:tc>
      </w:tr>
      <w:tr>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资金管理办法（名称、文号）</w:t>
            </w:r>
          </w:p>
        </w:tc>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jc w:val="left"/>
              <w:rPr>
                <w:rFonts w:ascii="宋体" w:cs="宋体"/>
                <w:color w:val="000000"/>
                <w:sz w:val="24"/>
              </w:rPr>
            </w:pPr>
            <w:r>
              <w:rPr>
                <w:rFonts w:ascii="宋体" w:cs="宋体"/>
                <w:color w:val="000000"/>
                <w:sz w:val="24"/>
              </w:rPr>
              <w:t>无</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绩效分配方式</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left"/>
              <w:textAlignment w:val="center"/>
              <w:rPr>
                <w:rFonts w:ascii="Wingdings 2" w:hAnsi="Wingdings 2" w:eastAsia="Wingdings 2" w:cs="Wingdings 2"/>
                <w:color w:val="000000"/>
                <w:sz w:val="24"/>
              </w:rPr>
            </w:pPr>
            <w:r>
              <w:rPr>
                <w:rFonts w:ascii="Wingdings 2" w:hAnsi="Wingdings 2" w:eastAsia="Wingdings 2" w:cs="Wingdings 2"/>
                <w:color w:val="000000"/>
                <w:kern w:val="0"/>
                <w:sz w:val="24"/>
              </w:rPr>
              <w:t></w:t>
            </w:r>
            <w:r>
              <w:rPr>
                <w:rFonts w:ascii="宋体" w:cs="宋体"/>
                <w:color w:val="000000"/>
                <w:kern w:val="0"/>
                <w:sz w:val="24"/>
              </w:rPr>
              <w:t>因素法</w:t>
            </w:r>
          </w:p>
        </w:tc>
        <w:tc>
          <w:tcPr>
            <w:tcW w:w="203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Wingdings 2" w:hAnsi="Wingdings 2" w:eastAsia="Wingdings 2" w:cs="Wingdings 2"/>
                <w:color w:val="000000"/>
                <w:sz w:val="24"/>
              </w:rPr>
            </w:pPr>
            <w:r>
              <w:rPr>
                <w:rFonts w:ascii="Wingdings 2" w:hAnsi="Wingdings 2" w:eastAsia="Wingdings 2" w:cs="Wingdings 2"/>
                <w:color w:val="000000"/>
                <w:kern w:val="0"/>
                <w:sz w:val="24"/>
              </w:rPr>
              <w:t>项目法</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Wingdings 2" w:hAnsi="Wingdings 2" w:eastAsia="Wingdings 2" w:cs="Wingdings 2"/>
                <w:color w:val="000000"/>
                <w:sz w:val="24"/>
              </w:rPr>
            </w:pPr>
            <w:r>
              <w:rPr>
                <w:rFonts w:ascii="Wingdings 2" w:hAnsi="Wingdings 2" w:eastAsia="Wingdings 2" w:cs="Wingdings 2"/>
                <w:color w:val="000000"/>
                <w:kern w:val="0"/>
                <w:sz w:val="24"/>
              </w:rPr>
              <w:t></w:t>
            </w:r>
            <w:r>
              <w:rPr>
                <w:rFonts w:ascii="宋体" w:cs="宋体"/>
                <w:color w:val="000000"/>
                <w:kern w:val="0"/>
                <w:sz w:val="24"/>
              </w:rPr>
              <w:t>据实据效</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Wingdings 2" w:hAnsi="Wingdings 2" w:eastAsia="Wingdings 2" w:cs="Wingdings 2"/>
                <w:color w:val="000000"/>
                <w:sz w:val="24"/>
              </w:rPr>
            </w:pPr>
            <w:r>
              <w:rPr>
                <w:rFonts w:ascii="宋体" w:cs="宋体"/>
                <w:color w:val="000000"/>
                <w:kern w:val="0"/>
                <w:sz w:val="24"/>
              </w:rPr>
              <w:t>√因素法与项目法相结合</w:t>
            </w:r>
          </w:p>
        </w:tc>
      </w:tr>
      <w:tr>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立项依据</w:t>
            </w:r>
          </w:p>
        </w:tc>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jc w:val="left"/>
              <w:rPr>
                <w:rFonts w:ascii="宋体" w:cs="宋体"/>
                <w:color w:val="000000"/>
                <w:sz w:val="24"/>
              </w:rPr>
            </w:pPr>
            <w:r>
              <w:rPr>
                <w:rFonts w:hint="eastAsia" w:ascii="宋体" w:cs="宋体"/>
                <w:color w:val="000000"/>
                <w:sz w:val="24"/>
              </w:rPr>
              <w:t>阿州财预〔2025〕32号</w:t>
            </w:r>
            <w:r>
              <w:rPr>
                <w:rFonts w:ascii="宋体" w:cs="宋体"/>
                <w:color w:val="000000"/>
                <w:sz w:val="24"/>
              </w:rPr>
              <w:t>；</w:t>
            </w:r>
            <w:r>
              <w:rPr>
                <w:rFonts w:hint="eastAsia" w:ascii="宋体" w:cs="宋体"/>
                <w:color w:val="000000"/>
                <w:sz w:val="24"/>
              </w:rPr>
              <w:t>阿州财预{2025}23号；黑财预〔2025〕13-44号；黑财预〔2025〕3号</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使用范围</w:t>
            </w:r>
          </w:p>
        </w:tc>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jc w:val="left"/>
              <w:rPr>
                <w:rFonts w:ascii="宋体" w:cs="宋体"/>
                <w:color w:val="000000"/>
                <w:sz w:val="24"/>
              </w:rPr>
            </w:pPr>
            <w:r>
              <w:rPr>
                <w:rFonts w:ascii="宋体" w:cs="宋体"/>
                <w:color w:val="000000"/>
                <w:sz w:val="24"/>
              </w:rPr>
              <w:t>石碉楼乡9个行政村</w:t>
            </w:r>
          </w:p>
        </w:tc>
      </w:tr>
      <w:tr>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申报（补助）条件</w:t>
            </w:r>
          </w:p>
        </w:tc>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jc w:val="left"/>
              <w:rPr>
                <w:rFonts w:ascii="宋体" w:cs="宋体"/>
                <w:color w:val="000000"/>
                <w:sz w:val="24"/>
              </w:rPr>
            </w:pPr>
            <w:r>
              <w:rPr>
                <w:rFonts w:hint="eastAsia" w:ascii="宋体" w:cs="宋体"/>
                <w:color w:val="000000"/>
                <w:sz w:val="24"/>
              </w:rPr>
              <w:t>村级公共运行维护</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项目起止年限</w:t>
            </w:r>
          </w:p>
        </w:tc>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rPr>
                <w:rFonts w:ascii="宋体" w:cs="宋体"/>
                <w:color w:val="000000"/>
                <w:sz w:val="24"/>
              </w:rPr>
            </w:pPr>
            <w:r>
              <w:rPr>
                <w:rFonts w:hint="eastAsia"/>
                <w:color w:val="000000"/>
                <w:kern w:val="0"/>
                <w:sz w:val="24"/>
              </w:rPr>
              <w:t>2025年1月至2025年12月</w:t>
            </w:r>
          </w:p>
        </w:tc>
      </w:tr>
      <w:tr>
        <w:trPr>
          <w:trHeight w:val="23" w:hRule="atLeast"/>
          <w:jc w:val="center"/>
        </w:trPr>
        <w:tc>
          <w:tcPr>
            <w:tcW w:w="170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宋体" w:cs="宋体"/>
                <w:color w:val="000000"/>
                <w:kern w:val="0"/>
                <w:sz w:val="24"/>
              </w:rPr>
            </w:pPr>
            <w:r>
              <w:rPr>
                <w:rFonts w:ascii="宋体" w:cs="宋体"/>
                <w:color w:val="000000"/>
                <w:kern w:val="0"/>
                <w:sz w:val="24"/>
              </w:rPr>
              <w:t>项目资金</w:t>
            </w:r>
          </w:p>
          <w:p>
            <w:pPr>
              <w:widowControl/>
              <w:spacing w:line="300" w:lineRule="exact"/>
              <w:jc w:val="center"/>
              <w:textAlignment w:val="center"/>
              <w:rPr>
                <w:rFonts w:ascii="宋体" w:cs="宋体"/>
                <w:color w:val="000000"/>
                <w:sz w:val="24"/>
              </w:rPr>
            </w:pPr>
            <w:r>
              <w:rPr>
                <w:rFonts w:ascii="宋体" w:cs="宋体"/>
                <w:color w:val="000000"/>
                <w:kern w:val="0"/>
                <w:sz w:val="24"/>
              </w:rPr>
              <w:t>（元）</w:t>
            </w:r>
          </w:p>
        </w:tc>
        <w:tc>
          <w:tcPr>
            <w:tcW w:w="25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 xml:space="preserve">  年度资金总额：      </w:t>
            </w:r>
          </w:p>
        </w:tc>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jc w:val="center"/>
              <w:rPr>
                <w:rFonts w:ascii="宋体" w:cs="宋体"/>
                <w:color w:val="000000"/>
                <w:sz w:val="24"/>
              </w:rPr>
            </w:pPr>
            <w:r>
              <w:rPr>
                <w:rFonts w:hint="eastAsia" w:ascii="宋体" w:cs="宋体"/>
                <w:color w:val="000000"/>
                <w:sz w:val="24"/>
              </w:rPr>
              <w:t>632440</w:t>
            </w:r>
          </w:p>
        </w:tc>
      </w:tr>
      <w:tr>
        <w:tblPrEx>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5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其中：财政拨款</w:t>
            </w:r>
          </w:p>
        </w:tc>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jc w:val="center"/>
              <w:rPr>
                <w:rFonts w:ascii="宋体" w:cs="宋体"/>
                <w:color w:val="000000"/>
                <w:sz w:val="24"/>
              </w:rPr>
            </w:pPr>
            <w:r>
              <w:rPr>
                <w:rFonts w:hint="eastAsia" w:ascii="宋体" w:cs="宋体"/>
                <w:color w:val="000000"/>
                <w:sz w:val="24"/>
              </w:rPr>
              <w:t>632440</w:t>
            </w:r>
          </w:p>
        </w:tc>
      </w:tr>
      <w:tr>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5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 xml:space="preserve">            其他资金</w:t>
            </w:r>
          </w:p>
        </w:tc>
        <w:tc>
          <w:tcPr>
            <w:tcW w:w="593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jc w:val="right"/>
              <w:rPr>
                <w:rFonts w:ascii="宋体" w:cs="宋体"/>
                <w:color w:val="000000"/>
                <w:sz w:val="24"/>
              </w:rPr>
            </w:pPr>
          </w:p>
        </w:tc>
      </w:tr>
      <w:tr>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总体 目标</w:t>
            </w:r>
          </w:p>
        </w:tc>
        <w:tc>
          <w:tcPr>
            <w:tcW w:w="958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年度目标</w:t>
            </w:r>
          </w:p>
        </w:tc>
      </w:tr>
      <w:tr>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958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jc w:val="left"/>
              <w:rPr>
                <w:rFonts w:ascii="宋体" w:cs="宋体"/>
                <w:color w:val="000000"/>
                <w:sz w:val="24"/>
              </w:rPr>
            </w:pPr>
            <w:r>
              <w:rPr>
                <w:rFonts w:hint="eastAsia" w:ascii="宋体" w:cs="宋体"/>
                <w:color w:val="000000"/>
                <w:kern w:val="0"/>
                <w:sz w:val="24"/>
              </w:rPr>
              <w:t>加强乡村级运行维护费保障，</w:t>
            </w:r>
            <w:r>
              <w:rPr>
                <w:rFonts w:ascii="宋体" w:cs="宋体"/>
                <w:color w:val="000000"/>
                <w:kern w:val="0"/>
                <w:sz w:val="24"/>
              </w:rPr>
              <w:t>保障各村工作开展和正常运行</w:t>
            </w:r>
          </w:p>
        </w:tc>
      </w:tr>
      <w:tr>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nil"/>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绩效 指标</w:t>
            </w: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一级指标</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二级指标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三级指标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指标性质</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指标值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度量单位</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权重</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实际完成指标值</w:t>
            </w:r>
          </w:p>
        </w:tc>
      </w:tr>
      <w:tr>
        <w:trPr>
          <w:trHeight w:val="23"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4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产出指标</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rPr>
                <w:rFonts w:ascii="宋体" w:cs="宋体"/>
                <w:color w:val="000000"/>
                <w:sz w:val="24"/>
              </w:rPr>
            </w:pPr>
            <w:r>
              <w:rPr>
                <w:rFonts w:ascii="宋体" w:cs="宋体"/>
                <w:color w:val="000000"/>
                <w:sz w:val="24"/>
              </w:rPr>
              <w:t>保障驻村工作队数量</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cs="宋体"/>
                <w:color w:val="000000"/>
                <w:kern w:val="0"/>
                <w:sz w:val="24"/>
              </w:rPr>
            </w:pPr>
            <w:r>
              <w:rPr>
                <w:rFonts w:ascii="宋体" w:cs="宋体"/>
                <w:color w:val="000000"/>
                <w:kern w:val="0"/>
                <w:sz w:val="24"/>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cs="宋体"/>
                <w:color w:val="000000"/>
                <w:kern w:val="0"/>
                <w:sz w:val="24"/>
              </w:rPr>
            </w:pPr>
            <w:r>
              <w:rPr>
                <w:rFonts w:ascii="宋体" w:cs="宋体"/>
                <w:color w:val="000000"/>
                <w:kern w:val="0"/>
                <w:sz w:val="24"/>
              </w:rPr>
              <w:t>9</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cs="宋体"/>
                <w:color w:val="000000"/>
                <w:kern w:val="0"/>
                <w:sz w:val="24"/>
              </w:rPr>
            </w:pPr>
            <w:r>
              <w:rPr>
                <w:rFonts w:ascii="宋体" w:cs="宋体"/>
                <w:color w:val="000000"/>
                <w:kern w:val="0"/>
                <w:sz w:val="24"/>
              </w:rPr>
              <w:t>个</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cs="宋体"/>
                <w:color w:val="000000"/>
                <w:kern w:val="0"/>
                <w:sz w:val="24"/>
              </w:rPr>
            </w:pPr>
            <w:r>
              <w:rPr>
                <w:rFonts w:ascii="宋体" w:cs="宋体"/>
                <w:color w:val="000000"/>
                <w:kern w:val="0"/>
                <w:sz w:val="24"/>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cs="宋体"/>
                <w:color w:val="000000"/>
                <w:kern w:val="0"/>
                <w:sz w:val="24"/>
              </w:rPr>
            </w:pPr>
            <w:r>
              <w:rPr>
                <w:rFonts w:ascii="宋体" w:cs="宋体"/>
                <w:color w:val="000000"/>
                <w:kern w:val="0"/>
                <w:sz w:val="24"/>
              </w:rPr>
              <w:t>9</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时效指标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rPr>
                <w:rFonts w:ascii="宋体" w:cs="宋体"/>
                <w:color w:val="000000"/>
                <w:sz w:val="24"/>
              </w:rPr>
            </w:pPr>
            <w:r>
              <w:rPr>
                <w:rFonts w:ascii="宋体" w:cs="宋体"/>
                <w:color w:val="000000"/>
                <w:sz w:val="24"/>
              </w:rPr>
              <w:t>保障村级运行维护费按时发放</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cs="宋体"/>
                <w:color w:val="000000"/>
                <w:kern w:val="0"/>
                <w:sz w:val="24"/>
              </w:rPr>
            </w:pPr>
            <w:r>
              <w:rPr>
                <w:rFonts w:hint="eastAsia" w:ascii="宋体" w:cs="宋体"/>
                <w:color w:val="000000"/>
                <w:kern w:val="0"/>
                <w:sz w:val="24"/>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cs="宋体"/>
                <w:color w:val="000000"/>
                <w:kern w:val="0"/>
                <w:sz w:val="24"/>
              </w:rPr>
            </w:pPr>
            <w:r>
              <w:rPr>
                <w:rFonts w:hint="eastAsia" w:ascii="宋体" w:cs="宋体"/>
                <w:color w:val="000000"/>
                <w:kern w:val="0"/>
                <w:sz w:val="18"/>
                <w:szCs w:val="18"/>
              </w:rPr>
              <w:t>95</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cs="宋体"/>
                <w:color w:val="000000"/>
                <w:kern w:val="0"/>
                <w:sz w:val="24"/>
              </w:rPr>
            </w:pPr>
            <w:r>
              <w:rPr>
                <w:rFonts w:hint="eastAsia" w:ascii="宋体" w:cs="宋体"/>
                <w:color w:val="000000"/>
                <w:kern w:val="0"/>
                <w:sz w:val="18"/>
                <w:szCs w:val="18"/>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cs="宋体"/>
                <w:color w:val="000000"/>
                <w:kern w:val="0"/>
                <w:sz w:val="24"/>
              </w:rPr>
            </w:pPr>
            <w:r>
              <w:rPr>
                <w:rFonts w:hint="eastAsia" w:ascii="宋体" w:cs="宋体"/>
                <w:color w:val="000000"/>
                <w:kern w:val="0"/>
                <w:sz w:val="24"/>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cs="宋体"/>
                <w:color w:val="000000"/>
                <w:kern w:val="0"/>
                <w:sz w:val="24"/>
              </w:rPr>
            </w:pPr>
            <w:r>
              <w:rPr>
                <w:rFonts w:hint="eastAsia" w:ascii="宋体" w:cs="宋体"/>
                <w:color w:val="000000"/>
                <w:kern w:val="0"/>
                <w:sz w:val="18"/>
                <w:szCs w:val="18"/>
              </w:rPr>
              <w:t>95</w:t>
            </w:r>
          </w:p>
        </w:tc>
      </w:tr>
      <w:tr>
        <w:trPr>
          <w:trHeight w:val="23"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82" w:type="dxa"/>
            <w:tcBorders>
              <w:top w:val="single" w:color="000000" w:sz="4" w:space="0"/>
              <w:left w:val="single" w:color="000000" w:sz="4" w:space="0"/>
              <w:bottom w:val="nil"/>
              <w:right w:val="single" w:color="000000" w:sz="4" w:space="0"/>
            </w:tcBorders>
            <w:shd w:val="clear" w:color="auto" w:fill="auto"/>
            <w:noWrap/>
            <w:vAlign w:val="center"/>
          </w:tcPr>
          <w:p>
            <w:pPr>
              <w:widowControl/>
              <w:spacing w:line="300" w:lineRule="exact"/>
              <w:jc w:val="center"/>
              <w:textAlignment w:val="center"/>
              <w:rPr>
                <w:rFonts w:ascii="宋体" w:cs="宋体"/>
                <w:color w:val="000000"/>
                <w:kern w:val="0"/>
                <w:sz w:val="24"/>
              </w:rPr>
            </w:pPr>
            <w:r>
              <w:rPr>
                <w:rFonts w:ascii="宋体" w:cs="宋体"/>
                <w:color w:val="000000"/>
                <w:kern w:val="0"/>
                <w:sz w:val="24"/>
              </w:rPr>
              <w:t>社会效益</w:t>
            </w:r>
          </w:p>
          <w:p>
            <w:pPr>
              <w:widowControl/>
              <w:spacing w:line="300" w:lineRule="exact"/>
              <w:jc w:val="center"/>
              <w:textAlignment w:val="center"/>
              <w:rPr>
                <w:rFonts w:ascii="宋体" w:cs="宋体"/>
                <w:color w:val="000000"/>
                <w:sz w:val="24"/>
              </w:rPr>
            </w:pPr>
            <w:r>
              <w:rPr>
                <w:rFonts w:ascii="宋体" w:cs="宋体"/>
                <w:color w:val="000000"/>
                <w:kern w:val="0"/>
                <w:sz w:val="24"/>
              </w:rPr>
              <w:t>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rPr>
                <w:rFonts w:ascii="宋体" w:cs="宋体"/>
                <w:color w:val="000000"/>
                <w:sz w:val="24"/>
              </w:rPr>
            </w:pPr>
            <w:r>
              <w:rPr>
                <w:rFonts w:ascii="宋体" w:cs="宋体"/>
                <w:color w:val="000000"/>
                <w:sz w:val="24"/>
              </w:rPr>
              <w:t>保障村级运行维护费足额发放</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cs="宋体"/>
                <w:color w:val="000000"/>
                <w:kern w:val="0"/>
                <w:sz w:val="24"/>
              </w:rPr>
            </w:pPr>
            <w:r>
              <w:rPr>
                <w:rFonts w:hint="eastAsia" w:ascii="宋体" w:cs="宋体"/>
                <w:color w:val="000000"/>
                <w:kern w:val="0"/>
                <w:sz w:val="24"/>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cs="宋体"/>
                <w:color w:val="000000"/>
                <w:kern w:val="0"/>
                <w:sz w:val="24"/>
              </w:rPr>
            </w:pPr>
            <w:r>
              <w:rPr>
                <w:rFonts w:hint="eastAsia" w:ascii="宋体" w:cs="宋体"/>
                <w:color w:val="000000"/>
                <w:kern w:val="0"/>
                <w:sz w:val="18"/>
                <w:szCs w:val="18"/>
              </w:rPr>
              <w:t>95</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cs="宋体"/>
                <w:color w:val="000000"/>
                <w:kern w:val="0"/>
                <w:sz w:val="24"/>
              </w:rPr>
            </w:pPr>
            <w:r>
              <w:rPr>
                <w:rFonts w:hint="eastAsia" w:ascii="宋体" w:cs="宋体"/>
                <w:color w:val="000000"/>
                <w:kern w:val="0"/>
                <w:sz w:val="18"/>
                <w:szCs w:val="18"/>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cs="宋体"/>
                <w:color w:val="000000"/>
                <w:kern w:val="0"/>
                <w:sz w:val="24"/>
              </w:rPr>
            </w:pPr>
            <w:r>
              <w:rPr>
                <w:rFonts w:hint="eastAsia" w:ascii="宋体" w:cs="宋体"/>
                <w:color w:val="000000"/>
                <w:kern w:val="0"/>
                <w:sz w:val="24"/>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cs="宋体"/>
                <w:color w:val="000000"/>
                <w:kern w:val="0"/>
                <w:sz w:val="24"/>
              </w:rPr>
            </w:pPr>
            <w:r>
              <w:rPr>
                <w:rFonts w:hint="eastAsia" w:ascii="宋体" w:cs="宋体"/>
                <w:color w:val="000000"/>
                <w:kern w:val="0"/>
                <w:sz w:val="18"/>
                <w:szCs w:val="18"/>
              </w:rPr>
              <w:t>95</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48" w:type="dxa"/>
            <w:tcBorders>
              <w:top w:val="single" w:color="000000" w:sz="4" w:space="0"/>
              <w:left w:val="single" w:color="000000" w:sz="4" w:space="0"/>
              <w:bottom w:val="nil"/>
              <w:right w:val="single" w:color="000000" w:sz="4" w:space="0"/>
            </w:tcBorders>
            <w:shd w:val="clear" w:color="auto" w:fill="auto"/>
            <w:noWrap/>
            <w:vAlign w:val="center"/>
          </w:tcPr>
          <w:p>
            <w:pPr>
              <w:widowControl/>
              <w:spacing w:line="300" w:lineRule="exact"/>
              <w:jc w:val="center"/>
              <w:textAlignment w:val="center"/>
              <w:rPr>
                <w:rFonts w:ascii="宋体" w:cs="宋体"/>
                <w:color w:val="000000"/>
                <w:kern w:val="0"/>
                <w:sz w:val="24"/>
              </w:rPr>
            </w:pPr>
            <w:r>
              <w:rPr>
                <w:rFonts w:ascii="宋体" w:cs="宋体"/>
                <w:color w:val="000000"/>
                <w:kern w:val="0"/>
                <w:sz w:val="24"/>
              </w:rPr>
              <w:t>满意度</w:t>
            </w:r>
          </w:p>
          <w:p>
            <w:pPr>
              <w:widowControl/>
              <w:spacing w:line="300" w:lineRule="exact"/>
              <w:jc w:val="center"/>
              <w:textAlignment w:val="center"/>
              <w:rPr>
                <w:rFonts w:ascii="宋体" w:cs="宋体"/>
                <w:color w:val="000000"/>
                <w:sz w:val="24"/>
              </w:rPr>
            </w:pPr>
            <w:r>
              <w:rPr>
                <w:rFonts w:ascii="宋体" w:cs="宋体"/>
                <w:color w:val="000000"/>
                <w:kern w:val="0"/>
                <w:sz w:val="24"/>
              </w:rPr>
              <w:t>指标</w:t>
            </w:r>
          </w:p>
        </w:tc>
        <w:tc>
          <w:tcPr>
            <w:tcW w:w="1282" w:type="dxa"/>
            <w:tcBorders>
              <w:top w:val="single" w:color="000000" w:sz="4" w:space="0"/>
              <w:left w:val="single" w:color="000000" w:sz="4" w:space="0"/>
              <w:bottom w:val="nil"/>
              <w:right w:val="single" w:color="000000" w:sz="4" w:space="0"/>
            </w:tcBorders>
            <w:shd w:val="clear" w:color="auto" w:fill="auto"/>
            <w:noWrap/>
            <w:vAlign w:val="center"/>
          </w:tcPr>
          <w:p>
            <w:pPr>
              <w:widowControl/>
              <w:spacing w:line="300" w:lineRule="exact"/>
              <w:jc w:val="center"/>
              <w:textAlignment w:val="center"/>
              <w:rPr>
                <w:rFonts w:ascii="宋体" w:cs="宋体"/>
                <w:color w:val="000000"/>
                <w:kern w:val="0"/>
                <w:sz w:val="24"/>
              </w:rPr>
            </w:pPr>
            <w:r>
              <w:rPr>
                <w:rFonts w:ascii="宋体" w:cs="宋体"/>
                <w:color w:val="000000"/>
                <w:kern w:val="0"/>
                <w:sz w:val="24"/>
              </w:rPr>
              <w:t>服务对象</w:t>
            </w:r>
          </w:p>
          <w:p>
            <w:pPr>
              <w:widowControl/>
              <w:spacing w:line="300" w:lineRule="exact"/>
              <w:jc w:val="center"/>
              <w:textAlignment w:val="center"/>
              <w:rPr>
                <w:rFonts w:ascii="宋体" w:cs="宋体"/>
                <w:color w:val="000000"/>
                <w:sz w:val="24"/>
              </w:rPr>
            </w:pPr>
            <w:r>
              <w:rPr>
                <w:rFonts w:ascii="宋体" w:cs="宋体"/>
                <w:color w:val="000000"/>
                <w:kern w:val="0"/>
                <w:sz w:val="24"/>
              </w:rPr>
              <w:t>满意度指标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rPr>
                <w:rFonts w:ascii="宋体" w:cs="宋体"/>
                <w:color w:val="000000"/>
                <w:sz w:val="24"/>
              </w:rPr>
            </w:pPr>
            <w:r>
              <w:rPr>
                <w:rFonts w:ascii="宋体" w:cs="宋体"/>
                <w:color w:val="000000"/>
                <w:sz w:val="24"/>
              </w:rPr>
              <w:t>服务对象满意度</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cs="宋体"/>
                <w:color w:val="000000"/>
                <w:kern w:val="0"/>
                <w:sz w:val="24"/>
              </w:rPr>
            </w:pPr>
            <w:r>
              <w:rPr>
                <w:rFonts w:hint="eastAsia" w:ascii="宋体" w:cs="宋体"/>
                <w:color w:val="000000"/>
                <w:kern w:val="0"/>
                <w:sz w:val="24"/>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cs="宋体"/>
                <w:color w:val="000000"/>
                <w:kern w:val="0"/>
                <w:sz w:val="24"/>
              </w:rPr>
            </w:pPr>
            <w:r>
              <w:rPr>
                <w:rFonts w:hint="eastAsia" w:ascii="宋体" w:cs="宋体"/>
                <w:color w:val="000000"/>
                <w:kern w:val="0"/>
                <w:sz w:val="18"/>
                <w:szCs w:val="18"/>
              </w:rPr>
              <w:t>95</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cs="宋体"/>
                <w:color w:val="000000"/>
                <w:kern w:val="0"/>
                <w:sz w:val="24"/>
              </w:rPr>
            </w:pPr>
            <w:r>
              <w:rPr>
                <w:rFonts w:hint="eastAsia" w:ascii="宋体" w:cs="宋体"/>
                <w:color w:val="000000"/>
                <w:kern w:val="0"/>
                <w:sz w:val="18"/>
                <w:szCs w:val="18"/>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extAlignment w:val="center"/>
              <w:rPr>
                <w:rFonts w:ascii="宋体" w:cs="宋体"/>
                <w:color w:val="000000"/>
                <w:kern w:val="0"/>
                <w:sz w:val="24"/>
              </w:rPr>
            </w:pPr>
            <w:r>
              <w:rPr>
                <w:rFonts w:hint="eastAsia" w:ascii="宋体" w:cs="宋体"/>
                <w:color w:val="000000"/>
                <w:kern w:val="0"/>
                <w:sz w:val="24"/>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cs="宋体"/>
                <w:color w:val="000000"/>
                <w:kern w:val="0"/>
                <w:sz w:val="24"/>
              </w:rPr>
            </w:pPr>
            <w:r>
              <w:rPr>
                <w:rFonts w:hint="eastAsia" w:ascii="宋体" w:cs="宋体"/>
                <w:color w:val="000000"/>
                <w:kern w:val="0"/>
                <w:sz w:val="18"/>
                <w:szCs w:val="18"/>
              </w:rPr>
              <w:t>95</w:t>
            </w:r>
          </w:p>
        </w:tc>
      </w:tr>
      <w:tr>
        <w:trPr>
          <w:trHeight w:val="23" w:hRule="atLeast"/>
          <w:jc w:val="center"/>
        </w:trPr>
        <w:tc>
          <w:tcPr>
            <w:tcW w:w="652" w:type="dxa"/>
            <w:vMerge w:val="continue"/>
            <w:tcBorders>
              <w:top w:val="single" w:color="000000" w:sz="4" w:space="0"/>
              <w:left w:val="single" w:color="000000" w:sz="4" w:space="0"/>
              <w:bottom w:val="single" w:color="000000" w:sz="4" w:space="0"/>
              <w:right w:val="nil"/>
            </w:tcBorders>
            <w:shd w:val="clear" w:color="auto" w:fill="auto"/>
            <w:noWrap/>
            <w:vAlign w:val="center"/>
          </w:tcPr>
          <w:p/>
        </w:tc>
        <w:tc>
          <w:tcPr>
            <w:tcW w:w="10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成本指标</w:t>
            </w:r>
          </w:p>
        </w:tc>
        <w:tc>
          <w:tcPr>
            <w:tcW w:w="12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00" w:lineRule="exact"/>
              <w:jc w:val="center"/>
              <w:textAlignment w:val="center"/>
              <w:rPr>
                <w:rFonts w:ascii="宋体" w:cs="宋体"/>
                <w:color w:val="000000"/>
                <w:kern w:val="0"/>
                <w:sz w:val="24"/>
              </w:rPr>
            </w:pPr>
            <w:r>
              <w:rPr>
                <w:rFonts w:ascii="宋体" w:cs="宋体"/>
                <w:color w:val="000000"/>
                <w:kern w:val="0"/>
                <w:sz w:val="24"/>
              </w:rPr>
              <w:t>经济成本</w:t>
            </w:r>
          </w:p>
          <w:p>
            <w:pPr>
              <w:widowControl/>
              <w:spacing w:line="300" w:lineRule="exact"/>
              <w:jc w:val="center"/>
              <w:textAlignment w:val="center"/>
              <w:rPr>
                <w:rFonts w:ascii="宋体" w:cs="宋体"/>
                <w:color w:val="000000"/>
                <w:sz w:val="24"/>
              </w:rPr>
            </w:pPr>
            <w:r>
              <w:rPr>
                <w:rFonts w:ascii="宋体" w:cs="宋体"/>
                <w:color w:val="000000"/>
                <w:kern w:val="0"/>
                <w:sz w:val="24"/>
              </w:rPr>
              <w:t>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spacing w:line="300" w:lineRule="exact"/>
              <w:rPr>
                <w:rFonts w:ascii="宋体" w:cs="宋体"/>
                <w:color w:val="000000"/>
                <w:sz w:val="24"/>
              </w:rPr>
            </w:pPr>
            <w:r>
              <w:rPr>
                <w:rFonts w:ascii="宋体" w:cs="宋体"/>
                <w:color w:val="000000"/>
                <w:sz w:val="24"/>
              </w:rPr>
              <w:t>经费预算</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jc w:val="center"/>
              <w:rPr>
                <w:rFonts w:ascii="宋体" w:cs="宋体"/>
                <w:color w:val="000000"/>
                <w:sz w:val="24"/>
              </w:rPr>
            </w:pPr>
            <w:r>
              <w:rPr>
                <w:rFonts w:ascii="宋体" w:cs="宋体"/>
                <w:color w:val="000000"/>
                <w:sz w:val="24"/>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jc w:val="center"/>
              <w:rPr>
                <w:rFonts w:ascii="宋体" w:cs="宋体"/>
                <w:color w:val="000000"/>
                <w:sz w:val="24"/>
              </w:rPr>
            </w:pPr>
            <w:r>
              <w:rPr>
                <w:rFonts w:hint="eastAsia" w:ascii="宋体" w:cs="宋体"/>
                <w:color w:val="000000"/>
                <w:sz w:val="24"/>
              </w:rPr>
              <w:t>632440</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jc w:val="center"/>
              <w:rPr>
                <w:rFonts w:ascii="宋体" w:cs="宋体"/>
                <w:color w:val="000000"/>
                <w:sz w:val="24"/>
              </w:rPr>
            </w:pPr>
            <w:r>
              <w:rPr>
                <w:rFonts w:ascii="宋体" w:cs="宋体"/>
                <w:color w:val="000000"/>
                <w:sz w:val="24"/>
              </w:rPr>
              <w:t>元</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jc w:val="center"/>
              <w:rPr>
                <w:rFonts w:ascii="宋体" w:cs="宋体"/>
                <w:color w:val="000000"/>
                <w:sz w:val="24"/>
              </w:rPr>
            </w:pPr>
            <w:r>
              <w:rPr>
                <w:rFonts w:ascii="宋体" w:cs="宋体"/>
                <w:color w:val="000000"/>
                <w:sz w:val="24"/>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00" w:lineRule="exact"/>
              <w:jc w:val="center"/>
              <w:rPr>
                <w:rFonts w:ascii="宋体" w:cs="宋体"/>
                <w:color w:val="000000"/>
                <w:sz w:val="24"/>
              </w:rPr>
            </w:pPr>
            <w:r>
              <w:rPr>
                <w:rFonts w:hint="eastAsia" w:ascii="宋体" w:cs="宋体"/>
                <w:color w:val="000000"/>
                <w:sz w:val="24"/>
              </w:rPr>
              <w:t>632440</w:t>
            </w:r>
          </w:p>
        </w:tc>
      </w:tr>
    </w:tbl>
    <w:p>
      <w:pPr>
        <w:spacing w:line="580" w:lineRule="exact"/>
        <w:rPr>
          <w:rStyle w:val="14"/>
          <w:rFonts w:ascii="仿宋_GB2312" w:eastAsia="仿宋_GB2312" w:cs="仿宋_GB2312"/>
          <w:b w:val="0"/>
          <w:bCs w:val="0"/>
          <w:color w:val="FFC000"/>
          <w:sz w:val="32"/>
          <w:szCs w:val="32"/>
        </w:rPr>
      </w:pPr>
    </w:p>
    <w:p/>
    <w:bookmarkEnd w:id="0"/>
    <w:sectPr>
      <w:pgSz w:w="11906" w:h="16838"/>
      <w:pgMar w:top="1440" w:right="1800" w:bottom="1440" w:left="1800" w:header="851" w:footer="1587" w:gutter="0"/>
      <w:cols w:space="720" w:num="1"/>
      <w:rtlGutter w:val="1"/>
      <w:docGrid w:type="linesAndChars" w:linePitch="289" w:charSpace="-183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Luxi Sans">
    <w:altName w:val="AR PL UKai CN"/>
    <w:panose1 w:val="00000000000000000000"/>
    <w:charset w:val="00"/>
    <w:family w:val="auto"/>
    <w:pitch w:val="default"/>
    <w:sig w:usb0="00000000" w:usb1="00000000" w:usb2="00000000" w:usb3="00000000" w:csb0="00040001"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小标宋简体">
    <w:altName w:val="方正小标宋_GBK"/>
    <w:panose1 w:val="02000000000000000000"/>
    <w:charset w:val="86"/>
    <w:family w:val="auto"/>
    <w:pitch w:val="default"/>
    <w:sig w:usb0="00000000" w:usb1="00000000" w:usb2="00000012" w:usb3="00000000" w:csb0="00040001" w:csb1="00000000"/>
  </w:font>
  <w:font w:name="方正黑体_GBK">
    <w:panose1 w:val="02000000000000000000"/>
    <w:charset w:val="86"/>
    <w:family w:val="script"/>
    <w:pitch w:val="default"/>
    <w:sig w:usb0="A00002BF" w:usb1="38CF7CFA" w:usb2="00082016"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小标宋_GBK">
    <w:panose1 w:val="02000000000000000000"/>
    <w:charset w:val="86"/>
    <w:family w:val="script"/>
    <w:pitch w:val="default"/>
    <w:sig w:usb0="A00002BF" w:usb1="38CF7CFA" w:usb2="00082016" w:usb3="00000000" w:csb0="00040001" w:csb1="00000000"/>
  </w:font>
  <w:font w:name="Wingdings 2">
    <w:panose1 w:val="05020102010507070707"/>
    <w:charset w:val="02"/>
    <w:family w:val="roman"/>
    <w:pitch w:val="default"/>
    <w:sig w:usb0="00000000" w:usb1="00000000" w:usb2="00000000" w:usb3="00000000" w:csb0="80000000" w:csb1="00000000"/>
  </w:font>
  <w:font w:name="方正书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 w:name="AR PL UKai CN">
    <w:panose1 w:val="02000503000000000000"/>
    <w:charset w:val="86"/>
    <w:family w:val="auto"/>
    <w:pitch w:val="default"/>
    <w:sig w:usb0="A00002FF" w:usb1="3ACFFDFF" w:usb2="00000036" w:usb3="00000000" w:csb0="2016009F" w:csb1="DFD7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105E464"/>
    <w:multiLevelType w:val="singleLevel"/>
    <w:tmpl w:val="4105E464"/>
    <w:lvl w:ilvl="0" w:tentative="0">
      <w:start w:val="1"/>
      <w:numFmt w:val="chineseCounting"/>
      <w:suff w:val="nothing"/>
      <w:lvlText w:val="%1、"/>
      <w:lvlJc w:val="left"/>
      <w:pPr>
        <w:tabs>
          <w:tab w:val="left" w:pos="0"/>
        </w:tabs>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dit="readOnly" w:enforcement="0"/>
  <w:defaultTabStop w:val="420"/>
  <w:drawingGridHorizontalSpacing w:val="101"/>
  <w:drawingGridVerticalSpacing w:val="144"/>
  <w:displayHorizontalDrawingGridEvery w:val="2"/>
  <w:displayVerticalDrawingGridEvery w:val="2"/>
  <w:noPunctuationKerning w:val="1"/>
  <w:characterSpacingControl w:val="compressPunctuation"/>
  <w:compat>
    <w:spaceForUL/>
    <w:balanceSingleByteDoubleByteWidth/>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Q4NDliYzVkNjM0YTUyZjVhYThjYjZkNjBhMDUwYjEifQ=="/>
  </w:docVars>
  <w:rsids>
    <w:rsidRoot w:val="008470BD"/>
    <w:rsid w:val="001D7801"/>
    <w:rsid w:val="008470BD"/>
    <w:rsid w:val="0FF3697D"/>
    <w:rsid w:val="3F9AE596"/>
    <w:rsid w:val="777F8877"/>
    <w:rsid w:val="ACDBF473"/>
    <w:rsid w:val="DF6D189E"/>
    <w:rsid w:val="EF7A4DA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4"/>
    <w:qFormat/>
    <w:uiPriority w:val="0"/>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5" w:lineRule="auto"/>
      <w:outlineLvl w:val="1"/>
    </w:pPr>
    <w:rPr>
      <w:rFonts w:ascii="Luxi Sans" w:hAnsi="Luxi Sans" w:eastAsia="黑体"/>
      <w:b/>
      <w:sz w:val="32"/>
    </w:rPr>
  </w:style>
  <w:style w:type="paragraph" w:styleId="5">
    <w:name w:val="heading 3"/>
    <w:basedOn w:val="1"/>
    <w:next w:val="1"/>
    <w:qFormat/>
    <w:uiPriority w:val="0"/>
    <w:pPr>
      <w:keepNext/>
      <w:keepLines/>
      <w:spacing w:before="260" w:after="260" w:line="415" w:lineRule="auto"/>
      <w:outlineLvl w:val="2"/>
    </w:pPr>
    <w:rPr>
      <w:b/>
      <w:sz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qFormat/>
    <w:uiPriority w:val="0"/>
    <w:pPr>
      <w:ind w:left="400" w:leftChars="200" w:hanging="200" w:hangingChars="200"/>
    </w:pPr>
  </w:style>
  <w:style w:type="paragraph" w:styleId="6">
    <w:name w:val="Body Text"/>
    <w:next w:val="7"/>
    <w:qFormat/>
    <w:uiPriority w:val="0"/>
    <w:pPr>
      <w:tabs>
        <w:tab w:val="left" w:pos="2160"/>
      </w:tabs>
      <w:spacing w:line="480" w:lineRule="auto"/>
    </w:pPr>
    <w:rPr>
      <w:rFonts w:ascii="楷体_GB2312" w:hAnsi="楷体_GB2312" w:eastAsia="黑体" w:cs="Times New Roman"/>
      <w:position w:val="3"/>
      <w:lang w:val="en-US" w:eastAsia="zh-CN" w:bidi="ar-SA"/>
    </w:rPr>
  </w:style>
  <w:style w:type="paragraph" w:styleId="7">
    <w:name w:val="header"/>
    <w:basedOn w:val="1"/>
    <w:qFormat/>
    <w:uiPriority w:val="0"/>
    <w:pPr>
      <w:pBdr>
        <w:bottom w:val="single" w:color="auto" w:sz="6" w:space="1"/>
      </w:pBdr>
      <w:tabs>
        <w:tab w:val="center" w:pos="4153"/>
        <w:tab w:val="right" w:pos="8306"/>
      </w:tabs>
      <w:snapToGrid w:val="0"/>
      <w:jc w:val="center"/>
    </w:pPr>
    <w:rPr>
      <w:rFonts w:ascii="Calibri" w:hAnsi="Calibri" w:cs="Arial"/>
      <w:sz w:val="18"/>
      <w:szCs w:val="18"/>
    </w:rPr>
  </w:style>
  <w:style w:type="paragraph" w:styleId="8">
    <w:name w:val="footer"/>
    <w:basedOn w:val="1"/>
    <w:qFormat/>
    <w:uiPriority w:val="0"/>
    <w:pPr>
      <w:tabs>
        <w:tab w:val="center" w:pos="4153"/>
        <w:tab w:val="right" w:pos="8306"/>
      </w:tabs>
      <w:snapToGrid w:val="0"/>
      <w:jc w:val="left"/>
    </w:pPr>
    <w:rPr>
      <w:rFonts w:ascii="Calibri" w:hAnsi="Calibri" w:cs="Arial"/>
      <w:sz w:val="18"/>
      <w:szCs w:val="18"/>
    </w:rPr>
  </w:style>
  <w:style w:type="paragraph" w:styleId="9">
    <w:name w:val="Body Text First Indent 2"/>
    <w:qFormat/>
    <w:uiPriority w:val="0"/>
    <w:pPr>
      <w:widowControl w:val="0"/>
      <w:spacing w:after="120"/>
      <w:ind w:left="200" w:leftChars="200" w:firstLine="200" w:firstLineChars="200"/>
      <w:jc w:val="both"/>
    </w:pPr>
    <w:rPr>
      <w:rFonts w:ascii="仿宋_GB2312" w:hAnsi="Times New Roman" w:eastAsia="仿宋_GB2312" w:cs="Times New Roman"/>
      <w:kern w:val="2"/>
      <w:sz w:val="32"/>
      <w:szCs w:val="32"/>
      <w:lang w:val="en-US" w:eastAsia="zh-CN" w:bidi="ar-SA"/>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Strong"/>
    <w:basedOn w:val="12"/>
    <w:qFormat/>
    <w:uiPriority w:val="0"/>
    <w:rPr>
      <w:b/>
    </w:rPr>
  </w:style>
  <w:style w:type="character" w:customStyle="1" w:styleId="14">
    <w:name w:val="标题 1 Char"/>
    <w:basedOn w:val="12"/>
    <w:link w:val="3"/>
    <w:qFormat/>
    <w:uiPriority w:val="0"/>
    <w:rPr>
      <w:rFonts w:ascii="Times New Roman" w:hAnsi="Times New Roman" w:eastAsia="宋体" w:cs="Times New Roman"/>
      <w:b/>
      <w:bCs/>
      <w:kern w:val="44"/>
      <w:sz w:val="44"/>
      <w:szCs w:val="44"/>
      <w:lang w:val="en-US" w:eastAsia="zh-CN" w:bidi="ar-SA"/>
    </w:rPr>
  </w:style>
  <w:style w:type="paragraph" w:styleId="15">
    <w:name w:val="List Paragraph"/>
    <w:basedOn w:val="1"/>
    <w:qFormat/>
    <w:uiPriority w:val="0"/>
    <w:pPr>
      <w:ind w:firstLine="200" w:firstLineChars="200"/>
    </w:pPr>
  </w:style>
  <w:style w:type="paragraph" w:customStyle="1" w:styleId="16">
    <w:name w:val="正文2"/>
    <w:next w:val="1"/>
    <w:qFormat/>
    <w:uiPriority w:val="0"/>
    <w:pPr>
      <w:widowControl w:val="0"/>
      <w:jc w:val="both"/>
    </w:pPr>
    <w:rPr>
      <w:rFonts w:ascii="Times New Roman" w:hAnsi="Times New Roman" w:eastAsia="仿宋_GB2312" w:cs="Times New Roman"/>
      <w:kern w:val="2"/>
      <w:sz w:val="32"/>
      <w:szCs w:val="3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10</Pages>
  <Words>759</Words>
  <Characters>4330</Characters>
  <Lines>36</Lines>
  <Paragraphs>10</Paragraphs>
  <TotalTime>3</TotalTime>
  <ScaleCrop>false</ScaleCrop>
  <LinksUpToDate>false</LinksUpToDate>
  <CharactersWithSpaces>5079</CharactersWithSpaces>
  <Application>WPS Office_11.1.0.10702_F1E327BC-269C-435d-A152-05C5408002CA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2025-05-20T18:02:00Z</dcterms:created>
  <dc:creator>Sky123.Org</dc:creator>
  <cp:lastModifiedBy>user</cp:lastModifiedBy>
  <dcterms:modified xsi:type="dcterms:W3CDTF">2026-09-22T11:24:40Z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19031922F57719FD0BF5946A9E4BBDE6</vt:lpwstr>
  </property>
  <property fmtid="{D5CDD505-2E9C-101B-9397-08002B2CF9AE}" pid="4" name="KSOTemplateDocerSaveRecord">
    <vt:lpwstr>eyJoZGlkIjoiZTQ0NjgxNGZmMTFhZmQ2Yzk2ZTMyOTFmMjg3MThkM2YiLCJ1c2VySWQiOiIyMzYzNzMyOTYifQ==</vt:lpwstr>
  </property>
</Properties>
</file>