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方正小标宋_GBK" w:eastAsia="方正小标宋_GBK" w:cs="方正小标宋_GBK"/>
          <w:color w:val="FF0000"/>
          <w:w w:val="44"/>
          <w:sz w:val="144"/>
          <w:szCs w:val="144"/>
        </w:rPr>
      </w:pPr>
      <w:bookmarkStart w:id="1" w:name="_GoBack"/>
      <w:r>
        <w:rPr>
          <w:rFonts w:hint="eastAsia" w:ascii="方正小标宋_GBK" w:eastAsia="方正小标宋_GBK" w:cs="方正小标宋_GBK"/>
          <w:color w:val="FF0000"/>
          <w:w w:val="44"/>
          <w:sz w:val="144"/>
          <w:szCs w:val="144"/>
        </w:rPr>
        <w:t>黑水县石碉楼乡人民政府文件</w:t>
      </w:r>
    </w:p>
    <w:p>
      <w:pPr>
        <w:ind w:firstLine="320" w:firstLineChars="100"/>
        <w:rPr>
          <w:rFonts w:ascii="楷体_GB2312" w:eastAsia="楷体_GB2312" w:cs="楷体_GB2312"/>
          <w:color w:val="000000"/>
          <w:sz w:val="32"/>
          <w:szCs w:val="32"/>
        </w:rPr>
      </w:pPr>
      <w:r>
        <w:rPr>
          <w:rFonts w:ascii="楷体_GB2312" w:eastAsia="楷体_GB2312" w:cs="楷体_GB2312"/>
          <w:sz w:val="32"/>
        </w:rPr>
        <mc:AlternateContent>
          <mc:Choice Requires="wps">
            <w:drawing>
              <wp:anchor distT="0" distB="0" distL="113665" distR="113665" simplePos="0" relativeHeight="251659264" behindDoc="0" locked="0" layoutInCell="1" allowOverlap="1">
                <wp:simplePos x="0" y="0"/>
                <wp:positionH relativeFrom="column">
                  <wp:posOffset>37465</wp:posOffset>
                </wp:positionH>
                <wp:positionV relativeFrom="paragraph">
                  <wp:posOffset>386080</wp:posOffset>
                </wp:positionV>
                <wp:extent cx="5342255" cy="635"/>
                <wp:effectExtent l="0" t="0" r="0" b="0"/>
                <wp:wrapNone/>
                <wp:docPr id="1" name="直线 2"/>
                <wp:cNvGraphicFramePr/>
                <a:graphic xmlns:a="http://schemas.openxmlformats.org/drawingml/2006/main">
                  <a:graphicData uri="http://schemas.microsoft.com/office/word/2010/wordprocessingShape">
                    <wps:wsp>
                      <wps:cNvCnPr/>
                      <wps:spPr>
                        <a:xfrm>
                          <a:off x="0" y="0"/>
                          <a:ext cx="5342255" cy="635"/>
                        </a:xfrm>
                        <a:prstGeom prst="line">
                          <a:avLst/>
                        </a:prstGeom>
                        <a:noFill/>
                        <a:ln w="28575" cap="flat" cmpd="sng">
                          <a:solidFill>
                            <a:srgbClr val="FF0000"/>
                          </a:solidFill>
                          <a:prstDash val="solid"/>
                          <a:miter/>
                        </a:ln>
                      </wps:spPr>
                      <wps:bodyPr vert="horz" wrap="square" lIns="91440" tIns="45720" rIns="91440" bIns="45720" anchor="t" anchorCtr="0" upright="1">
                        <a:noAutofit/>
                      </wps:bodyPr>
                    </wps:wsp>
                  </a:graphicData>
                </a:graphic>
              </wp:anchor>
            </w:drawing>
          </mc:Choice>
          <mc:Fallback>
            <w:pict>
              <v:line id="直线 2" o:spid="_x0000_s1026" o:spt="20" style="position:absolute;left:0pt;margin-left:2.95pt;margin-top:30.4pt;height:0.05pt;width:420.65pt;z-index:251659264;mso-width-relative:page;mso-height-relative:page;" filled="f" stroked="t" coordsize="21600,21600" o:gfxdata="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WAAAAZHJzL1BLAQIUABQA&#10;AAAIAIdO4kBz9fqR2AAAAAcBAAAPAAAAAAAAAAEAIAAAADgAAABkcnMvZG93bnJldi54bWxQSwEC&#10;FAAUAAAACACHTuJAepGuMRcCAAAgBAAADgAAAAAAAAABACAAAAA9AQAAZHJzL2Uyb0RvYy54bWxQ&#10;SwUGAAAAAAYABgBZAQAAxgUAAAAA&#10;">
                <v:fill on="f" focussize="0,0"/>
                <v:stroke weight="2.25pt" color="#FF0000" joinstyle="miter"/>
                <v:imagedata o:title=""/>
                <o:lock v:ext="edit" aspectratio="f"/>
              </v:line>
            </w:pict>
          </mc:Fallback>
        </mc:AlternateContent>
      </w:r>
      <w:r>
        <w:rPr>
          <w:rFonts w:ascii="楷体_GB2312" w:eastAsia="楷体_GB2312" w:cs="楷体_GB2312"/>
          <w:color w:val="000000"/>
          <w:sz w:val="32"/>
          <w:szCs w:val="32"/>
        </w:rPr>
        <w:t>黑石府</w:t>
      </w:r>
      <w:r>
        <w:rPr>
          <w:rFonts w:hint="eastAsia" w:ascii="楷体_GB2312" w:eastAsia="楷体_GB2312" w:cs="楷体_GB2312"/>
          <w:color w:val="000000"/>
          <w:sz w:val="32"/>
          <w:szCs w:val="32"/>
        </w:rPr>
        <w:t>[</w:t>
      </w:r>
      <w:r>
        <w:rPr>
          <w:rFonts w:ascii="楷体_GB2312" w:eastAsia="楷体_GB2312" w:cs="楷体_GB2312"/>
          <w:color w:val="000000"/>
          <w:sz w:val="32"/>
          <w:szCs w:val="32"/>
        </w:rPr>
        <w:t>202</w:t>
      </w:r>
      <w:r>
        <w:rPr>
          <w:rFonts w:hint="eastAsia" w:ascii="楷体_GB2312" w:eastAsia="楷体_GB2312" w:cs="楷体_GB2312"/>
          <w:color w:val="000000"/>
          <w:sz w:val="32"/>
          <w:szCs w:val="32"/>
        </w:rPr>
        <w:t>5]6号               签发人：</w:t>
      </w:r>
      <w:r>
        <w:rPr>
          <w:rFonts w:ascii="楷体_GB2312" w:eastAsia="楷体_GB2312" w:cs="楷体_GB2312"/>
          <w:color w:val="000000"/>
          <w:sz w:val="32"/>
          <w:szCs w:val="32"/>
        </w:rPr>
        <w:t>银忠扎西</w:t>
      </w:r>
    </w:p>
    <w:p>
      <w:pPr>
        <w:spacing w:line="580" w:lineRule="exact"/>
        <w:jc w:val="center"/>
        <w:rPr>
          <w:rFonts w:ascii="方正小标宋简体" w:eastAsia="方正小标宋简体" w:cs="方正小标宋简体"/>
          <w:kern w:val="0"/>
          <w:sz w:val="44"/>
          <w:szCs w:val="44"/>
        </w:rPr>
      </w:pPr>
    </w:p>
    <w:p>
      <w:pPr>
        <w:spacing w:line="580" w:lineRule="exact"/>
        <w:jc w:val="center"/>
        <w:rPr>
          <w:rFonts w:ascii="方正小标宋简体" w:eastAsia="方正小标宋简体" w:cs="方正小标宋简体"/>
          <w:kern w:val="0"/>
          <w:sz w:val="36"/>
          <w:szCs w:val="36"/>
        </w:rPr>
      </w:pPr>
      <w:r>
        <w:rPr>
          <w:rFonts w:hint="eastAsia" w:ascii="方正小标宋简体" w:eastAsia="方正小标宋简体" w:cs="方正小标宋简体"/>
          <w:kern w:val="0"/>
          <w:sz w:val="36"/>
          <w:szCs w:val="36"/>
        </w:rPr>
        <w:t>2025年度石碉楼乡人民政府</w:t>
      </w:r>
    </w:p>
    <w:p>
      <w:pPr>
        <w:spacing w:line="580" w:lineRule="exact"/>
        <w:jc w:val="center"/>
        <w:rPr>
          <w:rFonts w:ascii="仿宋_GB2312" w:eastAsia="仿宋_GB2312" w:cs="方正小标宋简体"/>
          <w:b/>
          <w:sz w:val="24"/>
        </w:rPr>
      </w:pPr>
      <w:r>
        <w:rPr>
          <w:rFonts w:hint="eastAsia" w:ascii="方正小标宋简体" w:eastAsia="方正小标宋简体" w:cs="方正小标宋简体"/>
          <w:kern w:val="0"/>
          <w:sz w:val="36"/>
          <w:szCs w:val="36"/>
        </w:rPr>
        <w:t>关于黑水县石碉楼乡7.29泥石流避险场所应急改造项目支出绩效评价报告</w:t>
      </w:r>
    </w:p>
    <w:p>
      <w:pPr>
        <w:spacing w:line="580" w:lineRule="exact"/>
        <w:ind w:firstLine="640" w:firstLineChars="200"/>
        <w:rPr>
          <w:rFonts w:ascii="仿宋_GB2312" w:eastAsia="仿宋_GB2312" w:cs="仿宋_GB2312"/>
          <w:sz w:val="32"/>
          <w:szCs w:val="32"/>
        </w:rPr>
      </w:pPr>
    </w:p>
    <w:p>
      <w:pPr>
        <w:numPr>
          <w:ilvl w:val="0"/>
          <w:numId w:val="1"/>
        </w:numPr>
        <w:spacing w:line="580" w:lineRule="exact"/>
        <w:ind w:left="0" w:firstLine="640" w:firstLineChars="200"/>
        <w:rPr>
          <w:rFonts w:ascii="黑体" w:eastAsia="黑体" w:cs="黑体"/>
          <w:sz w:val="32"/>
          <w:szCs w:val="32"/>
        </w:rPr>
      </w:pPr>
      <w:r>
        <w:rPr>
          <w:rFonts w:hint="eastAsia" w:ascii="黑体" w:eastAsia="黑体" w:cs="黑体"/>
          <w:sz w:val="32"/>
          <w:szCs w:val="32"/>
        </w:rPr>
        <w:t>项目概况</w:t>
      </w:r>
    </w:p>
    <w:p>
      <w:pPr>
        <w:spacing w:line="580" w:lineRule="exact"/>
        <w:ind w:firstLine="642" w:firstLineChars="200"/>
        <w:rPr>
          <w:rFonts w:ascii="楷体_GB2312" w:eastAsia="楷体_GB2312"/>
          <w:b/>
          <w:sz w:val="32"/>
          <w:szCs w:val="32"/>
          <w:lang w:val="zh-CN"/>
        </w:rPr>
      </w:pPr>
      <w:r>
        <w:rPr>
          <w:rFonts w:hint="eastAsia" w:ascii="楷体_GB2312" w:eastAsia="楷体_GB2312"/>
          <w:b/>
          <w:sz w:val="32"/>
          <w:szCs w:val="32"/>
          <w:lang w:val="zh-CN"/>
        </w:rPr>
        <w:t>（一）设立背景及基本情况</w:t>
      </w:r>
    </w:p>
    <w:p>
      <w:pPr>
        <w:spacing w:line="58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黑水县石碉楼乡7.29泥石流避险场所应急改造项目，支出841526.58元。资金申报后在规定的时间内下发给我们单位，本单位也在规定时间内及时进行了支出。该项目均符合资金管理办法等相关规定。</w:t>
      </w:r>
    </w:p>
    <w:p>
      <w:pPr>
        <w:spacing w:line="580" w:lineRule="exact"/>
        <w:ind w:firstLine="642" w:firstLineChars="200"/>
        <w:rPr>
          <w:rFonts w:ascii="楷体_GB2312" w:eastAsia="楷体_GB2312"/>
          <w:b/>
          <w:sz w:val="32"/>
          <w:szCs w:val="32"/>
        </w:rPr>
      </w:pPr>
      <w:r>
        <w:rPr>
          <w:rFonts w:hint="eastAsia" w:ascii="楷体_GB2312" w:eastAsia="楷体_GB2312"/>
          <w:b/>
          <w:sz w:val="32"/>
          <w:szCs w:val="32"/>
          <w:lang w:val="zh-CN"/>
        </w:rPr>
        <w:t>（二）</w:t>
      </w:r>
      <w:r>
        <w:rPr>
          <w:rFonts w:ascii="楷体_GB2312" w:eastAsia="楷体_GB2312"/>
          <w:b/>
          <w:sz w:val="32"/>
          <w:szCs w:val="32"/>
        </w:rPr>
        <w:t>实施目的及支持方向</w:t>
      </w:r>
    </w:p>
    <w:p>
      <w:pPr>
        <w:spacing w:line="58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为确保黑水县石碉楼乡7.29泥石流避险场所应急改造项目经费规范管理和使用，充分发挥资金使用绩效，致力于做好绩效评价，为夯实党在基层执政的组织基础和群众基础，强化基层组织政治功能和服务功能，提高引领发展、服务群众的能力和水平，提供有力工作保障。</w:t>
      </w:r>
    </w:p>
    <w:p>
      <w:pPr>
        <w:spacing w:line="580" w:lineRule="exact"/>
        <w:ind w:firstLine="642" w:firstLineChars="200"/>
        <w:rPr>
          <w:rFonts w:ascii="楷体_GB2312" w:eastAsia="楷体_GB2312"/>
          <w:b/>
          <w:sz w:val="32"/>
          <w:szCs w:val="32"/>
          <w:lang w:val="zh-CN"/>
        </w:rPr>
      </w:pPr>
      <w:r>
        <w:rPr>
          <w:rFonts w:hint="eastAsia" w:ascii="楷体_GB2312" w:eastAsia="楷体_GB2312"/>
          <w:b/>
          <w:sz w:val="32"/>
          <w:szCs w:val="32"/>
          <w:lang w:val="zh-CN"/>
        </w:rPr>
        <w:t>（三）</w:t>
      </w:r>
      <w:r>
        <w:rPr>
          <w:rFonts w:ascii="楷体_GB2312" w:eastAsia="楷体_GB2312"/>
          <w:b/>
          <w:sz w:val="32"/>
          <w:szCs w:val="32"/>
        </w:rPr>
        <w:t>预算安排及分配管理</w:t>
      </w:r>
    </w:p>
    <w:p>
      <w:pPr>
        <w:adjustRightInd w:val="0"/>
        <w:snapToGrid w:val="0"/>
        <w:spacing w:line="520" w:lineRule="exact"/>
        <w:ind w:left="420" w:firstLine="640" w:firstLineChars="200"/>
        <w:rPr>
          <w:rFonts w:ascii="仿宋_GB2312" w:eastAsia="仿宋_GB2312" w:cs="仿宋_GB2312"/>
          <w:sz w:val="32"/>
          <w:szCs w:val="32"/>
        </w:rPr>
      </w:pPr>
      <w:r>
        <w:rPr>
          <w:rFonts w:hint="eastAsia" w:ascii="仿宋_GB2312" w:eastAsia="仿宋_GB2312" w:cs="仿宋_GB2312"/>
          <w:sz w:val="32"/>
          <w:szCs w:val="32"/>
        </w:rPr>
        <w:t>黑水县石碉楼乡7.29泥石流避险场所应急改造项目</w:t>
      </w:r>
      <w:r>
        <w:rPr>
          <w:rFonts w:hint="eastAsia" w:ascii="仿宋_GB2312" w:eastAsia="仿宋_GB2312" w:cs="仿宋_GB2312"/>
          <w:sz w:val="32"/>
          <w:szCs w:val="32"/>
          <w:lang w:val="zh-CN"/>
        </w:rPr>
        <w:t>，重点</w:t>
      </w:r>
      <w:r>
        <w:rPr>
          <w:rFonts w:hint="eastAsia" w:ascii="仿宋_GB2312" w:eastAsia="仿宋_GB2312" w:cs="仿宋_GB2312"/>
          <w:sz w:val="32"/>
          <w:szCs w:val="32"/>
        </w:rPr>
        <w:t>用于石碉楼泥石流避险场所。项目预算资金为：84.15万元，建设规模及内容：对闲置建筑室内进行地面、墙面及顶棚修缮，卫生间修复改造及相关设施配置。</w:t>
      </w:r>
    </w:p>
    <w:p>
      <w:pPr>
        <w:spacing w:line="580" w:lineRule="exact"/>
        <w:ind w:firstLine="642" w:firstLineChars="200"/>
        <w:rPr>
          <w:rFonts w:ascii="楷体_GB2312" w:eastAsia="楷体_GB2312"/>
          <w:b/>
          <w:sz w:val="32"/>
          <w:szCs w:val="32"/>
          <w:lang w:val="zh-CN"/>
        </w:rPr>
      </w:pPr>
      <w:r>
        <w:rPr>
          <w:rFonts w:hint="eastAsia" w:ascii="楷体_GB2312" w:eastAsia="楷体_GB2312"/>
          <w:b/>
          <w:sz w:val="32"/>
          <w:szCs w:val="32"/>
          <w:lang w:val="zh-CN"/>
        </w:rPr>
        <w:t>（四）项目绩效目标设置</w:t>
      </w:r>
    </w:p>
    <w:p>
      <w:pPr>
        <w:adjustRightInd w:val="0"/>
        <w:snapToGrid w:val="0"/>
        <w:spacing w:line="520" w:lineRule="exact"/>
        <w:ind w:left="420" w:firstLine="640" w:firstLineChars="200"/>
        <w:rPr>
          <w:rFonts w:ascii="仿宋_GB2312" w:eastAsia="仿宋_GB2312"/>
          <w:sz w:val="32"/>
          <w:szCs w:val="32"/>
        </w:rPr>
      </w:pPr>
      <w:r>
        <w:rPr>
          <w:rFonts w:ascii="仿宋_GB2312" w:eastAsia="仿宋_GB2312"/>
          <w:sz w:val="32"/>
          <w:szCs w:val="32"/>
        </w:rPr>
        <w:t>此项经费</w:t>
      </w:r>
      <w:r>
        <w:rPr>
          <w:rFonts w:hint="eastAsia" w:ascii="仿宋_GB2312" w:eastAsia="仿宋_GB2312"/>
          <w:sz w:val="32"/>
          <w:szCs w:val="32"/>
        </w:rPr>
        <w:t>用于：</w:t>
      </w:r>
      <w:r>
        <w:rPr>
          <w:rFonts w:hint="eastAsia" w:ascii="仿宋_GB2312" w:eastAsia="仿宋_GB2312" w:cs="仿宋_GB2312"/>
          <w:sz w:val="32"/>
          <w:szCs w:val="32"/>
        </w:rPr>
        <w:t>对闲置建筑室内进行地面、墙面及顶棚修缮，卫生间修复改造及相关设施配置。</w:t>
      </w:r>
    </w:p>
    <w:p>
      <w:pPr>
        <w:spacing w:line="580" w:lineRule="exact"/>
        <w:ind w:firstLine="640" w:firstLineChars="200"/>
        <w:rPr>
          <w:rFonts w:ascii="黑体" w:eastAsia="黑体" w:cs="黑体"/>
          <w:sz w:val="32"/>
          <w:szCs w:val="32"/>
        </w:rPr>
      </w:pPr>
      <w:r>
        <w:rPr>
          <w:rFonts w:hint="eastAsia" w:ascii="黑体" w:eastAsia="黑体" w:cs="黑体"/>
          <w:sz w:val="32"/>
          <w:szCs w:val="32"/>
        </w:rPr>
        <w:t>二、</w:t>
      </w:r>
      <w:r>
        <w:rPr>
          <w:rFonts w:ascii="黑体" w:eastAsia="黑体" w:cs="黑体"/>
          <w:sz w:val="32"/>
          <w:szCs w:val="32"/>
        </w:rPr>
        <w:t>评价实施</w:t>
      </w:r>
    </w:p>
    <w:p>
      <w:pPr>
        <w:spacing w:line="580" w:lineRule="exact"/>
        <w:ind w:firstLine="642" w:firstLineChars="200"/>
        <w:rPr>
          <w:rFonts w:ascii="楷体_GB2312" w:eastAsia="楷体_GB2312"/>
          <w:b/>
          <w:sz w:val="32"/>
          <w:szCs w:val="32"/>
          <w:lang w:val="zh-CN"/>
        </w:rPr>
      </w:pPr>
      <w:r>
        <w:rPr>
          <w:rFonts w:hint="eastAsia" w:ascii="楷体_GB2312" w:eastAsia="楷体_GB2312"/>
          <w:b/>
          <w:sz w:val="32"/>
          <w:szCs w:val="32"/>
          <w:lang w:val="zh-CN"/>
        </w:rPr>
        <w:t>（一）评价目的。</w:t>
      </w:r>
    </w:p>
    <w:p>
      <w:pPr>
        <w:spacing w:line="580" w:lineRule="exact"/>
        <w:ind w:firstLine="640" w:firstLineChars="200"/>
        <w:rPr>
          <w:rFonts w:ascii="楷体_GB2312" w:eastAsia="楷体_GB2312"/>
          <w:b/>
          <w:sz w:val="32"/>
          <w:szCs w:val="32"/>
          <w:lang w:val="zh-CN"/>
        </w:rPr>
      </w:pPr>
      <w:r>
        <w:rPr>
          <w:rFonts w:ascii="仿宋_GB2312" w:eastAsia="仿宋_GB2312"/>
          <w:sz w:val="32"/>
          <w:szCs w:val="32"/>
        </w:rPr>
        <w:t>为了进一步规范和加强预算绩效管理和专项资金管理，为项目设立和预算安排提供重要参考依据，提高预算编制科学性、合理性，优化财政支出结构，从源头上防控财政资源配置的低效无效，提高财政资源配置效率和财政资金使用效益，</w:t>
      </w:r>
      <w:r>
        <w:rPr>
          <w:rFonts w:hint="eastAsia" w:ascii="仿宋_GB2312" w:eastAsia="仿宋_GB2312"/>
          <w:sz w:val="32"/>
          <w:szCs w:val="32"/>
        </w:rPr>
        <w:t>黑水县财政局印发的《关于开展2026年县级部门预算绩效自评工作的通知》（黑财【2026】19号）的文件要求</w:t>
      </w:r>
      <w:r>
        <w:rPr>
          <w:rFonts w:ascii="仿宋_GB2312" w:eastAsia="仿宋_GB2312"/>
          <w:sz w:val="32"/>
          <w:szCs w:val="32"/>
        </w:rPr>
        <w:t>，要求各部门（单位）按照州财政局制定框架，建立涵盖项目决策、项目管理、项目实施、项目结果、民生保障五个板块，覆盖所有管理对象，贯穿绩效目标管理、事前评估、事中监控、事后评价以及绩效结果应用全过程的本部门的具体措施、实施细则和指标体系，形成全州全面实施预算绩效管理制度体系格局。通过本级评价总结经验，发现问题，提出改进建议，进一步提升加强项目支出绩效管理水平、提升预算管理水平、提升项目管理水平。</w:t>
      </w:r>
    </w:p>
    <w:p>
      <w:pPr>
        <w:spacing w:line="580" w:lineRule="exact"/>
        <w:ind w:firstLine="321" w:firstLineChars="100"/>
        <w:rPr>
          <w:rFonts w:ascii="仿宋_GB2312" w:eastAsia="仿宋_GB2312" w:cs="仿宋_GB2312"/>
          <w:sz w:val="32"/>
          <w:szCs w:val="32"/>
        </w:rPr>
      </w:pPr>
      <w:r>
        <w:rPr>
          <w:rFonts w:hint="eastAsia" w:ascii="楷体_GB2312" w:eastAsia="楷体_GB2312"/>
          <w:b/>
          <w:sz w:val="32"/>
          <w:szCs w:val="32"/>
          <w:lang w:val="zh-CN"/>
        </w:rPr>
        <w:t>（二）预设问题及评价重点。</w:t>
      </w:r>
    </w:p>
    <w:p>
      <w:pPr>
        <w:spacing w:line="580" w:lineRule="exact"/>
        <w:ind w:firstLine="480" w:firstLineChars="150"/>
        <w:rPr>
          <w:rFonts w:ascii="仿宋_GB2312" w:eastAsia="仿宋_GB2312" w:cs="仿宋_GB2312"/>
          <w:sz w:val="32"/>
          <w:szCs w:val="32"/>
        </w:rPr>
      </w:pPr>
      <w:r>
        <w:rPr>
          <w:rFonts w:ascii="仿宋_GB2312" w:eastAsia="仿宋_GB2312" w:cs="仿宋_GB2312"/>
          <w:sz w:val="32"/>
          <w:szCs w:val="32"/>
        </w:rPr>
        <w:t>本次评价主要针对该项目的规划编制内容完整性和项目实施工作的质量问题，结合该项目资金的使用情况来完整的体现。</w:t>
      </w:r>
    </w:p>
    <w:p>
      <w:pPr>
        <w:spacing w:line="580" w:lineRule="exact"/>
        <w:ind w:firstLine="321" w:firstLineChars="100"/>
        <w:rPr>
          <w:rFonts w:ascii="仿宋_GB2312" w:eastAsia="仿宋_GB2312" w:cs="仿宋_GB2312"/>
          <w:sz w:val="32"/>
          <w:szCs w:val="32"/>
        </w:rPr>
      </w:pPr>
      <w:r>
        <w:rPr>
          <w:rFonts w:hint="eastAsia" w:ascii="楷体_GB2312" w:eastAsia="楷体_GB2312"/>
          <w:b/>
          <w:sz w:val="32"/>
          <w:szCs w:val="32"/>
          <w:lang w:val="zh-CN"/>
        </w:rPr>
        <w:t>（三）评价选点。</w:t>
      </w:r>
    </w:p>
    <w:p>
      <w:pPr>
        <w:spacing w:line="580" w:lineRule="exact"/>
        <w:ind w:firstLine="480" w:firstLineChars="150"/>
        <w:rPr>
          <w:rFonts w:ascii="仿宋_GB2312" w:eastAsia="仿宋_GB2312" w:cs="仿宋_GB2312"/>
          <w:sz w:val="32"/>
          <w:szCs w:val="32"/>
        </w:rPr>
      </w:pPr>
      <w:r>
        <w:rPr>
          <w:rFonts w:hint="eastAsia" w:ascii="仿宋_GB2312" w:eastAsia="仿宋_GB2312" w:cs="仿宋_GB2312"/>
          <w:sz w:val="32"/>
          <w:szCs w:val="32"/>
        </w:rPr>
        <w:t>黑水县石碉楼乡7.29泥石流避险场所应急改造项目</w:t>
      </w:r>
      <w:r>
        <w:rPr>
          <w:rFonts w:ascii="仿宋_GB2312" w:eastAsia="仿宋_GB2312" w:cs="仿宋_GB2312"/>
          <w:sz w:val="32"/>
          <w:szCs w:val="32"/>
        </w:rPr>
        <w:t>主要开展工作地点为黑水县石碉楼乡</w:t>
      </w:r>
      <w:r>
        <w:rPr>
          <w:rFonts w:hint="eastAsia" w:ascii="仿宋_GB2312" w:eastAsia="仿宋_GB2312" w:cs="仿宋_GB2312"/>
          <w:sz w:val="32"/>
          <w:szCs w:val="32"/>
        </w:rPr>
        <w:t>原中心校</w:t>
      </w:r>
      <w:r>
        <w:rPr>
          <w:rFonts w:ascii="仿宋_GB2312" w:eastAsia="仿宋_GB2312" w:cs="仿宋_GB2312"/>
          <w:sz w:val="32"/>
          <w:szCs w:val="32"/>
        </w:rPr>
        <w:t>，本次绩效评价主体为黑水县石碉楼乡人民政府，项目不涉及其他点位。</w:t>
      </w:r>
    </w:p>
    <w:p>
      <w:pPr>
        <w:spacing w:line="580" w:lineRule="exact"/>
        <w:ind w:firstLine="321" w:firstLineChars="100"/>
        <w:rPr>
          <w:rFonts w:ascii="仿宋_GB2312" w:eastAsia="仿宋_GB2312" w:cs="仿宋_GB2312"/>
          <w:sz w:val="32"/>
          <w:szCs w:val="32"/>
        </w:rPr>
      </w:pPr>
      <w:r>
        <w:rPr>
          <w:rFonts w:hint="eastAsia" w:ascii="楷体_GB2312" w:eastAsia="楷体_GB2312"/>
          <w:b/>
          <w:sz w:val="32"/>
          <w:szCs w:val="32"/>
          <w:lang w:val="zh-CN"/>
        </w:rPr>
        <w:t>（四）评价方法。</w:t>
      </w:r>
    </w:p>
    <w:p>
      <w:pPr>
        <w:spacing w:line="580" w:lineRule="exact"/>
        <w:ind w:firstLine="480" w:firstLineChars="150"/>
        <w:rPr>
          <w:rFonts w:ascii="仿宋_GB2312" w:eastAsia="仿宋_GB2312" w:cs="仿宋_GB2312"/>
          <w:sz w:val="32"/>
          <w:szCs w:val="32"/>
        </w:rPr>
      </w:pPr>
      <w:r>
        <w:rPr>
          <w:rFonts w:ascii="仿宋_GB2312" w:eastAsia="仿宋_GB2312" w:cs="仿宋_GB2312"/>
          <w:sz w:val="32"/>
          <w:szCs w:val="32"/>
        </w:rPr>
        <w:t>采用先进的绩效评价方法和科学的数据分析是取得正确客观评价结论的重要保障，评价组从以下方法中择优组织，对项目实施评价，通过定量和定性分析得出评价结论。</w:t>
      </w:r>
    </w:p>
    <w:p>
      <w:pPr>
        <w:spacing w:line="580" w:lineRule="exact"/>
        <w:ind w:firstLine="480" w:firstLineChars="150"/>
        <w:rPr>
          <w:rFonts w:ascii="仿宋_GB2312" w:eastAsia="仿宋_GB2312" w:cs="仿宋_GB2312"/>
          <w:sz w:val="32"/>
          <w:szCs w:val="32"/>
        </w:rPr>
      </w:pPr>
      <w:r>
        <w:rPr>
          <w:rFonts w:ascii="仿宋_GB2312" w:eastAsia="仿宋_GB2312" w:cs="仿宋_GB2312"/>
          <w:sz w:val="32"/>
          <w:szCs w:val="32"/>
        </w:rPr>
        <w:t>1.比较分析法.是指通过对绩效目标与实施效果、历史与当前情况、不同部门和地区同类支出的比较，综合分析绩效目标实现程度。</w:t>
      </w:r>
    </w:p>
    <w:p>
      <w:pPr>
        <w:spacing w:line="580" w:lineRule="exact"/>
        <w:ind w:firstLine="480" w:firstLineChars="150"/>
        <w:rPr>
          <w:rFonts w:ascii="仿宋_GB2312" w:eastAsia="仿宋_GB2312" w:cs="仿宋_GB2312"/>
          <w:sz w:val="32"/>
          <w:szCs w:val="32"/>
        </w:rPr>
      </w:pPr>
      <w:r>
        <w:rPr>
          <w:rFonts w:ascii="仿宋_GB2312" w:eastAsia="仿宋_GB2312" w:cs="仿宋_GB2312"/>
          <w:sz w:val="32"/>
          <w:szCs w:val="32"/>
        </w:rPr>
        <w:t>2.因素分析法。是指通过综合分析影响绩效目标实现、实施效果的内外因素，评价绩效目标实现程度。</w:t>
      </w:r>
    </w:p>
    <w:p>
      <w:pPr>
        <w:spacing w:line="580" w:lineRule="exact"/>
        <w:ind w:firstLine="480" w:firstLineChars="150"/>
        <w:rPr>
          <w:rFonts w:ascii="仿宋_GB2312" w:eastAsia="仿宋_GB2312" w:cs="仿宋_GB2312"/>
          <w:sz w:val="32"/>
          <w:szCs w:val="32"/>
        </w:rPr>
      </w:pPr>
      <w:r>
        <w:rPr>
          <w:rFonts w:ascii="仿宋_GB2312" w:eastAsia="仿宋_GB2312" w:cs="仿宋_GB2312"/>
          <w:sz w:val="32"/>
          <w:szCs w:val="32"/>
        </w:rPr>
        <w:t>3.最低成本分析法。是指对效益确定却不易计量的多个同类对象的实施成本进行比较，评价绩效目标实现程度。</w:t>
      </w:r>
    </w:p>
    <w:p>
      <w:pPr>
        <w:spacing w:line="580" w:lineRule="exact"/>
        <w:ind w:firstLine="480" w:firstLineChars="150"/>
        <w:rPr>
          <w:rFonts w:ascii="仿宋_GB2312" w:eastAsia="仿宋_GB2312" w:cs="仿宋_GB2312"/>
          <w:sz w:val="32"/>
          <w:szCs w:val="32"/>
        </w:rPr>
      </w:pPr>
      <w:r>
        <w:rPr>
          <w:rFonts w:ascii="仿宋_GB2312" w:eastAsia="仿宋_GB2312" w:cs="仿宋_GB2312"/>
          <w:sz w:val="32"/>
          <w:szCs w:val="32"/>
        </w:rPr>
        <w:t>4.双重交叉分析法。是指通过对项目建设前后的比较，根据成效等方面去寻找和分析政策产生的影响。</w:t>
      </w:r>
    </w:p>
    <w:p>
      <w:pPr>
        <w:spacing w:line="580" w:lineRule="exact"/>
        <w:ind w:firstLine="480" w:firstLineChars="150"/>
        <w:rPr>
          <w:rFonts w:ascii="仿宋_GB2312" w:eastAsia="仿宋_GB2312" w:cs="仿宋_GB2312"/>
          <w:sz w:val="32"/>
          <w:szCs w:val="32"/>
        </w:rPr>
      </w:pPr>
      <w:r>
        <w:rPr>
          <w:rFonts w:ascii="仿宋_GB2312" w:eastAsia="仿宋_GB2312" w:cs="仿宋_GB2312"/>
          <w:sz w:val="32"/>
          <w:szCs w:val="32"/>
        </w:rPr>
        <w:t>5.随机访谈法。是指针对部门项目负责人及实施主题进行了访问和访谈，如项目实施情况的必要性、可行性和满意度等进行随机访谈。</w:t>
      </w:r>
    </w:p>
    <w:p>
      <w:pPr>
        <w:spacing w:line="580" w:lineRule="exact"/>
        <w:ind w:firstLine="481" w:firstLineChars="150"/>
        <w:rPr>
          <w:rFonts w:ascii="仿宋_GB2312" w:eastAsia="仿宋_GB2312" w:cs="仿宋_GB2312"/>
          <w:sz w:val="32"/>
          <w:szCs w:val="32"/>
        </w:rPr>
      </w:pPr>
      <w:r>
        <w:rPr>
          <w:rFonts w:hint="eastAsia" w:ascii="楷体_GB2312" w:eastAsia="楷体_GB2312"/>
          <w:b/>
          <w:sz w:val="32"/>
          <w:szCs w:val="32"/>
          <w:lang w:val="zh-CN"/>
        </w:rPr>
        <w:t>（五）评价组织。</w:t>
      </w:r>
    </w:p>
    <w:p>
      <w:pPr>
        <w:spacing w:line="580" w:lineRule="exact"/>
        <w:ind w:firstLine="480" w:firstLineChars="150"/>
        <w:rPr>
          <w:rFonts w:ascii="仿宋_GB2312" w:eastAsia="仿宋_GB2312" w:cs="仿宋_GB2312"/>
          <w:sz w:val="32"/>
          <w:szCs w:val="32"/>
        </w:rPr>
      </w:pPr>
      <w:r>
        <w:rPr>
          <w:rFonts w:hint="eastAsia" w:ascii="仿宋_GB2312" w:eastAsia="仿宋_GB2312" w:cs="仿宋_GB2312"/>
          <w:sz w:val="32"/>
          <w:szCs w:val="32"/>
        </w:rPr>
        <w:t>1.</w:t>
      </w:r>
      <w:r>
        <w:rPr>
          <w:rFonts w:ascii="仿宋_GB2312" w:eastAsia="仿宋_GB2312" w:cs="仿宋_GB2312"/>
          <w:sz w:val="32"/>
          <w:szCs w:val="32"/>
        </w:rPr>
        <w:t>领导小组职责：</w:t>
      </w:r>
    </w:p>
    <w:p>
      <w:pPr>
        <w:spacing w:line="580" w:lineRule="exact"/>
        <w:ind w:firstLine="480" w:firstLineChars="150"/>
        <w:rPr>
          <w:rFonts w:ascii="仿宋_GB2312" w:eastAsia="仿宋_GB2312" w:cs="仿宋_GB2312"/>
          <w:sz w:val="32"/>
          <w:szCs w:val="32"/>
        </w:rPr>
      </w:pPr>
      <w:r>
        <w:rPr>
          <w:rFonts w:hint="eastAsia" w:ascii="仿宋_GB2312" w:eastAsia="仿宋_GB2312" w:cs="仿宋_GB2312"/>
          <w:sz w:val="32"/>
          <w:szCs w:val="32"/>
        </w:rPr>
        <w:t>（1）</w:t>
      </w:r>
      <w:r>
        <w:rPr>
          <w:rFonts w:ascii="仿宋_GB2312" w:eastAsia="仿宋_GB2312" w:cs="仿宋_GB2312"/>
          <w:sz w:val="32"/>
          <w:szCs w:val="32"/>
        </w:rPr>
        <w:t>研究和决定同级政府公共事业管理绩效评价中的重大问题。</w:t>
      </w:r>
    </w:p>
    <w:p>
      <w:pPr>
        <w:spacing w:line="580" w:lineRule="exact"/>
        <w:ind w:firstLine="480" w:firstLineChars="150"/>
        <w:rPr>
          <w:rFonts w:ascii="仿宋_GB2312" w:eastAsia="仿宋_GB2312" w:cs="仿宋_GB2312"/>
          <w:sz w:val="32"/>
          <w:szCs w:val="32"/>
        </w:rPr>
      </w:pPr>
      <w:r>
        <w:rPr>
          <w:rFonts w:hint="eastAsia" w:ascii="仿宋_GB2312" w:eastAsia="仿宋_GB2312" w:cs="仿宋_GB2312"/>
          <w:sz w:val="32"/>
          <w:szCs w:val="32"/>
        </w:rPr>
        <w:t>（2）</w:t>
      </w:r>
      <w:r>
        <w:rPr>
          <w:rFonts w:ascii="仿宋_GB2312" w:eastAsia="仿宋_GB2312" w:cs="仿宋_GB2312"/>
          <w:sz w:val="32"/>
          <w:szCs w:val="32"/>
        </w:rPr>
        <w:t>组织协调绩效评价工作，确保评价的顺利进行。</w:t>
      </w:r>
    </w:p>
    <w:p>
      <w:pPr>
        <w:spacing w:line="580" w:lineRule="exact"/>
        <w:ind w:firstLine="480" w:firstLineChars="150"/>
        <w:rPr>
          <w:rFonts w:ascii="仿宋_GB2312" w:eastAsia="仿宋_GB2312" w:cs="仿宋_GB2312"/>
          <w:sz w:val="32"/>
          <w:szCs w:val="32"/>
        </w:rPr>
      </w:pPr>
      <w:r>
        <w:rPr>
          <w:rFonts w:hint="eastAsia" w:ascii="仿宋_GB2312" w:eastAsia="仿宋_GB2312" w:cs="仿宋_GB2312"/>
          <w:sz w:val="32"/>
          <w:szCs w:val="32"/>
        </w:rPr>
        <w:t>（3）</w:t>
      </w:r>
      <w:r>
        <w:rPr>
          <w:rFonts w:ascii="仿宋_GB2312" w:eastAsia="仿宋_GB2312" w:cs="仿宋_GB2312"/>
          <w:sz w:val="32"/>
          <w:szCs w:val="32"/>
        </w:rPr>
        <w:t>对各单位的工作目标、绩效考核结果和等次、奖惩方案进行审核，并报同级党委和政府审定。</w:t>
      </w:r>
    </w:p>
    <w:p>
      <w:pPr>
        <w:spacing w:line="580" w:lineRule="exact"/>
        <w:ind w:firstLine="480" w:firstLineChars="150"/>
        <w:rPr>
          <w:rFonts w:ascii="仿宋_GB2312" w:eastAsia="仿宋_GB2312" w:cs="仿宋_GB2312"/>
          <w:sz w:val="32"/>
          <w:szCs w:val="32"/>
        </w:rPr>
      </w:pPr>
      <w:r>
        <w:rPr>
          <w:rFonts w:hint="eastAsia" w:ascii="仿宋_GB2312" w:eastAsia="仿宋_GB2312" w:cs="仿宋_GB2312"/>
          <w:sz w:val="32"/>
          <w:szCs w:val="32"/>
        </w:rPr>
        <w:t>2.</w:t>
      </w:r>
      <w:r>
        <w:rPr>
          <w:rFonts w:ascii="仿宋_GB2312" w:eastAsia="仿宋_GB2312" w:cs="仿宋_GB2312"/>
          <w:sz w:val="32"/>
          <w:szCs w:val="32"/>
        </w:rPr>
        <w:t>办公室职责：</w:t>
      </w:r>
    </w:p>
    <w:p>
      <w:pPr>
        <w:spacing w:line="580" w:lineRule="exact"/>
        <w:ind w:firstLine="480" w:firstLineChars="150"/>
        <w:rPr>
          <w:rFonts w:ascii="仿宋_GB2312" w:eastAsia="仿宋_GB2312" w:cs="仿宋_GB2312"/>
          <w:sz w:val="32"/>
          <w:szCs w:val="32"/>
        </w:rPr>
      </w:pPr>
      <w:r>
        <w:rPr>
          <w:rFonts w:hint="eastAsia" w:ascii="仿宋_GB2312" w:eastAsia="仿宋_GB2312" w:cs="仿宋_GB2312"/>
          <w:sz w:val="32"/>
          <w:szCs w:val="32"/>
        </w:rPr>
        <w:t>（1）</w:t>
      </w:r>
      <w:r>
        <w:rPr>
          <w:rFonts w:ascii="仿宋_GB2312" w:eastAsia="仿宋_GB2312" w:cs="仿宋_GB2312"/>
          <w:sz w:val="32"/>
          <w:szCs w:val="32"/>
        </w:rPr>
        <w:t>提出全省（市、县）政府公共事业管理绩效评价的工作方案，并负责具体组织实施。</w:t>
      </w:r>
    </w:p>
    <w:p>
      <w:pPr>
        <w:spacing w:line="580" w:lineRule="exact"/>
        <w:ind w:firstLine="480" w:firstLineChars="150"/>
        <w:rPr>
          <w:rFonts w:ascii="仿宋_GB2312" w:eastAsia="仿宋_GB2312" w:cs="仿宋_GB2312"/>
          <w:sz w:val="32"/>
          <w:szCs w:val="32"/>
        </w:rPr>
      </w:pPr>
      <w:r>
        <w:rPr>
          <w:rFonts w:hint="eastAsia" w:ascii="仿宋_GB2312" w:eastAsia="仿宋_GB2312" w:cs="仿宋_GB2312"/>
          <w:sz w:val="32"/>
          <w:szCs w:val="32"/>
        </w:rPr>
        <w:t>（2）</w:t>
      </w:r>
      <w:r>
        <w:rPr>
          <w:rFonts w:ascii="仿宋_GB2312" w:eastAsia="仿宋_GB2312" w:cs="仿宋_GB2312"/>
          <w:sz w:val="32"/>
          <w:szCs w:val="32"/>
        </w:rPr>
        <w:t>综合评价信息，提出评价结果</w:t>
      </w:r>
      <w:r>
        <w:rPr>
          <w:rFonts w:hint="eastAsia" w:ascii="仿宋_GB2312" w:eastAsia="仿宋_GB2312" w:cs="仿宋_GB2312"/>
          <w:sz w:val="32"/>
          <w:szCs w:val="32"/>
        </w:rPr>
        <w:t>等</w:t>
      </w:r>
      <w:r>
        <w:rPr>
          <w:rFonts w:ascii="仿宋_GB2312" w:eastAsia="仿宋_GB2312" w:cs="仿宋_GB2312"/>
          <w:sz w:val="32"/>
          <w:szCs w:val="32"/>
        </w:rPr>
        <w:t>次认定方案及奖惩方案等。</w:t>
      </w:r>
    </w:p>
    <w:p>
      <w:pPr>
        <w:spacing w:line="580" w:lineRule="exact"/>
        <w:ind w:firstLine="480" w:firstLineChars="150"/>
        <w:rPr>
          <w:rFonts w:ascii="仿宋_GB2312" w:eastAsia="仿宋_GB2312" w:cs="仿宋_GB2312"/>
          <w:sz w:val="32"/>
          <w:szCs w:val="32"/>
        </w:rPr>
      </w:pPr>
      <w:r>
        <w:rPr>
          <w:rFonts w:hint="eastAsia" w:ascii="仿宋_GB2312" w:eastAsia="仿宋_GB2312" w:cs="仿宋_GB2312"/>
          <w:sz w:val="32"/>
          <w:szCs w:val="32"/>
        </w:rPr>
        <w:t>（3）</w:t>
      </w:r>
      <w:r>
        <w:rPr>
          <w:rFonts w:ascii="仿宋_GB2312" w:eastAsia="仿宋_GB2312" w:cs="仿宋_GB2312"/>
          <w:sz w:val="32"/>
          <w:szCs w:val="32"/>
        </w:rPr>
        <w:t>负责绩效评价的日常工作，包括宣传、沟通、协调等。</w:t>
      </w:r>
    </w:p>
    <w:p>
      <w:pPr>
        <w:spacing w:line="580" w:lineRule="exact"/>
        <w:ind w:firstLine="480" w:firstLineChars="150"/>
        <w:rPr>
          <w:rFonts w:ascii="仿宋_GB2312" w:eastAsia="仿宋_GB2312" w:cs="仿宋_GB2312"/>
          <w:sz w:val="32"/>
          <w:szCs w:val="32"/>
        </w:rPr>
      </w:pPr>
      <w:r>
        <w:rPr>
          <w:rFonts w:hint="eastAsia" w:ascii="仿宋_GB2312" w:eastAsia="仿宋_GB2312" w:cs="仿宋_GB2312"/>
          <w:sz w:val="32"/>
          <w:szCs w:val="32"/>
        </w:rPr>
        <w:t>（4）</w:t>
      </w:r>
      <w:r>
        <w:rPr>
          <w:rFonts w:ascii="仿宋_GB2312" w:eastAsia="仿宋_GB2312" w:cs="仿宋_GB2312"/>
          <w:sz w:val="32"/>
          <w:szCs w:val="32"/>
        </w:rPr>
        <w:t>根据评价结果撰写绩效评价报告，并递交给领导小组。</w:t>
      </w:r>
    </w:p>
    <w:p>
      <w:pPr>
        <w:spacing w:line="580" w:lineRule="exact"/>
        <w:ind w:firstLine="480" w:firstLineChars="150"/>
        <w:rPr>
          <w:rFonts w:ascii="仿宋_GB2312" w:eastAsia="仿宋_GB2312" w:cs="仿宋_GB2312"/>
          <w:sz w:val="32"/>
          <w:szCs w:val="32"/>
        </w:rPr>
      </w:pPr>
      <w:r>
        <w:rPr>
          <w:rFonts w:hint="eastAsia" w:ascii="仿宋_GB2312" w:eastAsia="仿宋_GB2312" w:cs="仿宋_GB2312"/>
          <w:sz w:val="32"/>
          <w:szCs w:val="32"/>
        </w:rPr>
        <w:t>3.</w:t>
      </w:r>
      <w:r>
        <w:rPr>
          <w:rFonts w:ascii="仿宋_GB2312" w:eastAsia="仿宋_GB2312" w:cs="仿宋_GB2312"/>
          <w:sz w:val="32"/>
          <w:szCs w:val="32"/>
        </w:rPr>
        <w:t>具体执行人员职责：</w:t>
      </w:r>
    </w:p>
    <w:p>
      <w:pPr>
        <w:spacing w:line="580" w:lineRule="exact"/>
        <w:ind w:firstLine="480" w:firstLineChars="150"/>
        <w:rPr>
          <w:rFonts w:ascii="仿宋_GB2312" w:eastAsia="仿宋_GB2312" w:cs="仿宋_GB2312"/>
          <w:sz w:val="32"/>
          <w:szCs w:val="32"/>
        </w:rPr>
      </w:pPr>
      <w:r>
        <w:rPr>
          <w:rFonts w:hint="eastAsia" w:ascii="仿宋_GB2312" w:eastAsia="仿宋_GB2312" w:cs="仿宋_GB2312"/>
          <w:sz w:val="32"/>
          <w:szCs w:val="32"/>
        </w:rPr>
        <w:t>（1）</w:t>
      </w:r>
      <w:r>
        <w:rPr>
          <w:rFonts w:ascii="仿宋_GB2312" w:eastAsia="仿宋_GB2312" w:cs="仿宋_GB2312"/>
          <w:sz w:val="32"/>
          <w:szCs w:val="32"/>
        </w:rPr>
        <w:t>组长：审批绩效自评方案，监督、检查、核实绩效自评结果。</w:t>
      </w:r>
    </w:p>
    <w:p>
      <w:pPr>
        <w:spacing w:line="580" w:lineRule="exact"/>
        <w:ind w:firstLine="480" w:firstLineChars="150"/>
        <w:rPr>
          <w:rFonts w:ascii="仿宋_GB2312" w:eastAsia="仿宋_GB2312" w:cs="仿宋_GB2312"/>
          <w:sz w:val="32"/>
          <w:szCs w:val="32"/>
        </w:rPr>
      </w:pPr>
      <w:r>
        <w:rPr>
          <w:rFonts w:hint="eastAsia" w:ascii="仿宋_GB2312" w:eastAsia="仿宋_GB2312" w:cs="仿宋_GB2312"/>
          <w:sz w:val="32"/>
          <w:szCs w:val="32"/>
        </w:rPr>
        <w:t>（2）</w:t>
      </w:r>
      <w:r>
        <w:rPr>
          <w:rFonts w:ascii="仿宋_GB2312" w:eastAsia="仿宋_GB2312" w:cs="仿宋_GB2312"/>
          <w:sz w:val="32"/>
          <w:szCs w:val="32"/>
        </w:rPr>
        <w:t>副组长：审核修改拟定的绩效自评方案，并提交考评工作组会议讨论通过；监督、部署、确认绩效自评过程及反馈意见的处理。</w:t>
      </w:r>
    </w:p>
    <w:p>
      <w:pPr>
        <w:spacing w:line="580" w:lineRule="exact"/>
        <w:ind w:firstLine="480" w:firstLineChars="150"/>
        <w:rPr>
          <w:rFonts w:ascii="仿宋_GB2312" w:eastAsia="仿宋_GB2312" w:cs="仿宋_GB2312"/>
          <w:sz w:val="32"/>
          <w:szCs w:val="32"/>
        </w:rPr>
      </w:pPr>
      <w:r>
        <w:rPr>
          <w:rFonts w:hint="eastAsia" w:ascii="仿宋_GB2312" w:eastAsia="仿宋_GB2312" w:cs="仿宋_GB2312"/>
          <w:sz w:val="32"/>
          <w:szCs w:val="32"/>
        </w:rPr>
        <w:t>（3）</w:t>
      </w:r>
      <w:r>
        <w:rPr>
          <w:rFonts w:ascii="仿宋_GB2312" w:eastAsia="仿宋_GB2312" w:cs="仿宋_GB2312"/>
          <w:sz w:val="32"/>
          <w:szCs w:val="32"/>
        </w:rPr>
        <w:t>小组成员：起草和修改绩效考评方案报自评领导工作组会议讨论通过，实施执行绩效自评方案；牵头组织并实施年度绩效自评，根据组长、副组长指示，对考评结果进行复核，完成绩效自核工作组安排的其他工作。</w:t>
      </w:r>
    </w:p>
    <w:p>
      <w:pPr>
        <w:spacing w:line="580" w:lineRule="exact"/>
        <w:ind w:firstLine="640" w:firstLineChars="200"/>
        <w:rPr>
          <w:rFonts w:ascii="黑体" w:eastAsia="黑体"/>
          <w:sz w:val="32"/>
          <w:szCs w:val="32"/>
        </w:rPr>
      </w:pPr>
      <w:r>
        <w:rPr>
          <w:rFonts w:hint="eastAsia" w:ascii="黑体" w:eastAsia="黑体"/>
          <w:sz w:val="32"/>
          <w:szCs w:val="32"/>
        </w:rPr>
        <w:t>三、绩效分析</w:t>
      </w:r>
    </w:p>
    <w:p>
      <w:pPr>
        <w:spacing w:line="578" w:lineRule="exact"/>
        <w:ind w:firstLine="640"/>
        <w:rPr>
          <w:rFonts w:ascii="仿宋_GB2312" w:eastAsia="仿宋_GB2312"/>
          <w:b/>
          <w:sz w:val="32"/>
          <w:szCs w:val="32"/>
        </w:rPr>
      </w:pPr>
      <w:r>
        <w:rPr>
          <w:rFonts w:hint="eastAsia" w:ascii="仿宋_GB2312" w:eastAsia="仿宋_GB2312"/>
          <w:b/>
          <w:sz w:val="32"/>
          <w:szCs w:val="32"/>
          <w:lang w:val="zh-CN"/>
        </w:rPr>
        <w:t>（一）</w:t>
      </w:r>
      <w:r>
        <w:rPr>
          <w:rFonts w:hint="eastAsia" w:ascii="仿宋_GB2312" w:eastAsia="仿宋_GB2312"/>
          <w:b/>
          <w:sz w:val="32"/>
          <w:szCs w:val="32"/>
        </w:rPr>
        <w:t>通用指标</w:t>
      </w:r>
      <w:r>
        <w:rPr>
          <w:rFonts w:hint="eastAsia" w:ascii="仿宋_GB2312" w:eastAsia="仿宋_GB2312"/>
          <w:b/>
          <w:bCs/>
          <w:color w:val="000000"/>
          <w:kern w:val="0"/>
          <w:sz w:val="32"/>
          <w:szCs w:val="32"/>
          <w:shd w:val="clear" w:color="auto" w:fill="FFFFFF"/>
          <w:lang w:val="zh-CN"/>
        </w:rPr>
        <w:t>绩效分析。</w:t>
      </w:r>
    </w:p>
    <w:p>
      <w:pPr>
        <w:spacing w:line="578" w:lineRule="exact"/>
        <w:ind w:firstLine="640"/>
        <w:rPr>
          <w:rFonts w:ascii="仿宋_GB2312" w:eastAsia="仿宋_GB2312"/>
          <w:sz w:val="32"/>
          <w:szCs w:val="32"/>
        </w:rPr>
      </w:pPr>
      <w:r>
        <w:rPr>
          <w:rFonts w:hint="eastAsia" w:ascii="仿宋_GB2312" w:eastAsia="仿宋_GB2312" w:cs="楷体_GB2312"/>
          <w:sz w:val="32"/>
          <w:szCs w:val="32"/>
        </w:rPr>
        <w:t>1.项目决策。</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（1）决策程序</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项目设立、调整延续等方面符合资金管理基本规范和决策程序要求，该项指标得分6分。</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（2）规划论证</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项目规划符合中央、省委省政府有关决策部署安排，项目充分评估论证了立项必要性、前瞻性、合理性和可行性。项目总体绩效目标设置合理性的偏离度≤15%，绩效目标科学合理、规范完整、量化细化、预算匹配，该项指标得分6分。</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（3）资金投向</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项目属于政府支持范围，且符合财政事权支出责任划分规定，资金投向与项目总体规划、相关行业事业发展相匹配，聚焦重大任务、重点领域、重点环节和重点项目，体现“集中财力办大事”原则，避免“撒胡椒面”，未与其他同类项目或部门内部相关项目交叉重复，该项指标得分6分。</w:t>
      </w:r>
    </w:p>
    <w:p>
      <w:pPr>
        <w:spacing w:line="578" w:lineRule="exact"/>
        <w:ind w:firstLine="640"/>
        <w:rPr>
          <w:rFonts w:ascii="仿宋_GB2312" w:eastAsia="仿宋_GB2312"/>
          <w:sz w:val="32"/>
          <w:szCs w:val="32"/>
        </w:rPr>
      </w:pPr>
      <w:r>
        <w:rPr>
          <w:rFonts w:hint="eastAsia" w:ascii="仿宋_GB2312" w:eastAsia="仿宋_GB2312" w:cs="楷体_GB2312"/>
          <w:sz w:val="32"/>
          <w:szCs w:val="32"/>
        </w:rPr>
        <w:t>2.项目管理。</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（1）制度办法</w:t>
      </w:r>
    </w:p>
    <w:p>
      <w:pPr>
        <w:adjustRightInd w:val="0"/>
        <w:snapToGrid w:val="0"/>
        <w:spacing w:line="578" w:lineRule="exact"/>
        <w:ind w:firstLine="640" w:firstLineChars="200"/>
        <w:rPr>
          <w:rFonts w:ascii="仿宋_GB2312" w:eastAsia="仿宋_GB2312"/>
          <w:kern w:val="0"/>
          <w:sz w:val="32"/>
          <w:szCs w:val="32"/>
        </w:rPr>
      </w:pPr>
      <w:r>
        <w:rPr>
          <w:rFonts w:ascii="仿宋_GB2312" w:eastAsia="仿宋_GB2312"/>
          <w:kern w:val="0"/>
          <w:sz w:val="32"/>
          <w:szCs w:val="32"/>
        </w:rPr>
        <w:t>资金管理办法等管理制度体系健全完善，不存在管理制度缺失、管理办法过期情况，该项指标得分2分。</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（2）分配管理</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资金分配因素选取充分考虑了相关行业事业发展实际和发展需求，资金分配因素的权重设置有效突出了项目实施重点，资金区域分布结果公平合理，建设了项目储备库，实行了入库项目动态管理、推动了资金竞争性分配，明确了项目申报审核程序，按规定程序履行了项目审批，资金分配依据充分合理，资金分配严格按管理办法执行，决策程序符合管理要求，及时高效，该项指标得10分。</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（3）绩效监管</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项目按</w:t>
      </w:r>
      <w:r>
        <w:rPr>
          <w:rFonts w:hint="default" w:ascii="仿宋_GB2312" w:eastAsia="仿宋_GB2312"/>
          <w:kern w:val="0"/>
          <w:sz w:val="32"/>
          <w:szCs w:val="32"/>
        </w:rPr>
        <w:t>中央、省委</w:t>
      </w:r>
      <w:r>
        <w:rPr>
          <w:rFonts w:hint="eastAsia" w:ascii="仿宋_GB2312" w:eastAsia="仿宋_GB2312"/>
          <w:kern w:val="0"/>
          <w:sz w:val="32"/>
          <w:szCs w:val="32"/>
        </w:rPr>
        <w:t>要求全面完成绩效目标（含事前评估）、绩效评价、以前年度问题整改等预算绩效管理工作；省级部门对市县主管部门预算绩效管理要求到位，不存在对市县资金分配和项目管理指导力度不够的情况，对市县开展了评价、监督、指导等工作，该项指标得分6分。</w:t>
      </w:r>
    </w:p>
    <w:p>
      <w:pPr>
        <w:spacing w:line="578" w:lineRule="exact"/>
        <w:ind w:left="420" w:leftChars="200"/>
        <w:rPr>
          <w:rFonts w:ascii="仿宋_GB2312" w:eastAsia="仿宋_GB2312"/>
          <w:sz w:val="32"/>
          <w:szCs w:val="32"/>
        </w:rPr>
      </w:pPr>
      <w:r>
        <w:rPr>
          <w:rFonts w:hint="eastAsia" w:ascii="仿宋_GB2312" w:eastAsia="仿宋_GB2312" w:cs="楷体_GB2312"/>
          <w:sz w:val="32"/>
          <w:szCs w:val="32"/>
        </w:rPr>
        <w:t>3.项目实施。</w:t>
      </w:r>
      <w:r>
        <w:rPr>
          <w:rFonts w:hint="eastAsia" w:ascii="仿宋_GB2312" w:eastAsia="仿宋_GB2312"/>
          <w:sz w:val="32"/>
          <w:szCs w:val="32"/>
        </w:rPr>
        <w:t>围绕、进行绩效分析。</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（1）预算执行</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财政资金已按照要求拨付完毕，拨付率100%，该项指标得分=财政资金拨付率×100%×6得6分。</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（2）资金使用</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项目资金使用、拨付符合国家财经法规、财务管理制度及有关专项资金管理制度办法规定和审批程序，不存在超范围、超标准、超进度使用专项资金，不存在资金损失浪费、长期沉淀、截留、挤占、挪用、虚列支出等情况，项目实施遵守相关法律法规，该项指标得分3分。</w:t>
      </w:r>
    </w:p>
    <w:p>
      <w:pPr>
        <w:spacing w:line="578" w:lineRule="exact"/>
        <w:ind w:left="420" w:leftChars="200"/>
        <w:rPr>
          <w:rFonts w:ascii="仿宋_GB2312" w:eastAsia="仿宋_GB2312"/>
          <w:sz w:val="32"/>
          <w:szCs w:val="32"/>
        </w:rPr>
      </w:pPr>
      <w:r>
        <w:rPr>
          <w:rFonts w:hint="eastAsia" w:ascii="仿宋_GB2312" w:eastAsia="仿宋_GB2312" w:cs="楷体_GB2312"/>
          <w:sz w:val="32"/>
          <w:szCs w:val="32"/>
        </w:rPr>
        <w:t>4.项目结果。</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（1）目标完成</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项目完成预期目标，实施结果与绩效目标相匹配，该项指标得分6分。</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（2）完成时效</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项目实际完成时间与计划完成时间相符，该项指标得分3分。</w:t>
      </w:r>
    </w:p>
    <w:p>
      <w:pPr>
        <w:spacing w:line="578" w:lineRule="exact"/>
        <w:ind w:firstLine="642" w:firstLineChars="200"/>
        <w:rPr>
          <w:rFonts w:ascii="仿宋_GB2312" w:eastAsia="仿宋_GB2312" w:cs="楷体_GB2312"/>
          <w:sz w:val="32"/>
          <w:szCs w:val="32"/>
        </w:rPr>
      </w:pPr>
      <w:r>
        <w:rPr>
          <w:rFonts w:hint="eastAsia" w:ascii="仿宋_GB2312" w:eastAsia="仿宋_GB2312"/>
          <w:b/>
          <w:sz w:val="32"/>
          <w:szCs w:val="32"/>
          <w:lang w:val="zh-CN"/>
        </w:rPr>
        <w:t>（二）</w:t>
      </w:r>
      <w:r>
        <w:rPr>
          <w:rFonts w:hint="eastAsia" w:ascii="仿宋_GB2312" w:eastAsia="仿宋_GB2312"/>
          <w:b/>
          <w:sz w:val="32"/>
          <w:szCs w:val="32"/>
        </w:rPr>
        <w:t>专用指标绩效分析，基础设施-建成项目。</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项目验收合格：项目经济社会功能实现预期；项目后续维护实现。搞项目指标得分26分。</w:t>
      </w:r>
    </w:p>
    <w:p>
      <w:pPr>
        <w:spacing w:line="578" w:lineRule="exact"/>
        <w:ind w:firstLine="640"/>
        <w:rPr>
          <w:rFonts w:ascii="仿宋_GB2312" w:eastAsia="仿宋_GB2312"/>
          <w:sz w:val="32"/>
          <w:szCs w:val="32"/>
        </w:rPr>
      </w:pPr>
      <w:r>
        <w:rPr>
          <w:rFonts w:hint="eastAsia" w:ascii="仿宋_GB2312" w:eastAsia="仿宋_GB2312"/>
          <w:b/>
          <w:sz w:val="32"/>
          <w:szCs w:val="32"/>
          <w:lang w:val="zh-CN"/>
        </w:rPr>
        <w:t>（三）</w:t>
      </w:r>
      <w:r>
        <w:rPr>
          <w:rFonts w:hint="eastAsia" w:ascii="仿宋_GB2312" w:eastAsia="仿宋_GB2312"/>
          <w:b/>
          <w:sz w:val="32"/>
          <w:szCs w:val="32"/>
        </w:rPr>
        <w:t>个性指标</w:t>
      </w:r>
      <w:r>
        <w:rPr>
          <w:rFonts w:hint="eastAsia" w:ascii="仿宋_GB2312" w:eastAsia="仿宋_GB2312"/>
          <w:b/>
          <w:bCs/>
          <w:color w:val="000000"/>
          <w:kern w:val="0"/>
          <w:sz w:val="32"/>
          <w:szCs w:val="32"/>
          <w:shd w:val="clear" w:color="auto" w:fill="FFFFFF"/>
          <w:lang w:val="zh-CN"/>
        </w:rPr>
        <w:t>绩效分析。</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项目</w:t>
      </w:r>
      <w:r>
        <w:rPr>
          <w:rFonts w:ascii="仿宋_GB2312" w:eastAsia="仿宋_GB2312"/>
          <w:kern w:val="0"/>
          <w:sz w:val="32"/>
          <w:szCs w:val="32"/>
        </w:rPr>
        <w:t>满意度高，成本控制合理性强，</w:t>
      </w:r>
      <w:r>
        <w:rPr>
          <w:rFonts w:hint="eastAsia" w:ascii="仿宋_GB2312" w:eastAsia="仿宋_GB2312"/>
          <w:kern w:val="0"/>
          <w:sz w:val="32"/>
          <w:szCs w:val="32"/>
        </w:rPr>
        <w:t>该项指标得分16分。</w:t>
      </w:r>
    </w:p>
    <w:p>
      <w:pPr>
        <w:spacing w:line="580" w:lineRule="exact"/>
        <w:ind w:firstLine="640" w:firstLineChars="200"/>
        <w:rPr>
          <w:rFonts w:ascii="黑体" w:eastAsia="黑体"/>
          <w:sz w:val="32"/>
          <w:szCs w:val="32"/>
        </w:rPr>
      </w:pPr>
      <w:r>
        <w:rPr>
          <w:rFonts w:hint="eastAsia" w:ascii="黑体" w:eastAsia="黑体"/>
          <w:sz w:val="32"/>
          <w:szCs w:val="32"/>
        </w:rPr>
        <w:t>四、评价结论</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我单位严格按照绩效自评工作要求，秉承客观公正、实事求是的原则开展了黑水县石碉楼乡7.29泥石流避险场所应急改造项目支出绩效自评工作，经对各类指标进行评分和汇总分析，黑水县石碉楼乡7.29泥石流避险场所应急改造项目支出绩效评价综合得分96分。评价结果显示，黑水县石碉楼乡7.29泥石流避险场所应急改造项目按照相关规定进行使用和管理，程序较为规范，项目支出使用效益达到预期。</w:t>
      </w:r>
    </w:p>
    <w:p>
      <w:pPr>
        <w:spacing w:line="580" w:lineRule="exact"/>
        <w:ind w:firstLine="640" w:firstLineChars="200"/>
        <w:rPr>
          <w:rFonts w:ascii="黑体" w:eastAsia="黑体"/>
          <w:sz w:val="32"/>
          <w:szCs w:val="32"/>
        </w:rPr>
      </w:pPr>
      <w:r>
        <w:rPr>
          <w:rFonts w:hint="eastAsia" w:ascii="黑体" w:eastAsia="黑体"/>
          <w:sz w:val="32"/>
          <w:szCs w:val="32"/>
        </w:rPr>
        <w:t>五、存在主要问题</w:t>
      </w:r>
    </w:p>
    <w:p>
      <w:pPr>
        <w:adjustRightInd w:val="0"/>
        <w:snapToGrid w:val="0"/>
        <w:spacing w:line="578" w:lineRule="exact"/>
        <w:ind w:firstLine="640" w:firstLineChars="200"/>
        <w:rPr>
          <w:rFonts w:ascii="仿宋_GB2312" w:eastAsia="仿宋_GB2312"/>
          <w:kern w:val="0"/>
          <w:sz w:val="32"/>
          <w:szCs w:val="32"/>
        </w:rPr>
      </w:pPr>
      <w:r>
        <w:rPr>
          <w:rFonts w:ascii="仿宋_GB2312" w:eastAsia="仿宋_GB2312"/>
          <w:kern w:val="0"/>
          <w:sz w:val="32"/>
          <w:szCs w:val="32"/>
        </w:rPr>
        <w:t>1.</w:t>
      </w:r>
      <w:r>
        <w:rPr>
          <w:rFonts w:hint="eastAsia" w:ascii="仿宋_GB2312" w:eastAsia="仿宋_GB2312"/>
          <w:kern w:val="0"/>
          <w:sz w:val="32"/>
          <w:szCs w:val="32"/>
        </w:rPr>
        <w:t>项目管理相关制度待完善</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项目管理制度不健全，不符合县财政局内部控制相关的要求。项目未提供相关项目管理制度，如项目管理等相关内控管理制度，无法考量项目管理制度是否符合上位法和项目实际、项目管理是否符合制度。</w:t>
      </w:r>
    </w:p>
    <w:p>
      <w:pPr>
        <w:pStyle w:val="14"/>
        <w:ind w:firstLine="640" w:firstLineChars="200"/>
        <w:rPr>
          <w:rFonts w:ascii="仿宋_GB2312"/>
        </w:rPr>
      </w:pPr>
      <w:r>
        <w:rPr>
          <w:rFonts w:ascii="仿宋_GB2312"/>
          <w:kern w:val="0"/>
        </w:rPr>
        <w:t>2.</w:t>
      </w:r>
      <w:r>
        <w:rPr>
          <w:rFonts w:hint="eastAsia" w:ascii="仿宋_GB2312"/>
          <w:kern w:val="0"/>
        </w:rPr>
        <w:t>支出进度不达标，因天气原因需要停工，所以前期支付进度不达标。</w:t>
      </w:r>
    </w:p>
    <w:p>
      <w:pPr>
        <w:spacing w:line="580" w:lineRule="exact"/>
        <w:ind w:firstLine="640" w:firstLineChars="200"/>
        <w:rPr>
          <w:rFonts w:ascii="黑体" w:eastAsia="黑体"/>
          <w:sz w:val="32"/>
          <w:szCs w:val="32"/>
          <w:lang w:val="zh-CN"/>
        </w:rPr>
      </w:pPr>
      <w:r>
        <w:rPr>
          <w:rFonts w:hint="eastAsia" w:ascii="黑体" w:eastAsia="黑体"/>
          <w:sz w:val="32"/>
          <w:szCs w:val="32"/>
          <w:lang w:val="zh-CN"/>
        </w:rPr>
        <w:t>六、改进建议</w:t>
      </w:r>
    </w:p>
    <w:p>
      <w:pPr>
        <w:adjustRightInd w:val="0"/>
        <w:snapToGrid w:val="0"/>
        <w:spacing w:line="578" w:lineRule="exact"/>
        <w:ind w:firstLine="640" w:firstLineChars="200"/>
        <w:rPr>
          <w:rFonts w:ascii="仿宋_GB2312" w:eastAsia="仿宋_GB2312"/>
          <w:kern w:val="0"/>
          <w:sz w:val="32"/>
          <w:szCs w:val="32"/>
        </w:rPr>
      </w:pPr>
      <w:bookmarkStart w:id="0" w:name="_Hlk110546638"/>
      <w:r>
        <w:rPr>
          <w:rFonts w:hint="eastAsia" w:ascii="仿宋_GB2312" w:eastAsia="仿宋_GB2312"/>
          <w:kern w:val="0"/>
          <w:sz w:val="32"/>
          <w:szCs w:val="32"/>
        </w:rPr>
        <w:t>建议项目单位按照县财政局对内部控制的要求，加强项目管理相关的内控制度建设，对项目管理配套的内部管理相关制度进行完善，进一步提高项目管理的内部控制，为项目实施和完成提供保障。进一步加快支付进度。</w:t>
      </w:r>
      <w:bookmarkEnd w:id="0"/>
    </w:p>
    <w:p>
      <w:pPr>
        <w:adjustRightInd w:val="0"/>
        <w:snapToGrid w:val="0"/>
        <w:spacing w:line="578" w:lineRule="exact"/>
        <w:ind w:firstLine="640" w:firstLineChars="200"/>
        <w:jc w:val="right"/>
        <w:rPr>
          <w:rFonts w:ascii="仿宋_GB2312" w:eastAsia="仿宋_GB2312"/>
          <w:kern w:val="0"/>
          <w:sz w:val="32"/>
          <w:szCs w:val="32"/>
        </w:rPr>
      </w:pP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color w:val="000000"/>
          <w:kern w:val="0"/>
          <w:sz w:val="32"/>
          <w:szCs w:val="32"/>
          <w:shd w:val="clear" w:color="auto" w:fill="FFFFFF"/>
        </w:rPr>
        <w:t>附表：</w:t>
      </w:r>
      <w:r>
        <w:rPr>
          <w:rFonts w:ascii="仿宋_GB2312" w:eastAsia="仿宋_GB2312"/>
          <w:kern w:val="0"/>
          <w:sz w:val="32"/>
          <w:szCs w:val="32"/>
        </w:rPr>
        <w:t>1.</w:t>
      </w:r>
      <w:r>
        <w:rPr>
          <w:rFonts w:hint="eastAsia" w:ascii="仿宋_GB2312" w:eastAsia="仿宋_GB2312"/>
          <w:kern w:val="0"/>
          <w:sz w:val="32"/>
          <w:szCs w:val="32"/>
        </w:rPr>
        <w:t>专项</w:t>
      </w:r>
      <w:r>
        <w:rPr>
          <w:rFonts w:ascii="仿宋_GB2312" w:eastAsia="仿宋_GB2312"/>
          <w:kern w:val="0"/>
          <w:sz w:val="32"/>
          <w:szCs w:val="32"/>
        </w:rPr>
        <w:t>预算绩效自评打分表</w:t>
      </w:r>
    </w:p>
    <w:p>
      <w:pPr>
        <w:adjustRightInd w:val="0"/>
        <w:snapToGrid w:val="0"/>
        <w:spacing w:line="578" w:lineRule="exact"/>
        <w:ind w:firstLine="640" w:firstLineChars="200"/>
        <w:rPr>
          <w:rFonts w:ascii="仿宋_GB2312" w:eastAsia="仿宋_GB2312"/>
          <w:kern w:val="0"/>
          <w:sz w:val="32"/>
          <w:szCs w:val="32"/>
        </w:rPr>
      </w:pPr>
      <w:r>
        <w:rPr>
          <w:rFonts w:ascii="仿宋_GB2312" w:eastAsia="仿宋_GB2312"/>
          <w:kern w:val="0"/>
          <w:sz w:val="32"/>
          <w:szCs w:val="32"/>
        </w:rPr>
        <w:t>2.专项预算绩效自评实地踏勘点位清单表</w:t>
      </w:r>
    </w:p>
    <w:p>
      <w:pPr>
        <w:adjustRightInd w:val="0"/>
        <w:snapToGrid w:val="0"/>
        <w:spacing w:line="578" w:lineRule="exact"/>
        <w:ind w:firstLine="640" w:firstLineChars="200"/>
        <w:rPr>
          <w:rFonts w:ascii="仿宋_GB2312" w:eastAsia="仿宋_GB2312"/>
          <w:color w:val="000000"/>
          <w:kern w:val="0"/>
          <w:sz w:val="32"/>
          <w:szCs w:val="32"/>
          <w:shd w:val="clear" w:color="auto" w:fill="FFFFFF"/>
        </w:rPr>
      </w:pPr>
      <w:r>
        <w:rPr>
          <w:rFonts w:hint="eastAsia" w:ascii="仿宋_GB2312" w:eastAsia="仿宋_GB2312"/>
          <w:kern w:val="0"/>
          <w:sz w:val="32"/>
          <w:szCs w:val="32"/>
        </w:rPr>
        <w:t xml:space="preserve">      3.</w:t>
      </w:r>
      <w:r>
        <w:rPr>
          <w:rFonts w:ascii="仿宋_GB2312" w:eastAsia="仿宋_GB2312"/>
          <w:kern w:val="0"/>
          <w:sz w:val="32"/>
          <w:szCs w:val="32"/>
        </w:rPr>
        <w:t>专项预算项目绩效目标完成情况自评表</w:t>
      </w:r>
    </w:p>
    <w:p>
      <w:pPr>
        <w:snapToGrid w:val="0"/>
        <w:spacing w:line="578" w:lineRule="exact"/>
        <w:ind w:firstLine="1600" w:firstLineChars="500"/>
        <w:rPr>
          <w:rFonts w:ascii="仿宋_GB2312" w:eastAsia="仿宋_GB2312"/>
          <w:color w:val="000000"/>
          <w:kern w:val="0"/>
          <w:sz w:val="32"/>
          <w:szCs w:val="32"/>
          <w:shd w:val="clear" w:color="auto" w:fill="FFFFFF"/>
        </w:rPr>
      </w:pPr>
    </w:p>
    <w:p>
      <w:pPr>
        <w:snapToGrid w:val="0"/>
        <w:spacing w:line="578" w:lineRule="exact"/>
        <w:ind w:firstLine="1600" w:firstLineChars="500"/>
        <w:rPr>
          <w:rFonts w:ascii="仿宋_GB2312" w:eastAsia="仿宋_GB2312"/>
          <w:color w:val="000000"/>
          <w:kern w:val="0"/>
          <w:sz w:val="32"/>
          <w:szCs w:val="32"/>
          <w:shd w:val="clear" w:color="auto" w:fill="FFFFFF"/>
        </w:rPr>
      </w:pPr>
    </w:p>
    <w:p>
      <w:pPr>
        <w:adjustRightInd w:val="0"/>
        <w:snapToGrid w:val="0"/>
        <w:spacing w:line="578" w:lineRule="exact"/>
        <w:ind w:firstLine="640" w:firstLineChars="200"/>
        <w:jc w:val="right"/>
        <w:rPr>
          <w:rFonts w:ascii="仿宋_GB2312" w:eastAsia="仿宋_GB2312"/>
          <w:kern w:val="0"/>
          <w:sz w:val="32"/>
          <w:szCs w:val="32"/>
        </w:rPr>
      </w:pPr>
      <w:r>
        <w:rPr>
          <w:rFonts w:ascii="仿宋_GB2312" w:eastAsia="仿宋_GB2312"/>
          <w:kern w:val="0"/>
          <w:sz w:val="32"/>
          <w:szCs w:val="32"/>
        </w:rPr>
        <w:t>石碉楼乡人民政府</w:t>
      </w:r>
    </w:p>
    <w:p>
      <w:pPr>
        <w:adjustRightInd w:val="0"/>
        <w:snapToGrid w:val="0"/>
        <w:spacing w:line="578" w:lineRule="exact"/>
        <w:ind w:firstLine="640" w:firstLineChars="200"/>
        <w:jc w:val="right"/>
        <w:rPr>
          <w:rFonts w:ascii="仿宋_GB2312" w:eastAsia="仿宋_GB2312"/>
          <w:kern w:val="0"/>
          <w:sz w:val="32"/>
          <w:szCs w:val="32"/>
        </w:rPr>
      </w:pPr>
      <w:r>
        <w:rPr>
          <w:rFonts w:hint="eastAsia" w:ascii="仿宋_GB2312" w:eastAsia="仿宋_GB2312"/>
          <w:kern w:val="0"/>
          <w:sz w:val="32"/>
          <w:szCs w:val="32"/>
        </w:rPr>
        <w:t>2026</w:t>
      </w:r>
      <w:r>
        <w:rPr>
          <w:rFonts w:ascii="仿宋_GB2312" w:eastAsia="仿宋_GB2312"/>
          <w:kern w:val="0"/>
          <w:sz w:val="32"/>
          <w:szCs w:val="32"/>
        </w:rPr>
        <w:t>年</w:t>
      </w:r>
      <w:r>
        <w:rPr>
          <w:rFonts w:hint="eastAsia" w:ascii="仿宋_GB2312" w:eastAsia="仿宋_GB2312"/>
          <w:kern w:val="0"/>
          <w:sz w:val="32"/>
          <w:szCs w:val="32"/>
        </w:rPr>
        <w:t>3</w:t>
      </w:r>
      <w:r>
        <w:rPr>
          <w:rFonts w:ascii="仿宋_GB2312" w:eastAsia="仿宋_GB2312"/>
          <w:kern w:val="0"/>
          <w:sz w:val="32"/>
          <w:szCs w:val="32"/>
        </w:rPr>
        <w:t>月</w:t>
      </w:r>
      <w:r>
        <w:rPr>
          <w:rFonts w:hint="eastAsia" w:ascii="仿宋_GB2312" w:eastAsia="仿宋_GB2312"/>
          <w:kern w:val="0"/>
          <w:sz w:val="32"/>
          <w:szCs w:val="32"/>
        </w:rPr>
        <w:t>27</w:t>
      </w:r>
      <w:r>
        <w:rPr>
          <w:rFonts w:ascii="仿宋_GB2312" w:eastAsia="仿宋_GB2312"/>
          <w:kern w:val="0"/>
          <w:sz w:val="32"/>
          <w:szCs w:val="32"/>
        </w:rPr>
        <w:t>日</w:t>
      </w:r>
    </w:p>
    <w:p/>
    <w:p>
      <w:pPr>
        <w:spacing w:line="576" w:lineRule="exact"/>
        <w:rPr>
          <w:rFonts w:ascii="仿宋_GB2312" w:eastAsia="仿宋_GB2312" w:cs="仿宋_GB2312"/>
          <w:bCs/>
          <w:sz w:val="32"/>
          <w:szCs w:val="32"/>
        </w:rPr>
      </w:pPr>
    </w:p>
    <w:p>
      <w:pPr>
        <w:pBdr>
          <w:top w:val="single" w:color="auto" w:sz="6" w:space="1"/>
          <w:bottom w:val="single" w:color="auto" w:sz="6" w:space="1"/>
        </w:pBdr>
        <w:rPr>
          <w:rFonts w:ascii="黑体" w:eastAsia="黑体" w:cs="黑体"/>
          <w:kern w:val="0"/>
          <w:sz w:val="32"/>
          <w:szCs w:val="32"/>
          <w:shd w:val="clear" w:color="auto" w:fill="FFFFFF"/>
          <w:lang w:val="zh-CN"/>
        </w:rPr>
      </w:pPr>
      <w:r>
        <w:rPr>
          <w:rFonts w:hint="eastAsia" w:ascii="仿宋" w:eastAsia="仿宋" w:cs="仿宋"/>
          <w:sz w:val="32"/>
          <w:szCs w:val="32"/>
        </w:rPr>
        <w:t>石碉楼乡人民政府                   2026年3月27日</w:t>
      </w:r>
    </w:p>
    <w:p/>
    <w:p>
      <w:pPr>
        <w:snapToGrid w:val="0"/>
        <w:spacing w:line="578" w:lineRule="exact"/>
        <w:rPr>
          <w:rFonts w:eastAsia="黑体"/>
          <w:kern w:val="0"/>
          <w:sz w:val="32"/>
          <w:szCs w:val="32"/>
          <w:shd w:val="clear" w:color="auto" w:fill="FFFFFF"/>
        </w:rPr>
      </w:pPr>
      <w:r>
        <w:rPr>
          <w:rFonts w:hint="eastAsia"/>
          <w:color w:val="000000"/>
          <w:kern w:val="0"/>
          <w:shd w:val="clear" w:color="auto" w:fill="FFFFFF"/>
          <w:lang w:val="zh-CN"/>
        </w:rPr>
        <w:br w:type="page"/>
      </w:r>
      <w:r>
        <w:rPr>
          <w:rFonts w:eastAsia="黑体"/>
          <w:kern w:val="0"/>
          <w:sz w:val="32"/>
          <w:szCs w:val="32"/>
          <w:shd w:val="clear" w:color="auto" w:fill="FFFFFF"/>
          <w:lang w:val="zh-CN"/>
        </w:rPr>
        <w:t>附表</w:t>
      </w:r>
      <w:r>
        <w:rPr>
          <w:rFonts w:eastAsia="黑体"/>
          <w:kern w:val="0"/>
          <w:sz w:val="32"/>
          <w:szCs w:val="32"/>
          <w:shd w:val="clear" w:color="auto" w:fill="FFFFFF"/>
        </w:rPr>
        <w:t>1</w:t>
      </w:r>
    </w:p>
    <w:p>
      <w:pPr>
        <w:spacing w:line="578" w:lineRule="exact"/>
        <w:jc w:val="center"/>
        <w:rPr>
          <w:rFonts w:eastAsia="方正小标宋_GBK"/>
          <w:sz w:val="40"/>
          <w:szCs w:val="40"/>
        </w:rPr>
      </w:pPr>
      <w:r>
        <w:rPr>
          <w:rFonts w:hint="eastAsia" w:eastAsia="方正小标宋_GBK"/>
          <w:sz w:val="40"/>
          <w:szCs w:val="40"/>
        </w:rPr>
        <w:t>专项</w:t>
      </w:r>
      <w:r>
        <w:rPr>
          <w:rFonts w:eastAsia="方正小标宋_GBK"/>
          <w:sz w:val="40"/>
          <w:szCs w:val="40"/>
        </w:rPr>
        <w:t>预算绩效自评打分表</w:t>
      </w:r>
    </w:p>
    <w:tbl>
      <w:tblPr>
        <w:tblStyle w:val="10"/>
        <w:tblW w:w="109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0"/>
        <w:gridCol w:w="765"/>
        <w:gridCol w:w="825"/>
        <w:gridCol w:w="1355"/>
        <w:gridCol w:w="696"/>
        <w:gridCol w:w="5340"/>
        <w:gridCol w:w="732"/>
        <w:gridCol w:w="4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4361" w:type="dxa"/>
            <w:gridSpan w:val="5"/>
            <w:tcBorders>
              <w:top w:val="single" w:color="000000" w:sz="4" w:space="0"/>
              <w:left w:val="single" w:color="000000" w:sz="4" w:space="0"/>
              <w:bottom w:val="nil"/>
              <w:right w:val="nil"/>
            </w:tcBorders>
            <w:noWrap/>
            <w:vAlign w:val="center"/>
          </w:tcPr>
          <w:p>
            <w:pPr>
              <w:widowControl/>
              <w:spacing w:line="240" w:lineRule="exact"/>
              <w:jc w:val="center"/>
              <w:textAlignment w:val="center"/>
              <w:rPr>
                <w:rFonts w:ascii="黑体" w:eastAsia="黑体" w:cs="黑体"/>
                <w:color w:val="000000"/>
                <w:sz w:val="24"/>
              </w:rPr>
            </w:pPr>
            <w:r>
              <w:rPr>
                <w:rFonts w:hint="eastAsia" w:ascii="黑体" w:eastAsia="黑体" w:cs="黑体"/>
                <w:color w:val="000000"/>
                <w:kern w:val="0"/>
                <w:sz w:val="24"/>
              </w:rPr>
              <w:t>绩效评价指标</w:t>
            </w:r>
          </w:p>
        </w:tc>
        <w:tc>
          <w:tcPr>
            <w:tcW w:w="5340"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黑体" w:eastAsia="黑体" w:cs="黑体"/>
                <w:color w:val="000000"/>
                <w:sz w:val="24"/>
              </w:rPr>
            </w:pPr>
            <w:r>
              <w:rPr>
                <w:rFonts w:hint="eastAsia" w:ascii="黑体" w:eastAsia="黑体" w:cs="黑体"/>
                <w:color w:val="000000"/>
                <w:kern w:val="0"/>
                <w:sz w:val="24"/>
              </w:rPr>
              <w:t>指标解释</w:t>
            </w:r>
          </w:p>
        </w:tc>
        <w:tc>
          <w:tcPr>
            <w:tcW w:w="732" w:type="dxa"/>
            <w:vMerge w:val="restart"/>
            <w:tcBorders>
              <w:top w:val="single" w:color="000000" w:sz="4" w:space="0"/>
              <w:left w:val="single" w:color="000000" w:sz="4" w:space="0"/>
              <w:right w:val="single" w:color="000000" w:sz="4" w:space="0"/>
            </w:tcBorders>
            <w:noWrap/>
            <w:vAlign w:val="center"/>
          </w:tcPr>
          <w:p>
            <w:pPr>
              <w:widowControl/>
              <w:spacing w:line="240" w:lineRule="exact"/>
              <w:jc w:val="center"/>
              <w:textAlignment w:val="center"/>
              <w:rPr>
                <w:rFonts w:ascii="黑体" w:eastAsia="黑体" w:cs="黑体"/>
                <w:color w:val="000000"/>
                <w:kern w:val="0"/>
                <w:sz w:val="24"/>
              </w:rPr>
            </w:pPr>
            <w:r>
              <w:rPr>
                <w:rFonts w:hint="eastAsia" w:ascii="黑体" w:eastAsia="黑体" w:cs="黑体"/>
                <w:color w:val="000000"/>
                <w:kern w:val="0"/>
                <w:sz w:val="24"/>
              </w:rPr>
              <w:t>自评得分</w:t>
            </w:r>
          </w:p>
        </w:tc>
        <w:tc>
          <w:tcPr>
            <w:tcW w:w="468" w:type="dxa"/>
            <w:vMerge w:val="restart"/>
            <w:tcBorders>
              <w:top w:val="single" w:color="000000" w:sz="4" w:space="0"/>
              <w:left w:val="single" w:color="000000" w:sz="4" w:space="0"/>
              <w:right w:val="single" w:color="000000" w:sz="4" w:space="0"/>
            </w:tcBorders>
            <w:noWrap/>
            <w:vAlign w:val="center"/>
          </w:tcPr>
          <w:p>
            <w:pPr>
              <w:widowControl/>
              <w:spacing w:line="240" w:lineRule="exact"/>
              <w:jc w:val="center"/>
              <w:textAlignment w:val="center"/>
              <w:rPr>
                <w:rFonts w:ascii="黑体" w:eastAsia="黑体" w:cs="黑体"/>
                <w:color w:val="000000"/>
                <w:kern w:val="0"/>
                <w:sz w:val="24"/>
              </w:rPr>
            </w:pPr>
            <w:r>
              <w:rPr>
                <w:rFonts w:hint="eastAsia" w:ascii="黑体" w:eastAsia="黑体" w:cs="黑体"/>
                <w:color w:val="000000"/>
                <w:kern w:val="0"/>
                <w:sz w:val="24"/>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黑体" w:eastAsia="黑体" w:cs="黑体"/>
                <w:color w:val="000000"/>
                <w:sz w:val="24"/>
              </w:rPr>
            </w:pPr>
            <w:r>
              <w:rPr>
                <w:rFonts w:hint="eastAsia" w:ascii="黑体" w:eastAsia="黑体" w:cs="黑体"/>
                <w:color w:val="000000"/>
                <w:kern w:val="0"/>
                <w:sz w:val="24"/>
              </w:rPr>
              <w:t>一级指标</w:t>
            </w:r>
          </w:p>
        </w:tc>
        <w:tc>
          <w:tcPr>
            <w:tcW w:w="1590"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黑体" w:eastAsia="黑体" w:cs="黑体"/>
                <w:color w:val="000000"/>
                <w:sz w:val="24"/>
              </w:rPr>
            </w:pPr>
            <w:r>
              <w:rPr>
                <w:rFonts w:hint="eastAsia" w:ascii="黑体" w:eastAsia="黑体" w:cs="黑体"/>
                <w:color w:val="000000"/>
                <w:kern w:val="0"/>
                <w:sz w:val="24"/>
              </w:rPr>
              <w:t>二级指标</w:t>
            </w: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黑体" w:eastAsia="黑体" w:cs="黑体"/>
                <w:color w:val="000000"/>
                <w:sz w:val="24"/>
              </w:rPr>
            </w:pPr>
            <w:r>
              <w:rPr>
                <w:rFonts w:hint="eastAsia" w:ascii="黑体" w:eastAsia="黑体" w:cs="黑体"/>
                <w:color w:val="000000"/>
                <w:kern w:val="0"/>
                <w:sz w:val="24"/>
              </w:rPr>
              <w:t>三级指标</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黑体" w:eastAsia="黑体" w:cs="黑体"/>
                <w:color w:val="000000"/>
                <w:sz w:val="24"/>
              </w:rPr>
            </w:pPr>
            <w:r>
              <w:rPr>
                <w:rFonts w:hint="eastAsia" w:ascii="黑体" w:eastAsia="黑体" w:cs="黑体"/>
                <w:color w:val="000000"/>
                <w:kern w:val="0"/>
                <w:sz w:val="24"/>
              </w:rPr>
              <w:t>指标</w:t>
            </w:r>
            <w:r>
              <w:rPr>
                <w:rFonts w:hint="eastAsia" w:ascii="黑体" w:eastAsia="黑体" w:cs="黑体"/>
                <w:color w:val="000000"/>
                <w:kern w:val="0"/>
                <w:sz w:val="24"/>
              </w:rPr>
              <w:br w:type="textWrapping"/>
            </w:r>
            <w:r>
              <w:rPr>
                <w:rFonts w:hint="eastAsia" w:ascii="黑体" w:eastAsia="黑体" w:cs="黑体"/>
                <w:color w:val="000000"/>
                <w:kern w:val="0"/>
                <w:sz w:val="24"/>
              </w:rPr>
              <w:t>分值</w:t>
            </w:r>
          </w:p>
        </w:tc>
        <w:tc>
          <w:tcPr>
            <w:tcW w:w="534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732" w:type="dxa"/>
            <w:vMerge w:val="continue"/>
            <w:tcBorders>
              <w:left w:val="single" w:color="000000" w:sz="4" w:space="0"/>
              <w:bottom w:val="single" w:color="000000" w:sz="4" w:space="0"/>
              <w:right w:val="single" w:color="000000" w:sz="4" w:space="0"/>
            </w:tcBorders>
            <w:noWrap/>
            <w:vAlign w:val="center"/>
          </w:tcPr>
          <w:p/>
        </w:tc>
        <w:tc>
          <w:tcPr>
            <w:tcW w:w="468" w:type="dxa"/>
            <w:vMerge w:val="continue"/>
            <w:tcBorders>
              <w:left w:val="single" w:color="000000" w:sz="4" w:space="0"/>
              <w:bottom w:val="single" w:color="000000" w:sz="4" w:space="0"/>
              <w:right w:val="single" w:color="000000" w:sz="4" w:space="0"/>
            </w:tcBorders>
            <w:noWrap/>
            <w:vAlign w:val="center"/>
          </w:tc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b/>
                <w:color w:val="000000"/>
                <w:sz w:val="24"/>
              </w:rPr>
            </w:pPr>
            <w:r>
              <w:rPr>
                <w:rFonts w:hint="eastAsia" w:ascii="宋体" w:cs="宋体"/>
                <w:b/>
                <w:color w:val="000000"/>
                <w:kern w:val="0"/>
                <w:sz w:val="24"/>
              </w:rPr>
              <w:t>通用指标</w:t>
            </w:r>
            <w:r>
              <w:rPr>
                <w:rFonts w:hint="eastAsia" w:ascii="宋体" w:cs="宋体"/>
                <w:b/>
                <w:color w:val="000000"/>
                <w:kern w:val="0"/>
                <w:sz w:val="24"/>
              </w:rPr>
              <w:br w:type="textWrapping"/>
            </w:r>
            <w:r>
              <w:rPr>
                <w:rFonts w:hint="eastAsia" w:ascii="宋体" w:cs="宋体"/>
                <w:b/>
                <w:color w:val="000000"/>
                <w:kern w:val="0"/>
                <w:sz w:val="24"/>
              </w:rPr>
              <w:t>（54分）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b/>
                <w:color w:val="000000"/>
                <w:sz w:val="24"/>
              </w:rPr>
            </w:pPr>
            <w:r>
              <w:rPr>
                <w:rFonts w:hint="eastAsia" w:ascii="宋体" w:cs="宋体"/>
                <w:b/>
                <w:color w:val="000000"/>
                <w:kern w:val="0"/>
                <w:sz w:val="24"/>
              </w:rPr>
              <w:t>项目决策</w:t>
            </w:r>
            <w:r>
              <w:rPr>
                <w:rFonts w:hint="eastAsia" w:ascii="宋体" w:cs="宋体"/>
                <w:b/>
                <w:color w:val="000000"/>
                <w:kern w:val="0"/>
                <w:sz w:val="24"/>
              </w:rPr>
              <w:br w:type="textWrapping"/>
            </w:r>
            <w:r>
              <w:rPr>
                <w:rFonts w:hint="eastAsia" w:ascii="宋体" w:cs="宋体"/>
                <w:b/>
                <w:color w:val="000000"/>
                <w:kern w:val="0"/>
                <w:sz w:val="24"/>
              </w:rPr>
              <w:t>（18分）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决策程序</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6</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项目决策程序是否严密</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r>
              <w:rPr>
                <w:rFonts w:hint="eastAsia" w:ascii="宋体" w:cs="宋体"/>
                <w:color w:val="000000"/>
                <w:kern w:val="0"/>
                <w:sz w:val="24"/>
              </w:rPr>
              <w:t>6</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规划论证</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6</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项目规划论证是否符合</w:t>
            </w:r>
            <w:r>
              <w:rPr>
                <w:rFonts w:hint="default" w:ascii="宋体" w:cs="宋体"/>
                <w:color w:val="000000"/>
                <w:kern w:val="0"/>
                <w:sz w:val="24"/>
              </w:rPr>
              <w:t>中央、省委</w:t>
            </w:r>
            <w:r>
              <w:rPr>
                <w:rFonts w:hint="eastAsia" w:ascii="宋体" w:cs="宋体"/>
                <w:color w:val="000000"/>
                <w:kern w:val="0"/>
                <w:sz w:val="24"/>
              </w:rPr>
              <w:t>要求，项目绩效目标设置是否科学合理</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r>
              <w:rPr>
                <w:rFonts w:hint="eastAsia" w:ascii="宋体" w:cs="宋体"/>
                <w:color w:val="000000"/>
                <w:kern w:val="0"/>
                <w:sz w:val="24"/>
              </w:rPr>
              <w:t>6</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资金投向</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6</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项目资金是否与项目总体规划、相关行业事业发展相匹配，是否聚焦重大任务、重点领域、重点环节和重点项目</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r>
              <w:rPr>
                <w:rFonts w:hint="eastAsia" w:ascii="宋体" w:cs="宋体"/>
                <w:color w:val="000000"/>
                <w:kern w:val="0"/>
                <w:sz w:val="24"/>
              </w:rPr>
              <w:t>6</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b/>
                <w:color w:val="000000"/>
                <w:sz w:val="24"/>
              </w:rPr>
            </w:pPr>
            <w:r>
              <w:rPr>
                <w:rFonts w:hint="eastAsia" w:ascii="宋体" w:cs="宋体"/>
                <w:b/>
                <w:color w:val="000000"/>
                <w:kern w:val="0"/>
                <w:sz w:val="24"/>
              </w:rPr>
              <w:t>项目管理</w:t>
            </w:r>
            <w:r>
              <w:rPr>
                <w:rFonts w:hint="eastAsia" w:ascii="宋体" w:cs="宋体"/>
                <w:b/>
                <w:color w:val="000000"/>
                <w:kern w:val="0"/>
                <w:sz w:val="24"/>
              </w:rPr>
              <w:br w:type="textWrapping"/>
            </w:r>
            <w:r>
              <w:rPr>
                <w:rFonts w:hint="eastAsia" w:ascii="宋体" w:cs="宋体"/>
                <w:b/>
                <w:color w:val="000000"/>
                <w:kern w:val="0"/>
                <w:sz w:val="24"/>
              </w:rPr>
              <w:t>（18分）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制度办法</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2</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项目制度办法是否体系健全、要素完备</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r>
              <w:rPr>
                <w:rFonts w:hint="eastAsia" w:ascii="宋体" w:cs="宋体"/>
                <w:color w:val="000000"/>
                <w:kern w:val="0"/>
                <w:sz w:val="24"/>
              </w:rPr>
              <w:t>2</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分配管理</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项目资金分配因素选取、权重设置、区域分布，项目管理、审批是否符合管理要求</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r>
              <w:rPr>
                <w:rFonts w:hint="eastAsia" w:ascii="宋体" w:cs="宋体"/>
                <w:color w:val="000000"/>
                <w:kern w:val="0"/>
                <w:sz w:val="24"/>
              </w:rPr>
              <w:t>10</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绩效监管</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6</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管资金、项目、政策是否管绩效，项目绩效监管是否按要求开展，对下指导是否有力有效</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r>
              <w:rPr>
                <w:rFonts w:hint="eastAsia" w:ascii="宋体" w:cs="宋体"/>
                <w:color w:val="000000"/>
                <w:kern w:val="0"/>
                <w:sz w:val="24"/>
              </w:rPr>
              <w:t>6</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b/>
                <w:color w:val="000000"/>
                <w:sz w:val="24"/>
              </w:rPr>
            </w:pPr>
            <w:r>
              <w:rPr>
                <w:rFonts w:hint="eastAsia" w:ascii="宋体" w:cs="宋体"/>
                <w:b/>
                <w:color w:val="000000"/>
                <w:kern w:val="0"/>
                <w:sz w:val="24"/>
              </w:rPr>
              <w:t>项目实施</w:t>
            </w:r>
            <w:r>
              <w:rPr>
                <w:rFonts w:hint="eastAsia" w:ascii="宋体" w:cs="宋体"/>
                <w:b/>
                <w:color w:val="000000"/>
                <w:kern w:val="0"/>
                <w:sz w:val="24"/>
              </w:rPr>
              <w:br w:type="textWrapping"/>
            </w:r>
            <w:r>
              <w:rPr>
                <w:rFonts w:hint="eastAsia" w:ascii="宋体" w:cs="宋体"/>
                <w:b/>
                <w:color w:val="000000"/>
                <w:kern w:val="0"/>
                <w:sz w:val="24"/>
              </w:rPr>
              <w:t>（9分）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预算执行</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6</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项目资金财政拨付、单位执行和地方配套到位情况</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r>
              <w:rPr>
                <w:rFonts w:hint="eastAsia" w:ascii="宋体" w:cs="宋体"/>
                <w:color w:val="000000"/>
                <w:kern w:val="0"/>
                <w:sz w:val="24"/>
              </w:rPr>
              <w:t>6</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1"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资金使用</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3</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资金使用拨付、项目实施是否符合规定</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r>
              <w:rPr>
                <w:rFonts w:hint="eastAsia" w:ascii="宋体" w:cs="宋体"/>
                <w:color w:val="000000"/>
                <w:kern w:val="0"/>
                <w:sz w:val="24"/>
              </w:rPr>
              <w:t>3</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b/>
                <w:color w:val="000000"/>
                <w:sz w:val="24"/>
              </w:rPr>
            </w:pPr>
            <w:r>
              <w:rPr>
                <w:rFonts w:hint="eastAsia" w:ascii="宋体" w:cs="宋体"/>
                <w:b/>
                <w:color w:val="000000"/>
                <w:kern w:val="0"/>
                <w:sz w:val="24"/>
              </w:rPr>
              <w:t>项目结果</w:t>
            </w:r>
            <w:r>
              <w:rPr>
                <w:rFonts w:hint="eastAsia" w:ascii="宋体" w:cs="宋体"/>
                <w:b/>
                <w:color w:val="000000"/>
                <w:kern w:val="0"/>
                <w:sz w:val="24"/>
              </w:rPr>
              <w:br w:type="textWrapping"/>
            </w:r>
            <w:r>
              <w:rPr>
                <w:rFonts w:hint="eastAsia" w:ascii="宋体" w:cs="宋体"/>
                <w:b/>
                <w:color w:val="000000"/>
                <w:kern w:val="0"/>
                <w:sz w:val="24"/>
              </w:rPr>
              <w:t>（9分）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目标完成</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6</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项目是否完成预期目标，实施结果是否与绩效目标相匹配，反映目标实现程度</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r>
              <w:rPr>
                <w:rFonts w:hint="eastAsia" w:ascii="宋体" w:cs="宋体"/>
                <w:color w:val="000000"/>
                <w:kern w:val="0"/>
                <w:sz w:val="24"/>
              </w:rPr>
              <w:t>6</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完成时效</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3</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项目实际完成时间与计划完成时间的比较</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r>
              <w:rPr>
                <w:rFonts w:hint="eastAsia" w:ascii="宋体" w:cs="宋体"/>
                <w:color w:val="000000"/>
                <w:kern w:val="0"/>
                <w:sz w:val="24"/>
              </w:rPr>
              <w:t>3</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b/>
                <w:color w:val="000000"/>
                <w:sz w:val="24"/>
              </w:rPr>
            </w:pPr>
            <w:r>
              <w:rPr>
                <w:rFonts w:hint="eastAsia" w:ascii="宋体" w:cs="宋体"/>
                <w:b/>
                <w:color w:val="000000"/>
                <w:kern w:val="0"/>
                <w:sz w:val="24"/>
              </w:rPr>
              <w:t>专用指标</w:t>
            </w:r>
            <w:r>
              <w:rPr>
                <w:rFonts w:hint="eastAsia" w:ascii="宋体" w:cs="宋体"/>
                <w:b/>
                <w:color w:val="000000"/>
                <w:kern w:val="0"/>
                <w:sz w:val="24"/>
              </w:rPr>
              <w:br w:type="textWrapping"/>
            </w:r>
            <w:r>
              <w:rPr>
                <w:rFonts w:hint="eastAsia" w:ascii="宋体" w:cs="宋体"/>
                <w:b/>
                <w:color w:val="000000"/>
                <w:kern w:val="0"/>
                <w:sz w:val="24"/>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b/>
                <w:color w:val="000000"/>
                <w:sz w:val="24"/>
              </w:rPr>
            </w:pPr>
            <w:r>
              <w:rPr>
                <w:rFonts w:hint="eastAsia" w:ascii="宋体" w:cs="宋体"/>
                <w:b/>
                <w:color w:val="000000"/>
                <w:kern w:val="0"/>
                <w:sz w:val="24"/>
              </w:rPr>
              <w:t>产业发展</w:t>
            </w:r>
            <w:r>
              <w:rPr>
                <w:rFonts w:hint="eastAsia" w:ascii="宋体" w:cs="宋体"/>
                <w:b/>
                <w:color w:val="000000"/>
                <w:kern w:val="0"/>
                <w:sz w:val="24"/>
              </w:rPr>
              <w:br w:type="textWrapping"/>
            </w:r>
            <w:r>
              <w:rPr>
                <w:rFonts w:hint="eastAsia" w:ascii="宋体" w:cs="宋体"/>
                <w:b/>
                <w:color w:val="000000"/>
                <w:kern w:val="0"/>
                <w:sz w:val="24"/>
              </w:rPr>
              <w:t>（30分）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符合性</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项目实施是否与省委省政府支持重点、产业支持政策符合</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成长性</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项目实施对相关企业（机构）成长性的促进作用，主要反映支持对象创新创造创业能力情况</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经济性</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项目实施对相关企业（机构）主营业务收入、净利润、税收、产量等方面增长情况</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b/>
                <w:color w:val="000000"/>
                <w:sz w:val="24"/>
              </w:rPr>
            </w:pPr>
            <w:r>
              <w:rPr>
                <w:rFonts w:hint="eastAsia" w:ascii="宋体" w:cs="宋体"/>
                <w:b/>
                <w:color w:val="000000"/>
                <w:kern w:val="0"/>
                <w:sz w:val="24"/>
              </w:rPr>
              <w:t>民生保障</w:t>
            </w:r>
            <w:r>
              <w:rPr>
                <w:rFonts w:hint="eastAsia" w:ascii="宋体" w:cs="宋体"/>
                <w:b/>
                <w:color w:val="000000"/>
                <w:kern w:val="0"/>
                <w:sz w:val="24"/>
              </w:rPr>
              <w:br w:type="textWrapping"/>
            </w:r>
            <w:r>
              <w:rPr>
                <w:rFonts w:hint="eastAsia" w:ascii="宋体" w:cs="宋体"/>
                <w:b/>
                <w:color w:val="000000"/>
                <w:kern w:val="0"/>
                <w:sz w:val="24"/>
              </w:rPr>
              <w:t>（30分）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区域均衡性</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项目资金分配体现的均衡公平情况</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对象精准性</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资金实际支持对象是否符合管理要求，是否符合支持对象范围</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标准合理性</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5</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资金实际补贴标准是否符合资金管理办法规定的补助标准，是否及时按标准兑现</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群众满意度</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5</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资金涉及相关受益群体、支持对象的满意度调查访谈情况</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765"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b/>
                <w:color w:val="000000"/>
                <w:sz w:val="24"/>
              </w:rPr>
            </w:pPr>
            <w:r>
              <w:rPr>
                <w:rFonts w:hint="eastAsia" w:ascii="宋体" w:cs="宋体"/>
                <w:b/>
                <w:color w:val="000000"/>
                <w:kern w:val="0"/>
                <w:sz w:val="24"/>
              </w:rPr>
              <w:t>基础</w:t>
            </w:r>
            <w:r>
              <w:rPr>
                <w:rFonts w:hint="eastAsia" w:ascii="宋体" w:cs="宋体"/>
                <w:b/>
                <w:color w:val="000000"/>
                <w:kern w:val="0"/>
                <w:sz w:val="24"/>
              </w:rPr>
              <w:br w:type="textWrapping"/>
            </w:r>
            <w:r>
              <w:rPr>
                <w:rFonts w:hint="eastAsia" w:ascii="宋体" w:cs="宋体"/>
                <w:b/>
                <w:color w:val="000000"/>
                <w:kern w:val="0"/>
                <w:sz w:val="24"/>
              </w:rPr>
              <w:t>设施</w:t>
            </w:r>
            <w:r>
              <w:rPr>
                <w:rFonts w:hint="eastAsia" w:ascii="宋体" w:cs="宋体"/>
                <w:b/>
                <w:color w:val="000000"/>
                <w:kern w:val="0"/>
                <w:sz w:val="24"/>
              </w:rPr>
              <w:br w:type="textWrapping"/>
            </w:r>
            <w:r>
              <w:rPr>
                <w:rFonts w:hint="eastAsia" w:ascii="宋体" w:cs="宋体"/>
                <w:b/>
                <w:color w:val="000000"/>
                <w:kern w:val="0"/>
                <w:sz w:val="24"/>
              </w:rPr>
              <w:t>（30分）</w:t>
            </w:r>
          </w:p>
        </w:tc>
        <w:tc>
          <w:tcPr>
            <w:tcW w:w="825"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b/>
                <w:color w:val="000000"/>
                <w:sz w:val="24"/>
              </w:rPr>
            </w:pPr>
            <w:r>
              <w:rPr>
                <w:rFonts w:hint="eastAsia" w:ascii="宋体" w:cs="宋体"/>
                <w:b/>
                <w:color w:val="000000"/>
                <w:kern w:val="0"/>
                <w:sz w:val="24"/>
              </w:rPr>
              <w:t>在建</w:t>
            </w:r>
            <w:r>
              <w:rPr>
                <w:rFonts w:hint="eastAsia" w:ascii="宋体" w:cs="宋体"/>
                <w:b/>
                <w:color w:val="000000"/>
                <w:kern w:val="0"/>
                <w:sz w:val="24"/>
              </w:rPr>
              <w:br w:type="textWrapping"/>
            </w:r>
            <w:r>
              <w:rPr>
                <w:rFonts w:hint="eastAsia" w:ascii="宋体" w:cs="宋体"/>
                <w:b/>
                <w:color w:val="000000"/>
                <w:kern w:val="0"/>
                <w:sz w:val="24"/>
              </w:rPr>
              <w:t>项目</w:t>
            </w: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工程进度</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15</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项目是否达到计划工程进度</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765"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825"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资金拨付</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15</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项目是否达到预先确定的资金拨付进度</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765"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825"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b/>
                <w:color w:val="000000"/>
                <w:sz w:val="24"/>
              </w:rPr>
            </w:pPr>
            <w:r>
              <w:rPr>
                <w:rFonts w:hint="eastAsia" w:ascii="宋体" w:cs="宋体"/>
                <w:b/>
                <w:color w:val="000000"/>
                <w:kern w:val="0"/>
                <w:sz w:val="24"/>
              </w:rPr>
              <w:t>建成</w:t>
            </w:r>
            <w:r>
              <w:rPr>
                <w:rFonts w:hint="eastAsia" w:ascii="宋体" w:cs="宋体"/>
                <w:b/>
                <w:color w:val="000000"/>
                <w:kern w:val="0"/>
                <w:sz w:val="24"/>
              </w:rPr>
              <w:br w:type="textWrapping"/>
            </w:r>
            <w:r>
              <w:rPr>
                <w:rFonts w:hint="eastAsia" w:ascii="宋体" w:cs="宋体"/>
                <w:b/>
                <w:color w:val="000000"/>
                <w:kern w:val="0"/>
                <w:sz w:val="24"/>
              </w:rPr>
              <w:t>项目</w:t>
            </w: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项目验收</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项目验收是否及时合格</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r>
              <w:rPr>
                <w:rFonts w:hint="eastAsia" w:ascii="宋体" w:cs="宋体"/>
                <w:color w:val="000000"/>
                <w:kern w:val="0"/>
                <w:sz w:val="24"/>
              </w:rPr>
              <w:t>10</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765"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825"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功能实现</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项目经济社会功能是否实现</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r>
              <w:rPr>
                <w:rFonts w:hint="eastAsia" w:ascii="宋体" w:cs="宋体"/>
                <w:color w:val="000000"/>
                <w:kern w:val="0"/>
                <w:sz w:val="24"/>
              </w:rPr>
              <w:t>8</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765"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825"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后续管护</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项目后续维护是否实现</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r>
              <w:rPr>
                <w:rFonts w:hint="eastAsia" w:ascii="宋体" w:cs="宋体"/>
                <w:color w:val="000000"/>
                <w:kern w:val="0"/>
                <w:sz w:val="24"/>
              </w:rPr>
              <w:t>8</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b/>
                <w:color w:val="000000"/>
                <w:sz w:val="24"/>
              </w:rPr>
            </w:pPr>
            <w:r>
              <w:rPr>
                <w:rFonts w:hint="eastAsia" w:ascii="宋体" w:cs="宋体"/>
                <w:b/>
                <w:color w:val="000000"/>
                <w:kern w:val="0"/>
                <w:sz w:val="24"/>
              </w:rPr>
              <w:t>专用指标</w:t>
            </w:r>
            <w:r>
              <w:rPr>
                <w:rFonts w:hint="eastAsia" w:ascii="宋体" w:cs="宋体"/>
                <w:b/>
                <w:color w:val="000000"/>
                <w:kern w:val="0"/>
                <w:sz w:val="24"/>
              </w:rPr>
              <w:br w:type="textWrapping"/>
            </w:r>
            <w:r>
              <w:rPr>
                <w:rFonts w:hint="eastAsia" w:ascii="宋体" w:cs="宋体"/>
                <w:b/>
                <w:color w:val="000000"/>
                <w:kern w:val="0"/>
                <w:sz w:val="24"/>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b/>
                <w:color w:val="000000"/>
                <w:sz w:val="24"/>
              </w:rPr>
            </w:pPr>
            <w:r>
              <w:rPr>
                <w:rFonts w:hint="eastAsia" w:ascii="宋体" w:cs="宋体"/>
                <w:b/>
                <w:color w:val="000000"/>
                <w:kern w:val="0"/>
                <w:sz w:val="24"/>
              </w:rPr>
              <w:t>行政运转</w:t>
            </w:r>
            <w:r>
              <w:rPr>
                <w:rFonts w:hint="eastAsia" w:ascii="宋体" w:cs="宋体"/>
                <w:b/>
                <w:color w:val="000000"/>
                <w:kern w:val="0"/>
                <w:sz w:val="24"/>
              </w:rPr>
              <w:br w:type="textWrapping"/>
            </w:r>
            <w:r>
              <w:rPr>
                <w:rFonts w:hint="eastAsia" w:ascii="宋体" w:cs="宋体"/>
                <w:b/>
                <w:color w:val="000000"/>
                <w:kern w:val="0"/>
                <w:sz w:val="24"/>
              </w:rPr>
              <w:t>（30分）</w:t>
            </w:r>
          </w:p>
        </w:tc>
        <w:tc>
          <w:tcPr>
            <w:tcW w:w="1355" w:type="dxa"/>
            <w:tcBorders>
              <w:top w:val="nil"/>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用途合规性</w:t>
            </w:r>
          </w:p>
        </w:tc>
        <w:tc>
          <w:tcPr>
            <w:tcW w:w="696" w:type="dxa"/>
            <w:tcBorders>
              <w:top w:val="nil"/>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10</w:t>
            </w:r>
          </w:p>
        </w:tc>
        <w:tc>
          <w:tcPr>
            <w:tcW w:w="5340" w:type="dxa"/>
            <w:tcBorders>
              <w:top w:val="nil"/>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是否按规定用途、适用范围进行本地区专项资金分配</w:t>
            </w:r>
          </w:p>
        </w:tc>
        <w:tc>
          <w:tcPr>
            <w:tcW w:w="732" w:type="dxa"/>
            <w:tcBorders>
              <w:top w:val="nil"/>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c>
          <w:tcPr>
            <w:tcW w:w="468" w:type="dxa"/>
            <w:tcBorders>
              <w:top w:val="nil"/>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nil"/>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程序合规性</w:t>
            </w:r>
          </w:p>
        </w:tc>
        <w:tc>
          <w:tcPr>
            <w:tcW w:w="696" w:type="dxa"/>
            <w:tcBorders>
              <w:top w:val="nil"/>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资金管理程序是否符合专项资金管理要求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nil"/>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标准合规性</w:t>
            </w:r>
          </w:p>
        </w:tc>
        <w:tc>
          <w:tcPr>
            <w:tcW w:w="696" w:type="dxa"/>
            <w:tcBorders>
              <w:top w:val="nil"/>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资金分配标准是否符合专项资金管理要求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2310" w:type="dxa"/>
            <w:gridSpan w:val="3"/>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b/>
                <w:color w:val="000000"/>
                <w:sz w:val="24"/>
              </w:rPr>
            </w:pPr>
            <w:r>
              <w:rPr>
                <w:rFonts w:hint="eastAsia" w:ascii="宋体" w:cs="宋体"/>
                <w:b/>
                <w:color w:val="000000"/>
                <w:kern w:val="0"/>
                <w:sz w:val="24"/>
              </w:rPr>
              <w:t>个性指标</w:t>
            </w:r>
            <w:r>
              <w:rPr>
                <w:rFonts w:hint="eastAsia" w:ascii="宋体" w:cs="宋体"/>
                <w:b/>
                <w:color w:val="000000"/>
                <w:kern w:val="0"/>
                <w:sz w:val="24"/>
              </w:rPr>
              <w:br w:type="textWrapping"/>
            </w:r>
            <w:r>
              <w:rPr>
                <w:rFonts w:hint="eastAsia" w:ascii="宋体" w:cs="宋体"/>
                <w:b/>
                <w:color w:val="000000"/>
                <w:kern w:val="0"/>
                <w:sz w:val="24"/>
              </w:rPr>
              <w:t>（16分）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满意度指标</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8</w:t>
            </w:r>
          </w:p>
        </w:tc>
        <w:tc>
          <w:tcPr>
            <w:tcW w:w="5340"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r>
              <w:rPr>
                <w:rFonts w:hint="eastAsia" w:ascii="宋体" w:cs="宋体"/>
                <w:color w:val="000000"/>
                <w:kern w:val="0"/>
                <w:sz w:val="24"/>
              </w:rPr>
              <w:t>对日常工作开展满意情况</w:t>
            </w:r>
          </w:p>
          <w:p>
            <w:pPr>
              <w:widowControl/>
              <w:spacing w:line="240" w:lineRule="exact"/>
              <w:jc w:val="left"/>
              <w:textAlignment w:val="center"/>
            </w:pPr>
            <w:r>
              <w:rPr>
                <w:rFonts w:hint="eastAsia" w:ascii="宋体" w:cs="宋体"/>
                <w:color w:val="000000"/>
                <w:kern w:val="0"/>
                <w:sz w:val="24"/>
              </w:rPr>
              <w:t>此项目成本预算控制是否合理</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r>
              <w:rPr>
                <w:rFonts w:hint="eastAsia" w:ascii="宋体" w:cs="宋体"/>
                <w:color w:val="000000"/>
                <w:kern w:val="0"/>
                <w:sz w:val="24"/>
              </w:rPr>
              <w:t>8</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成本指标</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8</w:t>
            </w:r>
          </w:p>
        </w:tc>
        <w:tc>
          <w:tcPr>
            <w:tcW w:w="534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rPr>
                <w:rFonts w:ascii="宋体" w:cs="宋体"/>
                <w:color w:val="000000"/>
                <w:sz w:val="24"/>
              </w:rPr>
            </w:pPr>
            <w:r>
              <w:rPr>
                <w:rFonts w:hint="eastAsia" w:ascii="宋体" w:cs="宋体"/>
                <w:color w:val="000000"/>
                <w:sz w:val="24"/>
              </w:rPr>
              <w:t>8</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rPr>
                <w:rFonts w:ascii="宋体" w:cs="宋体"/>
                <w:color w:val="00000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b/>
                <w:color w:val="000000"/>
                <w:sz w:val="24"/>
              </w:rPr>
            </w:pPr>
            <w:r>
              <w:rPr>
                <w:rFonts w:hint="eastAsia" w:ascii="宋体" w:cs="宋体"/>
                <w:b/>
                <w:color w:val="000000"/>
                <w:kern w:val="0"/>
                <w:sz w:val="24"/>
              </w:rPr>
              <w:t>扣分项</w:t>
            </w:r>
            <w:r>
              <w:rPr>
                <w:rFonts w:hint="eastAsia" w:ascii="宋体" w:cs="宋体"/>
                <w:b/>
                <w:color w:val="000000"/>
                <w:kern w:val="0"/>
                <w:sz w:val="24"/>
              </w:rPr>
              <w:br w:type="textWrapping"/>
            </w:r>
            <w:r>
              <w:rPr>
                <w:rFonts w:hint="eastAsia" w:ascii="宋体" w:cs="宋体"/>
                <w:b/>
                <w:color w:val="000000"/>
                <w:kern w:val="0"/>
                <w:sz w:val="24"/>
              </w:rPr>
              <w:t>（10分）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被评价</w:t>
            </w:r>
            <w:r>
              <w:rPr>
                <w:rFonts w:hint="eastAsia" w:ascii="宋体" w:cs="宋体"/>
                <w:color w:val="000000"/>
                <w:kern w:val="0"/>
                <w:sz w:val="24"/>
              </w:rPr>
              <w:br w:type="textWrapping"/>
            </w:r>
            <w:r>
              <w:rPr>
                <w:rFonts w:hint="eastAsia" w:ascii="宋体" w:cs="宋体"/>
                <w:color w:val="000000"/>
                <w:kern w:val="0"/>
                <w:sz w:val="24"/>
              </w:rPr>
              <w:t>部门配合度</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被评价对象工作配合情况</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bl>
    <w:p>
      <w:pPr>
        <w:spacing w:line="578" w:lineRule="exact"/>
      </w:pPr>
      <w:r>
        <w:rPr>
          <w:rFonts w:eastAsia="黑体"/>
          <w:kern w:val="0"/>
          <w:sz w:val="32"/>
          <w:szCs w:val="32"/>
          <w:shd w:val="clear" w:color="auto" w:fill="FFFFFF"/>
          <w:lang w:val="zh-CN"/>
        </w:rPr>
        <w:t>附表</w:t>
      </w:r>
      <w:r>
        <w:rPr>
          <w:rFonts w:hint="eastAsia"/>
          <w:kern w:val="0"/>
          <w:sz w:val="32"/>
          <w:szCs w:val="32"/>
          <w:shd w:val="clear" w:color="auto" w:fill="FFFFFF"/>
        </w:rPr>
        <w:t>2</w:t>
      </w:r>
    </w:p>
    <w:p>
      <w:pPr>
        <w:spacing w:line="578" w:lineRule="exact"/>
        <w:jc w:val="center"/>
        <w:rPr>
          <w:rFonts w:ascii="楷体_GB2312" w:eastAsia="楷体_GB2312" w:cs="楷体_GB2312"/>
          <w:sz w:val="28"/>
          <w:szCs w:val="28"/>
        </w:rPr>
      </w:pPr>
      <w:r>
        <w:rPr>
          <w:rFonts w:eastAsia="方正小标宋_GBK"/>
          <w:sz w:val="40"/>
          <w:szCs w:val="40"/>
        </w:rPr>
        <w:t>专项预算绩效自评实地踏勘点位清单表</w:t>
      </w:r>
    </w:p>
    <w:tbl>
      <w:tblPr>
        <w:tblStyle w:val="10"/>
        <w:tblW w:w="91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90"/>
        <w:gridCol w:w="6849"/>
        <w:gridCol w:w="10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rFonts w:eastAsia="黑体"/>
                <w:sz w:val="24"/>
              </w:rPr>
            </w:pPr>
            <w:r>
              <w:rPr>
                <w:rFonts w:eastAsia="黑体"/>
                <w:sz w:val="24"/>
              </w:rPr>
              <w:t>序号</w:t>
            </w:r>
          </w:p>
        </w:tc>
        <w:tc>
          <w:tcPr>
            <w:tcW w:w="6849" w:type="dxa"/>
            <w:noWrap/>
          </w:tcPr>
          <w:p>
            <w:pPr>
              <w:spacing w:line="300" w:lineRule="exact"/>
              <w:jc w:val="center"/>
              <w:rPr>
                <w:rFonts w:eastAsia="黑体"/>
                <w:sz w:val="24"/>
              </w:rPr>
            </w:pPr>
            <w:r>
              <w:rPr>
                <w:rFonts w:eastAsia="黑体"/>
                <w:sz w:val="24"/>
              </w:rPr>
              <w:t>实地踏勘点位</w:t>
            </w:r>
          </w:p>
        </w:tc>
        <w:tc>
          <w:tcPr>
            <w:tcW w:w="1040" w:type="dxa"/>
            <w:noWrap/>
          </w:tcPr>
          <w:p>
            <w:pPr>
              <w:spacing w:line="300" w:lineRule="exact"/>
              <w:jc w:val="center"/>
              <w:rPr>
                <w:rFonts w:eastAsia="黑体"/>
                <w:sz w:val="24"/>
              </w:rPr>
            </w:pPr>
            <w:r>
              <w:rPr>
                <w:rFonts w:eastAsia="黑体"/>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sz w:val="24"/>
              </w:rPr>
            </w:pPr>
            <w:r>
              <w:rPr>
                <w:sz w:val="24"/>
              </w:rPr>
              <w:t>1</w:t>
            </w:r>
          </w:p>
        </w:tc>
        <w:tc>
          <w:tcPr>
            <w:tcW w:w="6849" w:type="dxa"/>
            <w:noWrap/>
          </w:tcPr>
          <w:p>
            <w:pPr>
              <w:spacing w:line="300" w:lineRule="exact"/>
              <w:jc w:val="center"/>
              <w:rPr>
                <w:sz w:val="24"/>
              </w:rPr>
            </w:pPr>
            <w:r>
              <w:rPr>
                <w:rFonts w:hint="eastAsia"/>
                <w:sz w:val="24"/>
              </w:rPr>
              <w:t>石碉楼乡人民政府</w:t>
            </w: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sz w:val="24"/>
              </w:rPr>
            </w:pPr>
            <w:r>
              <w:rPr>
                <w:sz w:val="24"/>
              </w:rPr>
              <w:t>2</w:t>
            </w:r>
          </w:p>
        </w:tc>
        <w:tc>
          <w:tcPr>
            <w:tcW w:w="6849" w:type="dxa"/>
            <w:noWrap/>
          </w:tcPr>
          <w:p>
            <w:pPr>
              <w:spacing w:line="300" w:lineRule="exact"/>
              <w:jc w:val="center"/>
              <w:rPr>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sz w:val="24"/>
              </w:rPr>
            </w:pPr>
            <w:r>
              <w:rPr>
                <w:sz w:val="24"/>
              </w:rPr>
              <w:t>3</w:t>
            </w:r>
          </w:p>
        </w:tc>
        <w:tc>
          <w:tcPr>
            <w:tcW w:w="6849" w:type="dxa"/>
            <w:noWrap/>
          </w:tcPr>
          <w:p>
            <w:pPr>
              <w:spacing w:line="300" w:lineRule="exact"/>
              <w:jc w:val="center"/>
              <w:rPr>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sz w:val="24"/>
              </w:rPr>
            </w:pPr>
            <w:r>
              <w:rPr>
                <w:sz w:val="24"/>
              </w:rPr>
              <w:t>4</w:t>
            </w:r>
          </w:p>
        </w:tc>
        <w:tc>
          <w:tcPr>
            <w:tcW w:w="6849" w:type="dxa"/>
            <w:noWrap/>
          </w:tcPr>
          <w:p>
            <w:pPr>
              <w:spacing w:line="300" w:lineRule="exact"/>
              <w:jc w:val="center"/>
              <w:rPr>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sz w:val="24"/>
              </w:rPr>
            </w:pPr>
            <w:r>
              <w:rPr>
                <w:sz w:val="24"/>
              </w:rPr>
              <w:t>5</w:t>
            </w:r>
          </w:p>
        </w:tc>
        <w:tc>
          <w:tcPr>
            <w:tcW w:w="6849" w:type="dxa"/>
            <w:noWrap/>
          </w:tcPr>
          <w:p>
            <w:pPr>
              <w:spacing w:line="300" w:lineRule="exact"/>
              <w:jc w:val="center"/>
              <w:rPr>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sz w:val="24"/>
              </w:rPr>
            </w:pPr>
            <w:r>
              <w:rPr>
                <w:sz w:val="24"/>
              </w:rPr>
              <w:t>6</w:t>
            </w:r>
          </w:p>
        </w:tc>
        <w:tc>
          <w:tcPr>
            <w:tcW w:w="6849" w:type="dxa"/>
            <w:noWrap/>
          </w:tcPr>
          <w:p>
            <w:pPr>
              <w:spacing w:line="300" w:lineRule="exact"/>
              <w:jc w:val="center"/>
              <w:rPr>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sz w:val="24"/>
              </w:rPr>
            </w:pPr>
            <w:r>
              <w:rPr>
                <w:sz w:val="24"/>
              </w:rPr>
              <w:t>7</w:t>
            </w:r>
          </w:p>
        </w:tc>
        <w:tc>
          <w:tcPr>
            <w:tcW w:w="6849" w:type="dxa"/>
            <w:noWrap/>
          </w:tcPr>
          <w:p>
            <w:pPr>
              <w:spacing w:line="300" w:lineRule="exact"/>
              <w:jc w:val="center"/>
              <w:rPr>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sz w:val="24"/>
              </w:rPr>
            </w:pPr>
            <w:r>
              <w:rPr>
                <w:sz w:val="24"/>
              </w:rPr>
              <w:t>8</w:t>
            </w:r>
          </w:p>
        </w:tc>
        <w:tc>
          <w:tcPr>
            <w:tcW w:w="6849" w:type="dxa"/>
            <w:noWrap/>
          </w:tcPr>
          <w:p>
            <w:pPr>
              <w:spacing w:line="300" w:lineRule="exact"/>
              <w:jc w:val="center"/>
              <w:rPr>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sz w:val="24"/>
              </w:rPr>
            </w:pPr>
            <w:r>
              <w:rPr>
                <w:sz w:val="24"/>
              </w:rPr>
              <w:t>9</w:t>
            </w:r>
          </w:p>
        </w:tc>
        <w:tc>
          <w:tcPr>
            <w:tcW w:w="6849" w:type="dxa"/>
            <w:noWrap/>
          </w:tcPr>
          <w:p>
            <w:pPr>
              <w:spacing w:line="300" w:lineRule="exact"/>
              <w:jc w:val="center"/>
              <w:rPr>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sz w:val="24"/>
              </w:rPr>
            </w:pPr>
            <w:r>
              <w:rPr>
                <w:sz w:val="24"/>
              </w:rPr>
              <w:t>10</w:t>
            </w:r>
          </w:p>
        </w:tc>
        <w:tc>
          <w:tcPr>
            <w:tcW w:w="6849" w:type="dxa"/>
            <w:noWrap/>
          </w:tcPr>
          <w:p>
            <w:pPr>
              <w:spacing w:line="300" w:lineRule="exact"/>
              <w:jc w:val="center"/>
              <w:rPr>
                <w:rFonts w:eastAsia="仿宋_GB2312"/>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sz w:val="24"/>
              </w:rPr>
            </w:pPr>
            <w:r>
              <w:rPr>
                <w:sz w:val="24"/>
              </w:rPr>
              <w:t>11</w:t>
            </w:r>
          </w:p>
        </w:tc>
        <w:tc>
          <w:tcPr>
            <w:tcW w:w="6849" w:type="dxa"/>
            <w:noWrap/>
          </w:tcPr>
          <w:p>
            <w:pPr>
              <w:spacing w:line="300" w:lineRule="exact"/>
              <w:jc w:val="center"/>
              <w:rPr>
                <w:rFonts w:eastAsia="仿宋_GB2312"/>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sz w:val="24"/>
              </w:rPr>
            </w:pPr>
            <w:r>
              <w:rPr>
                <w:sz w:val="24"/>
              </w:rPr>
              <w:t>12</w:t>
            </w:r>
          </w:p>
        </w:tc>
        <w:tc>
          <w:tcPr>
            <w:tcW w:w="6849" w:type="dxa"/>
            <w:noWrap/>
          </w:tcPr>
          <w:p>
            <w:pPr>
              <w:spacing w:line="300" w:lineRule="exact"/>
              <w:jc w:val="center"/>
              <w:rPr>
                <w:rFonts w:eastAsia="仿宋_GB2312"/>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sz w:val="24"/>
              </w:rPr>
            </w:pPr>
            <w:r>
              <w:rPr>
                <w:sz w:val="24"/>
              </w:rPr>
              <w:t>13</w:t>
            </w:r>
          </w:p>
        </w:tc>
        <w:tc>
          <w:tcPr>
            <w:tcW w:w="6849" w:type="dxa"/>
            <w:noWrap/>
          </w:tcPr>
          <w:p>
            <w:pPr>
              <w:spacing w:line="300" w:lineRule="exact"/>
              <w:jc w:val="center"/>
              <w:rPr>
                <w:rFonts w:eastAsia="仿宋_GB2312"/>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sz w:val="24"/>
              </w:rPr>
            </w:pPr>
            <w:r>
              <w:rPr>
                <w:sz w:val="24"/>
              </w:rPr>
              <w:t>14</w:t>
            </w:r>
          </w:p>
        </w:tc>
        <w:tc>
          <w:tcPr>
            <w:tcW w:w="6849" w:type="dxa"/>
            <w:noWrap/>
          </w:tcPr>
          <w:p>
            <w:pPr>
              <w:spacing w:line="300" w:lineRule="exact"/>
              <w:jc w:val="center"/>
              <w:rPr>
                <w:rFonts w:eastAsia="仿宋_GB2312"/>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sz w:val="24"/>
              </w:rPr>
            </w:pPr>
            <w:r>
              <w:rPr>
                <w:sz w:val="24"/>
              </w:rPr>
              <w:t>15</w:t>
            </w:r>
          </w:p>
        </w:tc>
        <w:tc>
          <w:tcPr>
            <w:tcW w:w="6849" w:type="dxa"/>
            <w:noWrap/>
          </w:tcPr>
          <w:p>
            <w:pPr>
              <w:spacing w:line="300" w:lineRule="exact"/>
              <w:jc w:val="center"/>
              <w:rPr>
                <w:rFonts w:eastAsia="仿宋_GB2312"/>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sz w:val="24"/>
              </w:rPr>
            </w:pPr>
            <w:r>
              <w:rPr>
                <w:sz w:val="24"/>
              </w:rPr>
              <w:t>16</w:t>
            </w:r>
          </w:p>
        </w:tc>
        <w:tc>
          <w:tcPr>
            <w:tcW w:w="6849" w:type="dxa"/>
            <w:noWrap/>
          </w:tcPr>
          <w:p>
            <w:pPr>
              <w:spacing w:line="300" w:lineRule="exact"/>
              <w:jc w:val="center"/>
              <w:rPr>
                <w:rFonts w:eastAsia="仿宋_GB2312"/>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sz w:val="24"/>
              </w:rPr>
            </w:pPr>
            <w:r>
              <w:rPr>
                <w:sz w:val="24"/>
              </w:rPr>
              <w:t>17</w:t>
            </w:r>
          </w:p>
        </w:tc>
        <w:tc>
          <w:tcPr>
            <w:tcW w:w="6849" w:type="dxa"/>
            <w:noWrap/>
          </w:tcPr>
          <w:p>
            <w:pPr>
              <w:spacing w:line="300" w:lineRule="exact"/>
              <w:jc w:val="center"/>
              <w:rPr>
                <w:rFonts w:eastAsia="仿宋_GB2312"/>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sz w:val="24"/>
              </w:rPr>
            </w:pPr>
            <w:r>
              <w:rPr>
                <w:sz w:val="24"/>
              </w:rPr>
              <w:t>18</w:t>
            </w:r>
          </w:p>
        </w:tc>
        <w:tc>
          <w:tcPr>
            <w:tcW w:w="6849" w:type="dxa"/>
            <w:noWrap/>
          </w:tcPr>
          <w:p>
            <w:pPr>
              <w:spacing w:line="300" w:lineRule="exact"/>
              <w:jc w:val="center"/>
              <w:rPr>
                <w:rFonts w:eastAsia="仿宋_GB2312"/>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sz w:val="24"/>
              </w:rPr>
            </w:pPr>
            <w:r>
              <w:rPr>
                <w:sz w:val="24"/>
              </w:rPr>
              <w:t>19</w:t>
            </w:r>
          </w:p>
        </w:tc>
        <w:tc>
          <w:tcPr>
            <w:tcW w:w="6849" w:type="dxa"/>
            <w:noWrap/>
          </w:tcPr>
          <w:p>
            <w:pPr>
              <w:spacing w:line="300" w:lineRule="exact"/>
              <w:rPr>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exact"/>
          <w:jc w:val="center"/>
        </w:trPr>
        <w:tc>
          <w:tcPr>
            <w:tcW w:w="1290" w:type="dxa"/>
            <w:noWrap/>
          </w:tcPr>
          <w:p>
            <w:pPr>
              <w:spacing w:line="300" w:lineRule="exact"/>
              <w:jc w:val="center"/>
              <w:rPr>
                <w:sz w:val="24"/>
              </w:rPr>
            </w:pPr>
            <w:r>
              <w:rPr>
                <w:sz w:val="24"/>
              </w:rPr>
              <w:t>20</w:t>
            </w:r>
          </w:p>
        </w:tc>
        <w:tc>
          <w:tcPr>
            <w:tcW w:w="6849" w:type="dxa"/>
            <w:noWrap/>
          </w:tcPr>
          <w:p>
            <w:pPr>
              <w:spacing w:line="300" w:lineRule="exact"/>
              <w:rPr>
                <w:sz w:val="24"/>
              </w:rPr>
            </w:pPr>
          </w:p>
        </w:tc>
        <w:tc>
          <w:tcPr>
            <w:tcW w:w="1040" w:type="dxa"/>
            <w:noWrap/>
          </w:tcPr>
          <w:p>
            <w:pPr>
              <w:spacing w:line="300" w:lineRule="exact"/>
              <w:rPr>
                <w:sz w:val="24"/>
              </w:rPr>
            </w:pPr>
          </w:p>
        </w:tc>
      </w:tr>
    </w:tbl>
    <w:p>
      <w:pPr>
        <w:spacing w:line="400" w:lineRule="exact"/>
        <w:jc w:val="center"/>
        <w:rPr>
          <w:szCs w:val="21"/>
        </w:rPr>
      </w:pPr>
      <w:r>
        <w:rPr>
          <w:szCs w:val="21"/>
        </w:rPr>
        <w:t>备注：项目</w:t>
      </w:r>
      <w:r>
        <w:rPr>
          <w:rFonts w:hint="eastAsia"/>
          <w:szCs w:val="21"/>
        </w:rPr>
        <w:t>实地踏勘</w:t>
      </w:r>
      <w:r>
        <w:rPr>
          <w:szCs w:val="21"/>
        </w:rPr>
        <w:t>点位包括市（州）本级、县（市、区）</w:t>
      </w:r>
      <w:r>
        <w:rPr>
          <w:rFonts w:hint="eastAsia"/>
          <w:szCs w:val="21"/>
        </w:rPr>
        <w:t>本级及有关项目、单位、公司</w:t>
      </w:r>
      <w:r>
        <w:rPr>
          <w:szCs w:val="21"/>
        </w:rPr>
        <w:t>等。</w:t>
      </w:r>
    </w:p>
    <w:p>
      <w:pPr>
        <w:snapToGrid w:val="0"/>
        <w:spacing w:line="578" w:lineRule="exact"/>
        <w:rPr>
          <w:rFonts w:eastAsia="黑体"/>
          <w:kern w:val="0"/>
          <w:sz w:val="32"/>
          <w:szCs w:val="32"/>
          <w:shd w:val="clear" w:color="auto" w:fill="FFFFFF"/>
          <w:lang w:val="zh-CN"/>
        </w:rPr>
      </w:pPr>
    </w:p>
    <w:p>
      <w:pPr>
        <w:snapToGrid w:val="0"/>
        <w:spacing w:line="578" w:lineRule="exact"/>
        <w:rPr>
          <w:rFonts w:eastAsia="黑体"/>
          <w:kern w:val="0"/>
          <w:sz w:val="32"/>
          <w:szCs w:val="32"/>
          <w:shd w:val="clear" w:color="auto" w:fill="FFFFFF"/>
          <w:lang w:val="zh-CN"/>
        </w:rPr>
      </w:pPr>
    </w:p>
    <w:p>
      <w:pPr>
        <w:spacing w:line="400" w:lineRule="exact"/>
        <w:jc w:val="left"/>
        <w:rPr>
          <w:rFonts w:ascii="宋体" w:cs="宋体"/>
          <w:szCs w:val="21"/>
        </w:rPr>
      </w:pPr>
    </w:p>
    <w:p>
      <w:pPr>
        <w:spacing w:line="578" w:lineRule="exact"/>
        <w:rPr>
          <w:rFonts w:eastAsia="黑体"/>
          <w:kern w:val="0"/>
          <w:sz w:val="32"/>
          <w:szCs w:val="32"/>
          <w:shd w:val="clear" w:color="auto" w:fill="FFFFFF"/>
        </w:rPr>
      </w:pPr>
      <w:r>
        <w:rPr>
          <w:rFonts w:eastAsia="黑体"/>
          <w:kern w:val="0"/>
          <w:sz w:val="32"/>
          <w:szCs w:val="32"/>
          <w:shd w:val="clear" w:color="auto" w:fill="FFFFFF"/>
          <w:lang w:val="zh-CN"/>
        </w:rPr>
        <w:t>附表</w:t>
      </w:r>
      <w:r>
        <w:rPr>
          <w:rFonts w:hint="eastAsia" w:eastAsia="黑体"/>
          <w:kern w:val="0"/>
          <w:sz w:val="32"/>
          <w:szCs w:val="32"/>
          <w:shd w:val="clear" w:color="auto" w:fill="FFFFFF"/>
        </w:rPr>
        <w:t>3</w:t>
      </w:r>
    </w:p>
    <w:tbl>
      <w:tblPr>
        <w:tblStyle w:val="10"/>
        <w:tblW w:w="1033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653"/>
        <w:gridCol w:w="1086"/>
        <w:gridCol w:w="50"/>
        <w:gridCol w:w="1160"/>
        <w:gridCol w:w="1366"/>
        <w:gridCol w:w="49"/>
        <w:gridCol w:w="1084"/>
        <w:gridCol w:w="49"/>
        <w:gridCol w:w="976"/>
        <w:gridCol w:w="1018"/>
        <w:gridCol w:w="49"/>
        <w:gridCol w:w="894"/>
        <w:gridCol w:w="49"/>
        <w:gridCol w:w="1802"/>
        <w:gridCol w:w="5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After w:val="1"/>
          <w:wAfter w:w="51" w:type="dxa"/>
          <w:trHeight w:val="223" w:hRule="atLeast"/>
          <w:jc w:val="center"/>
        </w:trPr>
        <w:tc>
          <w:tcPr>
            <w:tcW w:w="10284" w:type="dxa"/>
            <w:gridSpan w:val="14"/>
            <w:tcBorders>
              <w:top w:val="nil"/>
              <w:left w:val="nil"/>
              <w:bottom w:val="nil"/>
              <w:right w:val="nil"/>
              <w:tl2br w:val="nil"/>
              <w:tr2bl w:val="nil"/>
            </w:tcBorders>
            <w:noWrap/>
            <w:vAlign w:val="center"/>
          </w:tcPr>
          <w:p>
            <w:pPr>
              <w:widowControl/>
              <w:spacing w:line="600" w:lineRule="exact"/>
              <w:jc w:val="center"/>
              <w:textAlignment w:val="center"/>
              <w:rPr>
                <w:rFonts w:ascii="黑体" w:eastAsia="黑体" w:cs="黑体"/>
                <w:color w:val="000000"/>
                <w:sz w:val="30"/>
                <w:szCs w:val="30"/>
              </w:rPr>
            </w:pPr>
            <w:r>
              <w:rPr>
                <w:rFonts w:hint="eastAsia" w:ascii="方正小标宋简体" w:eastAsia="方正小标宋简体" w:cs="方正小标宋简体"/>
                <w:color w:val="000000"/>
                <w:kern w:val="0"/>
                <w:sz w:val="40"/>
                <w:szCs w:val="40"/>
              </w:rPr>
              <w:t>专项预算项目绩效目标完成情况自评表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51" w:type="dxa"/>
          <w:trHeight w:val="9" w:hRule="atLeast"/>
          <w:jc w:val="center"/>
        </w:trPr>
        <w:tc>
          <w:tcPr>
            <w:tcW w:w="4315" w:type="dxa"/>
            <w:gridSpan w:val="5"/>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项目名称</w:t>
            </w:r>
          </w:p>
        </w:tc>
        <w:tc>
          <w:tcPr>
            <w:tcW w:w="5970" w:type="dxa"/>
            <w:gridSpan w:val="9"/>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rFonts w:ascii="宋体" w:cs="宋体"/>
                <w:color w:val="000000"/>
                <w:kern w:val="0"/>
                <w:sz w:val="24"/>
              </w:rPr>
            </w:pPr>
            <w:r>
              <w:rPr>
                <w:rFonts w:hint="eastAsia" w:ascii="宋体" w:cs="宋体"/>
                <w:color w:val="000000"/>
                <w:kern w:val="0"/>
                <w:sz w:val="24"/>
              </w:rPr>
              <w:t>黑水县石碉楼乡7.29泥石流避险场所应急改造项目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After w:val="1"/>
          <w:wAfter w:w="51" w:type="dxa"/>
          <w:trHeight w:val="9" w:hRule="atLeast"/>
          <w:jc w:val="center"/>
        </w:trPr>
        <w:tc>
          <w:tcPr>
            <w:tcW w:w="4315" w:type="dxa"/>
            <w:gridSpan w:val="5"/>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预算单位</w:t>
            </w:r>
          </w:p>
        </w:tc>
        <w:tc>
          <w:tcPr>
            <w:tcW w:w="5970" w:type="dxa"/>
            <w:gridSpan w:val="9"/>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rFonts w:ascii="宋体" w:cs="宋体"/>
                <w:color w:val="000000"/>
                <w:kern w:val="0"/>
                <w:sz w:val="24"/>
              </w:rPr>
            </w:pPr>
            <w:r>
              <w:rPr>
                <w:rFonts w:ascii="宋体" w:cs="宋体"/>
                <w:color w:val="000000"/>
                <w:kern w:val="0"/>
                <w:sz w:val="24"/>
              </w:rPr>
              <w:t>黑水县石碉楼乡人民政府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51" w:type="dxa"/>
          <w:trHeight w:val="9" w:hRule="atLeast"/>
          <w:jc w:val="center"/>
        </w:trPr>
        <w:tc>
          <w:tcPr>
            <w:tcW w:w="4315" w:type="dxa"/>
            <w:gridSpan w:val="5"/>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项目类型</w:t>
            </w:r>
          </w:p>
        </w:tc>
        <w:tc>
          <w:tcPr>
            <w:tcW w:w="5970" w:type="dxa"/>
            <w:gridSpan w:val="9"/>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rFonts w:eastAsia="仿宋_GB2312"/>
                <w:szCs w:val="28"/>
              </w:rPr>
            </w:pPr>
            <w:r>
              <w:rPr>
                <w:rFonts w:hint="eastAsia" w:ascii="宋体" w:cs="宋体"/>
                <w:color w:val="000000"/>
                <w:kern w:val="0"/>
                <w:sz w:val="24"/>
              </w:rPr>
              <w:t>专项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After w:val="1"/>
          <w:wAfter w:w="51" w:type="dxa"/>
          <w:trHeight w:val="9" w:hRule="atLeast"/>
          <w:jc w:val="center"/>
        </w:trPr>
        <w:tc>
          <w:tcPr>
            <w:tcW w:w="653" w:type="dxa"/>
            <w:vMerge w:val="restart"/>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项目 概况</w:t>
            </w:r>
          </w:p>
        </w:tc>
        <w:tc>
          <w:tcPr>
            <w:tcW w:w="3662" w:type="dxa"/>
            <w:gridSpan w:val="4"/>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rFonts w:ascii="宋体" w:cs="宋体"/>
                <w:color w:val="000000"/>
                <w:kern w:val="0"/>
                <w:sz w:val="24"/>
              </w:rPr>
            </w:pPr>
            <w:r>
              <w:rPr>
                <w:rFonts w:ascii="宋体" w:cs="宋体"/>
                <w:color w:val="000000"/>
                <w:kern w:val="0"/>
                <w:sz w:val="24"/>
              </w:rPr>
              <w:t>中长期规划（名称、文号，仅指</w:t>
            </w:r>
          </w:p>
          <w:p>
            <w:pPr>
              <w:widowControl/>
              <w:spacing w:line="300" w:lineRule="exact"/>
              <w:jc w:val="left"/>
              <w:textAlignment w:val="center"/>
              <w:rPr>
                <w:rFonts w:ascii="宋体" w:cs="宋体"/>
                <w:color w:val="000000"/>
                <w:sz w:val="24"/>
              </w:rPr>
            </w:pPr>
            <w:r>
              <w:rPr>
                <w:rFonts w:ascii="宋体" w:cs="宋体"/>
                <w:color w:val="000000"/>
                <w:kern w:val="0"/>
                <w:sz w:val="24"/>
              </w:rPr>
              <w:t>常年项目）</w:t>
            </w:r>
          </w:p>
        </w:tc>
        <w:tc>
          <w:tcPr>
            <w:tcW w:w="5970" w:type="dxa"/>
            <w:gridSpan w:val="9"/>
            <w:tcBorders>
              <w:top w:val="single" w:color="000000" w:sz="4" w:space="0"/>
              <w:left w:val="single" w:color="000000" w:sz="4" w:space="0"/>
              <w:bottom w:val="single" w:color="000000" w:sz="4" w:space="0"/>
              <w:right w:val="single" w:color="000000" w:sz="4" w:space="0"/>
              <w:tl2br w:val="nil"/>
              <w:tr2bl w:val="nil"/>
            </w:tcBorders>
            <w:noWrap/>
            <w:vAlign w:val="center"/>
          </w:tcPr>
          <w:p>
            <w:pPr>
              <w:spacing w:line="300" w:lineRule="exact"/>
              <w:jc w:val="left"/>
              <w:rPr>
                <w:rFonts w:ascii="宋体" w:cs="宋体"/>
                <w:color w:val="000000"/>
                <w:sz w:val="24"/>
              </w:rPr>
            </w:pPr>
            <w:r>
              <w:rPr>
                <w:rFonts w:hint="eastAsia" w:ascii="宋体" w:cs="宋体"/>
                <w:color w:val="000000"/>
                <w:sz w:val="24"/>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51" w:type="dxa"/>
          <w:trHeight w:val="9" w:hRule="atLeast"/>
          <w:jc w:val="center"/>
        </w:trPr>
        <w:tc>
          <w:tcPr>
            <w:tcW w:w="653" w:type="dxa"/>
            <w:vMerge w:val="continue"/>
            <w:tcBorders>
              <w:top w:val="single" w:color="000000" w:sz="4" w:space="0"/>
              <w:left w:val="single" w:color="000000" w:sz="4" w:space="0"/>
              <w:bottom w:val="single" w:color="000000" w:sz="4" w:space="0"/>
              <w:right w:val="single" w:color="000000" w:sz="4" w:space="0"/>
              <w:tl2br w:val="nil"/>
              <w:tr2bl w:val="nil"/>
            </w:tcBorders>
            <w:noWrap/>
            <w:vAlign w:val="center"/>
          </w:tcPr>
          <w:p/>
        </w:tc>
        <w:tc>
          <w:tcPr>
            <w:tcW w:w="3662" w:type="dxa"/>
            <w:gridSpan w:val="4"/>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资金管理办法（名称、文号）</w:t>
            </w:r>
          </w:p>
        </w:tc>
        <w:tc>
          <w:tcPr>
            <w:tcW w:w="5970" w:type="dxa"/>
            <w:gridSpan w:val="9"/>
            <w:tcBorders>
              <w:top w:val="single" w:color="000000" w:sz="4" w:space="0"/>
              <w:left w:val="single" w:color="000000" w:sz="4" w:space="0"/>
              <w:bottom w:val="single" w:color="000000" w:sz="4" w:space="0"/>
              <w:right w:val="single" w:color="000000" w:sz="4" w:space="0"/>
              <w:tl2br w:val="nil"/>
              <w:tr2bl w:val="nil"/>
            </w:tcBorders>
            <w:noWrap/>
            <w:vAlign w:val="center"/>
          </w:tcPr>
          <w:p>
            <w:pPr>
              <w:spacing w:line="300" w:lineRule="exact"/>
              <w:jc w:val="left"/>
              <w:rPr>
                <w:rFonts w:ascii="宋体" w:cs="宋体"/>
                <w:color w:val="000000"/>
                <w:sz w:val="24"/>
              </w:rPr>
            </w:pPr>
            <w:r>
              <w:rPr>
                <w:rFonts w:hint="eastAsia" w:ascii="宋体" w:cs="宋体"/>
                <w:color w:val="000000"/>
                <w:sz w:val="24"/>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After w:val="1"/>
          <w:wAfter w:w="51" w:type="dxa"/>
          <w:trHeight w:val="9" w:hRule="atLeast"/>
          <w:jc w:val="center"/>
        </w:trPr>
        <w:tc>
          <w:tcPr>
            <w:tcW w:w="653" w:type="dxa"/>
            <w:vMerge w:val="continue"/>
            <w:tcBorders>
              <w:top w:val="single" w:color="000000" w:sz="4" w:space="0"/>
              <w:left w:val="single" w:color="000000" w:sz="4" w:space="0"/>
              <w:bottom w:val="single" w:color="000000" w:sz="4" w:space="0"/>
              <w:right w:val="single" w:color="000000" w:sz="4" w:space="0"/>
              <w:tl2br w:val="nil"/>
              <w:tr2bl w:val="nil"/>
            </w:tcBorders>
            <w:noWrap/>
            <w:vAlign w:val="center"/>
          </w:tcPr>
          <w:p/>
        </w:tc>
        <w:tc>
          <w:tcPr>
            <w:tcW w:w="3662" w:type="dxa"/>
            <w:gridSpan w:val="4"/>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绩效分配方式</w:t>
            </w:r>
          </w:p>
        </w:tc>
        <w:tc>
          <w:tcPr>
            <w:tcW w:w="1133"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rFonts w:ascii="Wingdings 2" w:hAnsi="Wingdings 2" w:eastAsia="Wingdings 2" w:cs="Wingdings 2"/>
                <w:color w:val="000000"/>
                <w:sz w:val="24"/>
              </w:rPr>
            </w:pPr>
            <w:r>
              <w:rPr>
                <w:rFonts w:ascii="Wingdings 2" w:hAnsi="Wingdings 2" w:eastAsia="Wingdings 2" w:cs="Wingdings 2"/>
                <w:color w:val="000000"/>
                <w:kern w:val="0"/>
                <w:sz w:val="24"/>
              </w:rPr>
              <w:t></w:t>
            </w:r>
            <w:r>
              <w:rPr>
                <w:rFonts w:ascii="宋体" w:cs="宋体"/>
                <w:color w:val="000000"/>
                <w:kern w:val="0"/>
                <w:sz w:val="24"/>
              </w:rPr>
              <w:t>因素法</w:t>
            </w:r>
          </w:p>
        </w:tc>
        <w:tc>
          <w:tcPr>
            <w:tcW w:w="2043" w:type="dxa"/>
            <w:gridSpan w:val="3"/>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center"/>
              <w:textAlignment w:val="center"/>
              <w:rPr>
                <w:rFonts w:ascii="Wingdings 2" w:hAnsi="Wingdings 2" w:eastAsia="Wingdings 2" w:cs="Wingdings 2"/>
                <w:color w:val="000000"/>
                <w:sz w:val="24"/>
              </w:rPr>
            </w:pPr>
            <w:r>
              <w:rPr>
                <w:rFonts w:ascii="Wingdings 2" w:hAnsi="Wingdings 2" w:eastAsia="Wingdings 2" w:cs="Wingdings 2"/>
                <w:color w:val="000000"/>
                <w:kern w:val="0"/>
                <w:sz w:val="24"/>
              </w:rPr>
              <w:t>项目法</w:t>
            </w:r>
          </w:p>
        </w:tc>
        <w:tc>
          <w:tcPr>
            <w:tcW w:w="943"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center"/>
              <w:textAlignment w:val="center"/>
              <w:rPr>
                <w:rFonts w:ascii="Wingdings 2" w:hAnsi="Wingdings 2" w:eastAsia="Wingdings 2" w:cs="Wingdings 2"/>
                <w:color w:val="000000"/>
                <w:sz w:val="24"/>
              </w:rPr>
            </w:pPr>
            <w:r>
              <w:rPr>
                <w:rFonts w:ascii="Wingdings 2" w:hAnsi="Wingdings 2" w:eastAsia="Wingdings 2" w:cs="Wingdings 2"/>
                <w:color w:val="000000"/>
                <w:kern w:val="0"/>
                <w:sz w:val="24"/>
              </w:rPr>
              <w:t></w:t>
            </w:r>
            <w:r>
              <w:rPr>
                <w:rFonts w:ascii="宋体" w:cs="宋体"/>
                <w:color w:val="000000"/>
                <w:kern w:val="0"/>
                <w:sz w:val="24"/>
              </w:rPr>
              <w:t>据实据效</w:t>
            </w:r>
          </w:p>
        </w:tc>
        <w:tc>
          <w:tcPr>
            <w:tcW w:w="1851"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center"/>
              <w:textAlignment w:val="center"/>
              <w:rPr>
                <w:rFonts w:ascii="Wingdings 2" w:hAnsi="Wingdings 2" w:eastAsia="Wingdings 2" w:cs="Wingdings 2"/>
                <w:color w:val="000000"/>
                <w:sz w:val="24"/>
              </w:rPr>
            </w:pPr>
            <w:r>
              <w:rPr>
                <w:rFonts w:ascii="Arial" w:hAnsi="Arial" w:cs="Arial"/>
                <w:color w:val="000000"/>
                <w:kern w:val="0"/>
                <w:sz w:val="24"/>
              </w:rPr>
              <w:t>√</w:t>
            </w:r>
            <w:r>
              <w:rPr>
                <w:rFonts w:ascii="宋体" w:cs="宋体"/>
                <w:color w:val="000000"/>
                <w:kern w:val="0"/>
                <w:sz w:val="24"/>
              </w:rPr>
              <w:t>因素法与项目法相结合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51" w:type="dxa"/>
          <w:trHeight w:val="9" w:hRule="atLeast"/>
          <w:jc w:val="center"/>
        </w:trPr>
        <w:tc>
          <w:tcPr>
            <w:tcW w:w="653" w:type="dxa"/>
            <w:vMerge w:val="continue"/>
            <w:tcBorders>
              <w:top w:val="single" w:color="000000" w:sz="4" w:space="0"/>
              <w:left w:val="single" w:color="000000" w:sz="4" w:space="0"/>
              <w:bottom w:val="single" w:color="000000" w:sz="4" w:space="0"/>
              <w:right w:val="single" w:color="000000" w:sz="4" w:space="0"/>
              <w:tl2br w:val="nil"/>
              <w:tr2bl w:val="nil"/>
            </w:tcBorders>
            <w:noWrap/>
            <w:vAlign w:val="center"/>
          </w:tcPr>
          <w:p/>
        </w:tc>
        <w:tc>
          <w:tcPr>
            <w:tcW w:w="3662" w:type="dxa"/>
            <w:gridSpan w:val="4"/>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rFonts w:ascii="宋体" w:cs="宋体"/>
                <w:color w:val="000000"/>
                <w:kern w:val="0"/>
                <w:sz w:val="24"/>
              </w:rPr>
            </w:pPr>
            <w:r>
              <w:rPr>
                <w:rFonts w:hint="eastAsia" w:ascii="宋体" w:cs="宋体"/>
                <w:color w:val="000000"/>
                <w:kern w:val="0"/>
                <w:sz w:val="24"/>
              </w:rPr>
              <w:t>立项依据</w:t>
            </w:r>
          </w:p>
        </w:tc>
        <w:tc>
          <w:tcPr>
            <w:tcW w:w="5970" w:type="dxa"/>
            <w:gridSpan w:val="9"/>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rFonts w:ascii="宋体" w:cs="宋体"/>
                <w:color w:val="000000"/>
                <w:kern w:val="0"/>
                <w:sz w:val="24"/>
              </w:rPr>
            </w:pPr>
            <w:r>
              <w:rPr>
                <w:rFonts w:hint="eastAsia" w:ascii="宋体" w:cs="宋体"/>
                <w:color w:val="000000"/>
                <w:kern w:val="0"/>
                <w:sz w:val="24"/>
              </w:rPr>
              <w:t>项目预算资金为：84.15万元，建设规模及内容：对闲置建筑室内进行地面、墙面及顶棚修缮，卫生间修复改造及相关设施配置。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After w:val="1"/>
          <w:wAfter w:w="51" w:type="dxa"/>
          <w:trHeight w:val="9" w:hRule="atLeast"/>
          <w:jc w:val="center"/>
        </w:trPr>
        <w:tc>
          <w:tcPr>
            <w:tcW w:w="653" w:type="dxa"/>
            <w:vMerge w:val="continue"/>
            <w:tcBorders>
              <w:top w:val="single" w:color="000000" w:sz="4" w:space="0"/>
              <w:left w:val="single" w:color="000000" w:sz="4" w:space="0"/>
              <w:bottom w:val="single" w:color="000000" w:sz="4" w:space="0"/>
              <w:right w:val="single" w:color="000000" w:sz="4" w:space="0"/>
              <w:tl2br w:val="nil"/>
              <w:tr2bl w:val="nil"/>
            </w:tcBorders>
            <w:noWrap/>
            <w:vAlign w:val="center"/>
          </w:tcPr>
          <w:p/>
        </w:tc>
        <w:tc>
          <w:tcPr>
            <w:tcW w:w="3662" w:type="dxa"/>
            <w:gridSpan w:val="4"/>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使用范围</w:t>
            </w:r>
          </w:p>
        </w:tc>
        <w:tc>
          <w:tcPr>
            <w:tcW w:w="5970" w:type="dxa"/>
            <w:gridSpan w:val="9"/>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rFonts w:ascii="宋体" w:cs="宋体"/>
                <w:color w:val="000000"/>
                <w:kern w:val="0"/>
                <w:sz w:val="24"/>
              </w:rPr>
            </w:pPr>
            <w:r>
              <w:rPr>
                <w:rFonts w:hint="eastAsia" w:ascii="宋体" w:cs="宋体"/>
                <w:color w:val="000000"/>
                <w:kern w:val="0"/>
                <w:sz w:val="24"/>
              </w:rPr>
              <w:t>该项目资金主要用于石碉楼乡7.29泥石流避险场所应急改造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51" w:type="dxa"/>
          <w:trHeight w:val="9" w:hRule="atLeast"/>
          <w:jc w:val="center"/>
        </w:trPr>
        <w:tc>
          <w:tcPr>
            <w:tcW w:w="653" w:type="dxa"/>
            <w:vMerge w:val="continue"/>
            <w:tcBorders>
              <w:top w:val="single" w:color="000000" w:sz="4" w:space="0"/>
              <w:left w:val="single" w:color="000000" w:sz="4" w:space="0"/>
              <w:bottom w:val="single" w:color="000000" w:sz="4" w:space="0"/>
              <w:right w:val="single" w:color="000000" w:sz="4" w:space="0"/>
              <w:tl2br w:val="nil"/>
              <w:tr2bl w:val="nil"/>
            </w:tcBorders>
            <w:noWrap/>
            <w:vAlign w:val="center"/>
          </w:tcPr>
          <w:p/>
        </w:tc>
        <w:tc>
          <w:tcPr>
            <w:tcW w:w="3662" w:type="dxa"/>
            <w:gridSpan w:val="4"/>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申报（补助）条件</w:t>
            </w:r>
          </w:p>
        </w:tc>
        <w:tc>
          <w:tcPr>
            <w:tcW w:w="5970" w:type="dxa"/>
            <w:gridSpan w:val="9"/>
            <w:tcBorders>
              <w:top w:val="single" w:color="000000" w:sz="4" w:space="0"/>
              <w:left w:val="single" w:color="000000" w:sz="4" w:space="0"/>
              <w:bottom w:val="single" w:color="000000" w:sz="4" w:space="0"/>
              <w:right w:val="single" w:color="000000" w:sz="4" w:space="0"/>
              <w:tl2br w:val="nil"/>
              <w:tr2bl w:val="nil"/>
            </w:tcBorders>
            <w:noWrap/>
            <w:vAlign w:val="center"/>
          </w:tcPr>
          <w:p>
            <w:pPr>
              <w:spacing w:line="300" w:lineRule="exact"/>
              <w:jc w:val="left"/>
              <w:rPr>
                <w:rFonts w:ascii="宋体" w:cs="宋体"/>
                <w:color w:val="000000"/>
                <w:sz w:val="24"/>
              </w:rPr>
            </w:pPr>
            <w:r>
              <w:rPr>
                <w:rFonts w:hint="eastAsia" w:ascii="宋体" w:cs="宋体"/>
                <w:color w:val="000000"/>
                <w:sz w:val="24"/>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After w:val="1"/>
          <w:wAfter w:w="51" w:type="dxa"/>
          <w:trHeight w:val="9" w:hRule="atLeast"/>
          <w:jc w:val="center"/>
        </w:trPr>
        <w:tc>
          <w:tcPr>
            <w:tcW w:w="653" w:type="dxa"/>
            <w:vMerge w:val="continue"/>
            <w:tcBorders>
              <w:top w:val="single" w:color="000000" w:sz="4" w:space="0"/>
              <w:left w:val="single" w:color="000000" w:sz="4" w:space="0"/>
              <w:bottom w:val="single" w:color="000000" w:sz="4" w:space="0"/>
              <w:right w:val="single" w:color="000000" w:sz="4" w:space="0"/>
              <w:tl2br w:val="nil"/>
              <w:tr2bl w:val="nil"/>
            </w:tcBorders>
            <w:noWrap/>
            <w:vAlign w:val="center"/>
          </w:tcPr>
          <w:p/>
        </w:tc>
        <w:tc>
          <w:tcPr>
            <w:tcW w:w="3662" w:type="dxa"/>
            <w:gridSpan w:val="4"/>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rFonts w:ascii="宋体" w:cs="宋体"/>
                <w:sz w:val="24"/>
              </w:rPr>
            </w:pPr>
            <w:r>
              <w:rPr>
                <w:rFonts w:ascii="宋体" w:cs="宋体"/>
                <w:kern w:val="0"/>
                <w:sz w:val="24"/>
              </w:rPr>
              <w:t>项目起止年限</w:t>
            </w:r>
          </w:p>
        </w:tc>
        <w:tc>
          <w:tcPr>
            <w:tcW w:w="5970" w:type="dxa"/>
            <w:gridSpan w:val="9"/>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rFonts w:ascii="宋体" w:cs="宋体"/>
                <w:kern w:val="0"/>
                <w:sz w:val="24"/>
              </w:rPr>
            </w:pPr>
            <w:r>
              <w:rPr>
                <w:rFonts w:hint="eastAsia"/>
                <w:kern w:val="0"/>
                <w:sz w:val="24"/>
              </w:rPr>
              <w:t>2025年8月至2025年9月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51" w:type="dxa"/>
          <w:trHeight w:val="9" w:hRule="atLeast"/>
          <w:jc w:val="center"/>
        </w:trPr>
        <w:tc>
          <w:tcPr>
            <w:tcW w:w="1739" w:type="dxa"/>
            <w:gridSpan w:val="2"/>
            <w:vMerge w:val="restart"/>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center"/>
              <w:textAlignment w:val="center"/>
              <w:rPr>
                <w:rFonts w:ascii="宋体" w:cs="宋体"/>
                <w:color w:val="000000"/>
                <w:kern w:val="0"/>
                <w:sz w:val="24"/>
              </w:rPr>
            </w:pPr>
            <w:r>
              <w:rPr>
                <w:rFonts w:ascii="宋体" w:cs="宋体"/>
                <w:color w:val="000000"/>
                <w:kern w:val="0"/>
                <w:sz w:val="24"/>
              </w:rPr>
              <w:t>项目资金</w:t>
            </w:r>
          </w:p>
          <w:p>
            <w:pPr>
              <w:widowControl/>
              <w:spacing w:line="300" w:lineRule="exact"/>
              <w:jc w:val="center"/>
              <w:textAlignment w:val="center"/>
              <w:rPr>
                <w:rFonts w:ascii="宋体" w:cs="宋体"/>
                <w:color w:val="000000"/>
                <w:sz w:val="24"/>
              </w:rPr>
            </w:pPr>
            <w:r>
              <w:rPr>
                <w:rFonts w:ascii="宋体" w:cs="宋体"/>
                <w:color w:val="000000"/>
                <w:kern w:val="0"/>
                <w:sz w:val="24"/>
              </w:rPr>
              <w:t>（万元）</w:t>
            </w:r>
          </w:p>
        </w:tc>
        <w:tc>
          <w:tcPr>
            <w:tcW w:w="2576" w:type="dxa"/>
            <w:gridSpan w:val="3"/>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 xml:space="preserve">  年度资金总额：</w:t>
            </w:r>
          </w:p>
        </w:tc>
        <w:tc>
          <w:tcPr>
            <w:tcW w:w="5970" w:type="dxa"/>
            <w:gridSpan w:val="9"/>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color w:val="000000"/>
                <w:kern w:val="0"/>
                <w:sz w:val="24"/>
              </w:rPr>
            </w:pPr>
            <w:r>
              <w:rPr>
                <w:rFonts w:hint="eastAsia"/>
                <w:color w:val="000000"/>
                <w:kern w:val="0"/>
                <w:sz w:val="24"/>
              </w:rPr>
              <w:t>84.15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After w:val="1"/>
          <w:wAfter w:w="51" w:type="dxa"/>
          <w:trHeight w:val="9" w:hRule="atLeast"/>
          <w:jc w:val="center"/>
        </w:trPr>
        <w:tc>
          <w:tcPr>
            <w:tcW w:w="1739" w:type="dxa"/>
            <w:gridSpan w:val="2"/>
            <w:vMerge w:val="continue"/>
            <w:tcBorders>
              <w:top w:val="single" w:color="000000" w:sz="4" w:space="0"/>
              <w:left w:val="single" w:color="000000" w:sz="4" w:space="0"/>
              <w:bottom w:val="single" w:color="000000" w:sz="4" w:space="0"/>
              <w:right w:val="single" w:color="000000" w:sz="4" w:space="0"/>
              <w:tl2br w:val="nil"/>
              <w:tr2bl w:val="nil"/>
            </w:tcBorders>
            <w:noWrap/>
            <w:vAlign w:val="center"/>
          </w:tcPr>
          <w:p/>
        </w:tc>
        <w:tc>
          <w:tcPr>
            <w:tcW w:w="2576" w:type="dxa"/>
            <w:gridSpan w:val="3"/>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其中：财政拨款</w:t>
            </w:r>
          </w:p>
        </w:tc>
        <w:tc>
          <w:tcPr>
            <w:tcW w:w="5970" w:type="dxa"/>
            <w:gridSpan w:val="9"/>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color w:val="000000"/>
                <w:kern w:val="0"/>
                <w:sz w:val="24"/>
              </w:rPr>
            </w:pPr>
            <w:r>
              <w:rPr>
                <w:rFonts w:hint="eastAsia"/>
                <w:color w:val="000000"/>
                <w:kern w:val="0"/>
                <w:sz w:val="24"/>
              </w:rPr>
              <w:t>84.15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51" w:type="dxa"/>
          <w:trHeight w:val="9" w:hRule="atLeast"/>
          <w:jc w:val="center"/>
        </w:trPr>
        <w:tc>
          <w:tcPr>
            <w:tcW w:w="1739" w:type="dxa"/>
            <w:gridSpan w:val="2"/>
            <w:vMerge w:val="continue"/>
            <w:tcBorders>
              <w:top w:val="single" w:color="000000" w:sz="4" w:space="0"/>
              <w:left w:val="single" w:color="000000" w:sz="4" w:space="0"/>
              <w:bottom w:val="single" w:color="000000" w:sz="4" w:space="0"/>
              <w:right w:val="single" w:color="000000" w:sz="4" w:space="0"/>
              <w:tl2br w:val="nil"/>
              <w:tr2bl w:val="nil"/>
            </w:tcBorders>
            <w:noWrap/>
            <w:vAlign w:val="center"/>
          </w:tcPr>
          <w:p/>
        </w:tc>
        <w:tc>
          <w:tcPr>
            <w:tcW w:w="2576" w:type="dxa"/>
            <w:gridSpan w:val="3"/>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 xml:space="preserve">            其他资金</w:t>
            </w:r>
          </w:p>
        </w:tc>
        <w:tc>
          <w:tcPr>
            <w:tcW w:w="5970" w:type="dxa"/>
            <w:gridSpan w:val="9"/>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color w:val="000000"/>
                <w:kern w:val="0"/>
                <w:sz w:val="24"/>
              </w:rPr>
            </w:pPr>
            <w:r>
              <w:rPr>
                <w:rFonts w:hint="eastAsia"/>
                <w:color w:val="000000"/>
                <w:kern w:val="0"/>
                <w:sz w:val="24"/>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After w:val="1"/>
          <w:wAfter w:w="51" w:type="dxa"/>
          <w:trHeight w:val="9" w:hRule="atLeast"/>
          <w:jc w:val="center"/>
        </w:trPr>
        <w:tc>
          <w:tcPr>
            <w:tcW w:w="653" w:type="dxa"/>
            <w:vMerge w:val="restart"/>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总体 目标</w:t>
            </w:r>
          </w:p>
        </w:tc>
        <w:tc>
          <w:tcPr>
            <w:tcW w:w="9631" w:type="dxa"/>
            <w:gridSpan w:val="13"/>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center"/>
              <w:textAlignment w:val="center"/>
              <w:rPr>
                <w:rFonts w:ascii="宋体" w:cs="宋体"/>
                <w:color w:val="000000"/>
                <w:kern w:val="0"/>
                <w:sz w:val="24"/>
              </w:rPr>
            </w:pPr>
            <w:r>
              <w:rPr>
                <w:rFonts w:ascii="宋体" w:cs="宋体"/>
                <w:color w:val="000000"/>
                <w:kern w:val="0"/>
                <w:sz w:val="24"/>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51" w:type="dxa"/>
          <w:trHeight w:val="9" w:hRule="atLeast"/>
          <w:jc w:val="center"/>
        </w:trPr>
        <w:tc>
          <w:tcPr>
            <w:tcW w:w="653" w:type="dxa"/>
            <w:vMerge w:val="continue"/>
            <w:tcBorders>
              <w:top w:val="single" w:color="000000" w:sz="4" w:space="0"/>
              <w:left w:val="single" w:color="000000" w:sz="4" w:space="0"/>
              <w:bottom w:val="single" w:color="000000" w:sz="4" w:space="0"/>
              <w:right w:val="single" w:color="000000" w:sz="4" w:space="0"/>
              <w:tl2br w:val="nil"/>
              <w:tr2bl w:val="nil"/>
            </w:tcBorders>
            <w:noWrap/>
            <w:vAlign w:val="center"/>
          </w:tcPr>
          <w:p/>
        </w:tc>
        <w:tc>
          <w:tcPr>
            <w:tcW w:w="9631" w:type="dxa"/>
            <w:gridSpan w:val="13"/>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rFonts w:ascii="宋体" w:cs="宋体"/>
                <w:color w:val="000000"/>
                <w:kern w:val="0"/>
                <w:sz w:val="24"/>
              </w:rPr>
            </w:pPr>
            <w:r>
              <w:rPr>
                <w:rFonts w:hint="eastAsia" w:ascii="宋体" w:cs="宋体"/>
                <w:color w:val="000000"/>
                <w:kern w:val="0"/>
                <w:sz w:val="24"/>
              </w:rPr>
              <w:t>项目预算资金为：93.74万元，建设规模及内容：对闲置建筑室内进行地面、墙面及顶棚修缮，卫生间修复改造及相关设施配置。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9" w:hRule="atLeast"/>
          <w:jc w:val="center"/>
        </w:trPr>
        <w:tc>
          <w:tcPr>
            <w:tcW w:w="653" w:type="dxa"/>
            <w:vMerge w:val="restart"/>
            <w:tcBorders>
              <w:top w:val="single" w:color="000000" w:sz="4" w:space="0"/>
              <w:left w:val="single" w:color="000000" w:sz="4" w:space="0"/>
              <w:right w:val="nil"/>
              <w:tl2br w:val="nil"/>
              <w:tr2bl w:val="nil"/>
            </w:tcBorders>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绩效 指标</w:t>
            </w:r>
          </w:p>
          <w:p>
            <w:pPr>
              <w:widowControl/>
              <w:textAlignment w:val="center"/>
              <w:rPr>
                <w:rFonts w:ascii="宋体" w:cs="宋体"/>
                <w:color w:val="000000"/>
                <w:kern w:val="0"/>
                <w:sz w:val="18"/>
                <w:szCs w:val="18"/>
              </w:rPr>
            </w:pPr>
          </w:p>
        </w:tc>
        <w:tc>
          <w:tcPr>
            <w:tcW w:w="1136"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一级指标</w:t>
            </w:r>
          </w:p>
        </w:tc>
        <w:tc>
          <w:tcPr>
            <w:tcW w:w="1160" w:type="dxa"/>
            <w:tcBorders>
              <w:top w:val="single" w:color="000000" w:sz="4" w:space="0"/>
              <w:left w:val="single" w:color="000000" w:sz="4" w:space="0"/>
              <w:bottom w:val="single" w:color="auto" w:sz="4" w:space="0"/>
              <w:right w:val="single" w:color="000000" w:sz="4" w:space="0"/>
              <w:tl2br w:val="nil"/>
              <w:tr2bl w:val="nil"/>
            </w:tcBorders>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二级指标</w:t>
            </w:r>
          </w:p>
        </w:tc>
        <w:tc>
          <w:tcPr>
            <w:tcW w:w="1415"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三级指标</w:t>
            </w:r>
          </w:p>
        </w:tc>
        <w:tc>
          <w:tcPr>
            <w:tcW w:w="1133"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指标性质</w:t>
            </w:r>
          </w:p>
        </w:tc>
        <w:tc>
          <w:tcPr>
            <w:tcW w:w="976"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指标值</w:t>
            </w:r>
          </w:p>
        </w:tc>
        <w:tc>
          <w:tcPr>
            <w:tcW w:w="1067"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度量单位</w:t>
            </w:r>
          </w:p>
        </w:tc>
        <w:tc>
          <w:tcPr>
            <w:tcW w:w="943"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权重</w:t>
            </w:r>
          </w:p>
        </w:tc>
        <w:tc>
          <w:tcPr>
            <w:tcW w:w="1853"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实际完成指标值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03" w:hRule="atLeast"/>
          <w:jc w:val="center"/>
        </w:trPr>
        <w:tc>
          <w:tcPr>
            <w:tcW w:w="653" w:type="dxa"/>
            <w:vMerge w:val="continue"/>
            <w:tcBorders>
              <w:top w:val="single" w:color="000000" w:sz="4" w:space="0"/>
              <w:left w:val="single" w:color="000000" w:sz="4" w:space="0"/>
              <w:bottom w:val="single" w:color="000000" w:sz="4" w:space="0"/>
              <w:right w:val="nil"/>
              <w:tl2br w:val="nil"/>
              <w:tr2bl w:val="nil"/>
            </w:tcBorders>
            <w:noWrap/>
            <w:vAlign w:val="center"/>
          </w:tcPr>
          <w:p/>
        </w:tc>
        <w:tc>
          <w:tcPr>
            <w:tcW w:w="1136" w:type="dxa"/>
            <w:gridSpan w:val="2"/>
            <w:tcBorders>
              <w:top w:val="single" w:color="000000" w:sz="4" w:space="0"/>
              <w:left w:val="single" w:color="000000" w:sz="4" w:space="0"/>
              <w:bottom w:val="single" w:color="000000" w:sz="4" w:space="0"/>
              <w:right w:val="single" w:color="auto"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产出指标</w:t>
            </w:r>
          </w:p>
        </w:tc>
        <w:tc>
          <w:tcPr>
            <w:tcW w:w="1160" w:type="dxa"/>
            <w:vMerge w:val="restart"/>
            <w:tcBorders>
              <w:top w:val="single" w:color="auto" w:sz="4" w:space="0"/>
              <w:left w:val="single" w:color="auto" w:sz="4" w:space="0"/>
              <w:bottom w:val="single" w:color="auto" w:sz="4" w:space="0"/>
              <w:right w:val="single" w:color="auto"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数量指标</w:t>
            </w:r>
          </w:p>
          <w:p>
            <w:pPr>
              <w:widowControl/>
              <w:jc w:val="center"/>
              <w:textAlignment w:val="center"/>
              <w:rPr>
                <w:rFonts w:ascii="宋体" w:cs="宋体"/>
                <w:color w:val="000000"/>
                <w:kern w:val="0"/>
                <w:sz w:val="18"/>
                <w:szCs w:val="18"/>
              </w:rPr>
            </w:pPr>
          </w:p>
        </w:tc>
        <w:tc>
          <w:tcPr>
            <w:tcW w:w="1415" w:type="dxa"/>
            <w:gridSpan w:val="2"/>
            <w:tcBorders>
              <w:top w:val="single" w:color="000000" w:sz="4" w:space="0"/>
              <w:left w:val="single" w:color="auto"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地面修缮（地砖）</w:t>
            </w:r>
          </w:p>
        </w:tc>
        <w:tc>
          <w:tcPr>
            <w:tcW w:w="1133"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w:t>
            </w:r>
          </w:p>
        </w:tc>
        <w:tc>
          <w:tcPr>
            <w:tcW w:w="976"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72.34</w:t>
            </w:r>
          </w:p>
        </w:tc>
        <w:tc>
          <w:tcPr>
            <w:tcW w:w="1067"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平方米</w:t>
            </w:r>
          </w:p>
        </w:tc>
        <w:tc>
          <w:tcPr>
            <w:tcW w:w="943"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5</w:t>
            </w:r>
          </w:p>
        </w:tc>
        <w:tc>
          <w:tcPr>
            <w:tcW w:w="1853"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72.34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227" w:hRule="atLeast"/>
          <w:jc w:val="center"/>
        </w:trPr>
        <w:tc>
          <w:tcPr>
            <w:tcW w:w="653" w:type="dxa"/>
            <w:vMerge w:val="continue"/>
            <w:tcBorders>
              <w:top w:val="single" w:color="000000" w:sz="4" w:space="0"/>
              <w:left w:val="single" w:color="000000" w:sz="4" w:space="0"/>
              <w:bottom w:val="single" w:color="000000" w:sz="4" w:space="0"/>
              <w:right w:val="nil"/>
              <w:tl2br w:val="nil"/>
              <w:tr2bl w:val="nil"/>
            </w:tcBorders>
            <w:noWrap/>
            <w:vAlign w:val="center"/>
          </w:tcPr>
          <w:p/>
        </w:tc>
        <w:tc>
          <w:tcPr>
            <w:tcW w:w="1136" w:type="dxa"/>
            <w:gridSpan w:val="2"/>
            <w:tcBorders>
              <w:top w:val="single" w:color="000000" w:sz="4" w:space="0"/>
              <w:left w:val="single" w:color="000000" w:sz="4" w:space="0"/>
              <w:bottom w:val="single" w:color="000000" w:sz="4" w:space="0"/>
              <w:right w:val="single" w:color="auto"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产出指标</w:t>
            </w:r>
          </w:p>
        </w:tc>
        <w:tc>
          <w:tcPr>
            <w:tcW w:w="1160" w:type="dxa"/>
            <w:vMerge w:val="continue"/>
            <w:tcBorders>
              <w:top w:val="single" w:color="auto" w:sz="4" w:space="0"/>
              <w:left w:val="single" w:color="auto" w:sz="4" w:space="0"/>
              <w:bottom w:val="single" w:color="000000" w:sz="4" w:space="0"/>
              <w:right w:val="single" w:color="auto" w:sz="4" w:space="0"/>
              <w:tl2br w:val="nil"/>
              <w:tr2bl w:val="nil"/>
            </w:tcBorders>
            <w:noWrap/>
            <w:vAlign w:val="center"/>
          </w:tcPr>
          <w:p/>
        </w:tc>
        <w:tc>
          <w:tcPr>
            <w:tcW w:w="1415" w:type="dxa"/>
            <w:gridSpan w:val="2"/>
            <w:tcBorders>
              <w:top w:val="single" w:color="000000" w:sz="4" w:space="0"/>
              <w:left w:val="single" w:color="auto"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卫生间修复（厚防潮隔断、洗漱台、单面镜）</w:t>
            </w:r>
          </w:p>
        </w:tc>
        <w:tc>
          <w:tcPr>
            <w:tcW w:w="1133"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w:t>
            </w:r>
          </w:p>
        </w:tc>
        <w:tc>
          <w:tcPr>
            <w:tcW w:w="976"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90.02</w:t>
            </w:r>
          </w:p>
        </w:tc>
        <w:tc>
          <w:tcPr>
            <w:tcW w:w="1067"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平方米</w:t>
            </w:r>
          </w:p>
        </w:tc>
        <w:tc>
          <w:tcPr>
            <w:tcW w:w="943"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5</w:t>
            </w:r>
          </w:p>
        </w:tc>
        <w:tc>
          <w:tcPr>
            <w:tcW w:w="1853"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90.02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13" w:hRule="atLeast"/>
          <w:jc w:val="center"/>
        </w:trPr>
        <w:tc>
          <w:tcPr>
            <w:tcW w:w="653" w:type="dxa"/>
            <w:vMerge w:val="continue"/>
            <w:tcBorders>
              <w:top w:val="single" w:color="000000" w:sz="4" w:space="0"/>
              <w:left w:val="single" w:color="000000" w:sz="4" w:space="0"/>
              <w:bottom w:val="single" w:color="000000" w:sz="4" w:space="0"/>
              <w:right w:val="nil"/>
              <w:tl2br w:val="nil"/>
              <w:tr2bl w:val="nil"/>
            </w:tcBorders>
            <w:noWrap/>
            <w:vAlign w:val="center"/>
          </w:tcPr>
          <w:p/>
        </w:tc>
        <w:tc>
          <w:tcPr>
            <w:tcW w:w="1136"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产出指标</w:t>
            </w:r>
          </w:p>
        </w:tc>
        <w:tc>
          <w:tcPr>
            <w:tcW w:w="1160" w:type="dxa"/>
            <w:vMerge w:val="continue"/>
            <w:tcBorders>
              <w:top w:val="single" w:color="auto" w:sz="4" w:space="0"/>
              <w:left w:val="single" w:color="auto" w:sz="4" w:space="0"/>
              <w:bottom w:val="single" w:color="000000" w:sz="4" w:space="0"/>
              <w:right w:val="single" w:color="auto" w:sz="4" w:space="0"/>
              <w:tl2br w:val="nil"/>
              <w:tr2bl w:val="nil"/>
            </w:tcBorders>
            <w:noWrap/>
            <w:vAlign w:val="center"/>
          </w:tcPr>
          <w:p/>
        </w:tc>
        <w:tc>
          <w:tcPr>
            <w:tcW w:w="1415"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顶棚修缮（铝合金扣板吊顶）</w:t>
            </w:r>
          </w:p>
        </w:tc>
        <w:tc>
          <w:tcPr>
            <w:tcW w:w="1133"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w:t>
            </w:r>
          </w:p>
        </w:tc>
        <w:tc>
          <w:tcPr>
            <w:tcW w:w="976"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72.34</w:t>
            </w:r>
          </w:p>
        </w:tc>
        <w:tc>
          <w:tcPr>
            <w:tcW w:w="1067"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平方米</w:t>
            </w:r>
          </w:p>
        </w:tc>
        <w:tc>
          <w:tcPr>
            <w:tcW w:w="943"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5</w:t>
            </w:r>
          </w:p>
        </w:tc>
        <w:tc>
          <w:tcPr>
            <w:tcW w:w="1853"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72.34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1" w:hRule="atLeast"/>
          <w:jc w:val="center"/>
        </w:trPr>
        <w:tc>
          <w:tcPr>
            <w:tcW w:w="653" w:type="dxa"/>
            <w:vMerge w:val="continue"/>
            <w:tcBorders>
              <w:top w:val="single" w:color="000000" w:sz="4" w:space="0"/>
              <w:left w:val="single" w:color="000000" w:sz="4" w:space="0"/>
              <w:bottom w:val="single" w:color="000000" w:sz="4" w:space="0"/>
              <w:right w:val="nil"/>
              <w:tl2br w:val="nil"/>
              <w:tr2bl w:val="nil"/>
            </w:tcBorders>
            <w:noWrap/>
            <w:vAlign w:val="center"/>
          </w:tcPr>
          <w:p/>
        </w:tc>
        <w:tc>
          <w:tcPr>
            <w:tcW w:w="1136"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产出指标</w:t>
            </w:r>
          </w:p>
        </w:tc>
        <w:tc>
          <w:tcPr>
            <w:tcW w:w="1160" w:type="dxa"/>
            <w:vMerge w:val="continue"/>
            <w:tcBorders>
              <w:top w:val="single" w:color="auto" w:sz="4" w:space="0"/>
              <w:left w:val="single" w:color="auto" w:sz="4" w:space="0"/>
              <w:bottom w:val="single" w:color="000000" w:sz="4" w:space="0"/>
              <w:right w:val="single" w:color="auto" w:sz="4" w:space="0"/>
              <w:tl2br w:val="nil"/>
              <w:tr2bl w:val="nil"/>
            </w:tcBorders>
            <w:noWrap/>
            <w:vAlign w:val="center"/>
          </w:tcPr>
          <w:p/>
        </w:tc>
        <w:tc>
          <w:tcPr>
            <w:tcW w:w="1415"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内墙修缮</w:t>
            </w:r>
          </w:p>
        </w:tc>
        <w:tc>
          <w:tcPr>
            <w:tcW w:w="1133"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w:t>
            </w:r>
          </w:p>
        </w:tc>
        <w:tc>
          <w:tcPr>
            <w:tcW w:w="976"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3983.42</w:t>
            </w:r>
          </w:p>
        </w:tc>
        <w:tc>
          <w:tcPr>
            <w:tcW w:w="1067"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平方米</w:t>
            </w:r>
          </w:p>
        </w:tc>
        <w:tc>
          <w:tcPr>
            <w:tcW w:w="943"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5</w:t>
            </w:r>
          </w:p>
        </w:tc>
        <w:tc>
          <w:tcPr>
            <w:tcW w:w="1853"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3983.42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13" w:hRule="atLeast"/>
          <w:jc w:val="center"/>
        </w:trPr>
        <w:tc>
          <w:tcPr>
            <w:tcW w:w="653" w:type="dxa"/>
            <w:vMerge w:val="continue"/>
            <w:tcBorders>
              <w:top w:val="single" w:color="000000" w:sz="4" w:space="0"/>
              <w:left w:val="single" w:color="000000" w:sz="4" w:space="0"/>
              <w:bottom w:val="single" w:color="000000" w:sz="4" w:space="0"/>
              <w:right w:val="nil"/>
              <w:tl2br w:val="nil"/>
              <w:tr2bl w:val="nil"/>
            </w:tcBorders>
            <w:noWrap/>
            <w:vAlign w:val="center"/>
          </w:tcPr>
          <w:p/>
        </w:tc>
        <w:tc>
          <w:tcPr>
            <w:tcW w:w="1136"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产出指标</w:t>
            </w:r>
          </w:p>
        </w:tc>
        <w:tc>
          <w:tcPr>
            <w:tcW w:w="1160" w:type="dxa"/>
            <w:vMerge w:val="continue"/>
            <w:tcBorders>
              <w:top w:val="single" w:color="auto" w:sz="4" w:space="0"/>
              <w:left w:val="single" w:color="auto" w:sz="4" w:space="0"/>
              <w:bottom w:val="single" w:color="000000" w:sz="4" w:space="0"/>
              <w:right w:val="single" w:color="auto" w:sz="4" w:space="0"/>
              <w:tl2br w:val="nil"/>
              <w:tr2bl w:val="nil"/>
            </w:tcBorders>
            <w:noWrap/>
            <w:vAlign w:val="center"/>
          </w:tcPr>
          <w:p/>
        </w:tc>
        <w:tc>
          <w:tcPr>
            <w:tcW w:w="1415"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顶棚修缮</w:t>
            </w:r>
            <w:r>
              <w:rPr>
                <w:rFonts w:ascii="宋体" w:cs="宋体"/>
                <w:color w:val="000000"/>
                <w:kern w:val="0"/>
                <w:sz w:val="18"/>
                <w:szCs w:val="18"/>
              </w:rPr>
              <w:t>（纸面石膏板吊顶）</w:t>
            </w:r>
          </w:p>
        </w:tc>
        <w:tc>
          <w:tcPr>
            <w:tcW w:w="1133"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w:t>
            </w:r>
          </w:p>
        </w:tc>
        <w:tc>
          <w:tcPr>
            <w:tcW w:w="976"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120</w:t>
            </w:r>
          </w:p>
        </w:tc>
        <w:tc>
          <w:tcPr>
            <w:tcW w:w="1067"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平方米</w:t>
            </w:r>
          </w:p>
        </w:tc>
        <w:tc>
          <w:tcPr>
            <w:tcW w:w="943"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5</w:t>
            </w:r>
          </w:p>
        </w:tc>
        <w:tc>
          <w:tcPr>
            <w:tcW w:w="1853"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120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227" w:hRule="atLeast"/>
          <w:jc w:val="center"/>
        </w:trPr>
        <w:tc>
          <w:tcPr>
            <w:tcW w:w="653" w:type="dxa"/>
            <w:vMerge w:val="continue"/>
            <w:tcBorders>
              <w:top w:val="single" w:color="000000" w:sz="4" w:space="0"/>
              <w:left w:val="single" w:color="000000" w:sz="4" w:space="0"/>
              <w:bottom w:val="single" w:color="000000" w:sz="4" w:space="0"/>
              <w:right w:val="nil"/>
              <w:tl2br w:val="nil"/>
              <w:tr2bl w:val="nil"/>
            </w:tcBorders>
            <w:noWrap/>
            <w:vAlign w:val="center"/>
          </w:tcPr>
          <w:p/>
        </w:tc>
        <w:tc>
          <w:tcPr>
            <w:tcW w:w="1136"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产出指标</w:t>
            </w:r>
          </w:p>
        </w:tc>
        <w:tc>
          <w:tcPr>
            <w:tcW w:w="1160" w:type="dxa"/>
            <w:vMerge w:val="continue"/>
            <w:tcBorders>
              <w:top w:val="single" w:color="auto" w:sz="4" w:space="0"/>
              <w:left w:val="single" w:color="auto" w:sz="4" w:space="0"/>
              <w:bottom w:val="single" w:color="000000" w:sz="4" w:space="0"/>
              <w:right w:val="single" w:color="auto" w:sz="4" w:space="0"/>
              <w:tl2br w:val="nil"/>
              <w:tr2bl w:val="nil"/>
            </w:tcBorders>
            <w:noWrap/>
            <w:vAlign w:val="center"/>
          </w:tcPr>
          <w:p/>
        </w:tc>
        <w:tc>
          <w:tcPr>
            <w:tcW w:w="1415"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地面修缮（厚强化木地板、踢脚线）</w:t>
            </w:r>
          </w:p>
        </w:tc>
        <w:tc>
          <w:tcPr>
            <w:tcW w:w="1133"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w:t>
            </w:r>
          </w:p>
        </w:tc>
        <w:tc>
          <w:tcPr>
            <w:tcW w:w="976"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180</w:t>
            </w:r>
          </w:p>
        </w:tc>
        <w:tc>
          <w:tcPr>
            <w:tcW w:w="1067"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平方米</w:t>
            </w:r>
          </w:p>
        </w:tc>
        <w:tc>
          <w:tcPr>
            <w:tcW w:w="943" w:type="dxa"/>
            <w:gridSpan w:val="2"/>
            <w:tcBorders>
              <w:top w:val="single" w:color="000000" w:sz="4" w:space="0"/>
              <w:left w:val="single" w:color="000000" w:sz="4" w:space="0"/>
              <w:bottom w:val="single" w:color="000000" w:sz="4" w:space="0"/>
              <w:right w:val="single" w:color="000000" w:sz="4" w:space="0"/>
              <w:tl2br w:val="nil"/>
              <w:tr2bl w:val="nil"/>
            </w:tcBorders>
            <w:noWrap/>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5</w:t>
            </w:r>
          </w:p>
        </w:tc>
        <w:tc>
          <w:tcPr>
            <w:tcW w:w="1853" w:type="dxa"/>
            <w:gridSpan w:val="2"/>
            <w:tcBorders>
              <w:top w:val="single" w:color="000000" w:sz="4" w:space="0"/>
              <w:left w:val="single" w:color="000000" w:sz="4" w:space="0"/>
              <w:bottom w:val="single" w:color="000000" w:sz="4" w:space="0"/>
              <w:right w:val="single" w:color="000000" w:sz="4" w:space="0"/>
              <w:tl2br w:val="nil"/>
              <w:tr2bl w:val="nil"/>
            </w:tcBorders>
            <w:noWrap/>
          </w:tcPr>
          <w:p>
            <w:pPr>
              <w:widowControl/>
              <w:jc w:val="center"/>
              <w:textAlignment w:val="center"/>
              <w:rPr>
                <w:rFonts w:ascii="宋体" w:cs="宋体"/>
                <w:color w:val="000000"/>
                <w:kern w:val="0"/>
                <w:sz w:val="18"/>
                <w:szCs w:val="18"/>
              </w:rPr>
            </w:pPr>
            <w:r>
              <w:rPr>
                <w:rFonts w:ascii="宋体" w:cs="宋体"/>
                <w:color w:val="000000"/>
                <w:kern w:val="0"/>
                <w:sz w:val="18"/>
                <w:szCs w:val="18"/>
              </w:rPr>
              <w:t>180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1" w:hRule="atLeast"/>
          <w:jc w:val="center"/>
        </w:trPr>
        <w:tc>
          <w:tcPr>
            <w:tcW w:w="653" w:type="dxa"/>
            <w:vMerge w:val="continue"/>
            <w:tcBorders>
              <w:top w:val="single" w:color="000000" w:sz="4" w:space="0"/>
              <w:left w:val="single" w:color="000000" w:sz="4" w:space="0"/>
              <w:bottom w:val="single" w:color="000000" w:sz="4" w:space="0"/>
              <w:right w:val="nil"/>
              <w:tl2br w:val="nil"/>
              <w:tr2bl w:val="nil"/>
            </w:tcBorders>
            <w:noWrap/>
            <w:vAlign w:val="center"/>
          </w:tcPr>
          <w:p/>
        </w:tc>
        <w:tc>
          <w:tcPr>
            <w:tcW w:w="1136" w:type="dxa"/>
            <w:gridSpan w:val="2"/>
            <w:tcBorders>
              <w:top w:val="single" w:color="000000" w:sz="4" w:space="0"/>
              <w:left w:val="single" w:color="000000" w:sz="4" w:space="0"/>
              <w:bottom w:val="single" w:color="000000" w:sz="4" w:space="0"/>
              <w:right w:val="single" w:color="000000" w:sz="4" w:space="0"/>
              <w:tl2br w:val="nil"/>
              <w:tr2bl w:val="nil"/>
            </w:tcBorders>
            <w:noWrap/>
          </w:tcPr>
          <w:p>
            <w:pPr>
              <w:widowControl/>
              <w:jc w:val="center"/>
              <w:textAlignment w:val="center"/>
              <w:rPr>
                <w:rFonts w:ascii="宋体" w:cs="宋体"/>
                <w:color w:val="000000"/>
                <w:kern w:val="0"/>
                <w:sz w:val="18"/>
                <w:szCs w:val="18"/>
              </w:rPr>
            </w:pPr>
            <w:r>
              <w:rPr>
                <w:rFonts w:ascii="宋体" w:cs="宋体"/>
                <w:color w:val="000000"/>
                <w:kern w:val="0"/>
                <w:sz w:val="18"/>
                <w:szCs w:val="18"/>
              </w:rPr>
              <w:t>产出指标</w:t>
            </w:r>
          </w:p>
        </w:tc>
        <w:tc>
          <w:tcPr>
            <w:tcW w:w="1160" w:type="dxa"/>
            <w:vMerge w:val="continue"/>
            <w:tcBorders>
              <w:top w:val="single" w:color="auto" w:sz="4" w:space="0"/>
              <w:left w:val="single" w:color="auto" w:sz="4" w:space="0"/>
              <w:bottom w:val="single" w:color="000000" w:sz="4" w:space="0"/>
              <w:right w:val="single" w:color="auto" w:sz="4" w:space="0"/>
              <w:tl2br w:val="nil"/>
              <w:tr2bl w:val="nil"/>
            </w:tcBorders>
            <w:noWrap/>
            <w:vAlign w:val="center"/>
          </w:tcPr>
          <w:p/>
        </w:tc>
        <w:tc>
          <w:tcPr>
            <w:tcW w:w="1415"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卫生间</w:t>
            </w:r>
            <w:r>
              <w:rPr>
                <w:rFonts w:ascii="宋体" w:cs="宋体"/>
                <w:color w:val="000000"/>
                <w:kern w:val="0"/>
                <w:sz w:val="18"/>
                <w:szCs w:val="18"/>
              </w:rPr>
              <w:t>修复（防水、墙砖）</w:t>
            </w:r>
          </w:p>
        </w:tc>
        <w:tc>
          <w:tcPr>
            <w:tcW w:w="1133"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w:t>
            </w:r>
          </w:p>
        </w:tc>
        <w:tc>
          <w:tcPr>
            <w:tcW w:w="976"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542.22</w:t>
            </w:r>
          </w:p>
        </w:tc>
        <w:tc>
          <w:tcPr>
            <w:tcW w:w="1067"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平方米</w:t>
            </w:r>
          </w:p>
        </w:tc>
        <w:tc>
          <w:tcPr>
            <w:tcW w:w="943" w:type="dxa"/>
            <w:gridSpan w:val="2"/>
            <w:tcBorders>
              <w:top w:val="single" w:color="000000" w:sz="4" w:space="0"/>
              <w:left w:val="single" w:color="000000" w:sz="4" w:space="0"/>
              <w:bottom w:val="single" w:color="000000" w:sz="4" w:space="0"/>
              <w:right w:val="single" w:color="000000" w:sz="4" w:space="0"/>
              <w:tl2br w:val="nil"/>
              <w:tr2bl w:val="nil"/>
            </w:tcBorders>
            <w:noWrap/>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5</w:t>
            </w:r>
          </w:p>
        </w:tc>
        <w:tc>
          <w:tcPr>
            <w:tcW w:w="1853" w:type="dxa"/>
            <w:gridSpan w:val="2"/>
            <w:tcBorders>
              <w:top w:val="single" w:color="000000" w:sz="4" w:space="0"/>
              <w:left w:val="single" w:color="000000" w:sz="4" w:space="0"/>
              <w:bottom w:val="single" w:color="000000" w:sz="4" w:space="0"/>
              <w:right w:val="single" w:color="000000" w:sz="4" w:space="0"/>
              <w:tl2br w:val="nil"/>
              <w:tr2bl w:val="nil"/>
            </w:tcBorders>
            <w:noWrap/>
          </w:tcPr>
          <w:p>
            <w:pPr>
              <w:widowControl/>
              <w:jc w:val="center"/>
              <w:textAlignment w:val="center"/>
              <w:rPr>
                <w:rFonts w:ascii="宋体" w:cs="宋体"/>
                <w:color w:val="000000"/>
                <w:kern w:val="0"/>
                <w:sz w:val="18"/>
                <w:szCs w:val="18"/>
              </w:rPr>
            </w:pPr>
            <w:r>
              <w:rPr>
                <w:rFonts w:ascii="宋体" w:cs="宋体"/>
                <w:color w:val="000000"/>
                <w:kern w:val="0"/>
                <w:sz w:val="18"/>
                <w:szCs w:val="18"/>
              </w:rPr>
              <w:t>542.22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16" w:hRule="atLeast"/>
          <w:jc w:val="center"/>
        </w:trPr>
        <w:tc>
          <w:tcPr>
            <w:tcW w:w="653" w:type="dxa"/>
            <w:vMerge w:val="continue"/>
            <w:tcBorders>
              <w:top w:val="single" w:color="000000" w:sz="4" w:space="0"/>
              <w:left w:val="single" w:color="000000" w:sz="4" w:space="0"/>
              <w:bottom w:val="single" w:color="000000" w:sz="4" w:space="0"/>
              <w:right w:val="nil"/>
              <w:tl2br w:val="nil"/>
              <w:tr2bl w:val="nil"/>
            </w:tcBorders>
            <w:noWrap/>
            <w:vAlign w:val="center"/>
          </w:tcPr>
          <w:p/>
        </w:tc>
        <w:tc>
          <w:tcPr>
            <w:tcW w:w="1136" w:type="dxa"/>
            <w:gridSpan w:val="2"/>
            <w:tcBorders>
              <w:top w:val="single" w:color="000000" w:sz="4" w:space="0"/>
              <w:left w:val="single" w:color="000000" w:sz="4" w:space="0"/>
              <w:bottom w:val="single" w:color="000000" w:sz="4" w:space="0"/>
              <w:right w:val="single" w:color="000000" w:sz="4" w:space="0"/>
              <w:tl2br w:val="nil"/>
              <w:tr2bl w:val="nil"/>
            </w:tcBorders>
            <w:noWrap/>
          </w:tcPr>
          <w:p>
            <w:pPr>
              <w:widowControl/>
              <w:jc w:val="center"/>
              <w:textAlignment w:val="center"/>
              <w:rPr>
                <w:rFonts w:ascii="宋体" w:cs="宋体"/>
                <w:color w:val="000000"/>
                <w:kern w:val="0"/>
                <w:sz w:val="18"/>
                <w:szCs w:val="18"/>
              </w:rPr>
            </w:pPr>
            <w:r>
              <w:rPr>
                <w:rFonts w:ascii="宋体" w:cs="宋体"/>
                <w:color w:val="000000"/>
                <w:kern w:val="0"/>
                <w:sz w:val="18"/>
                <w:szCs w:val="18"/>
              </w:rPr>
              <w:t>产出指标</w:t>
            </w:r>
          </w:p>
        </w:tc>
        <w:tc>
          <w:tcPr>
            <w:tcW w:w="1160" w:type="dxa"/>
            <w:vMerge w:val="continue"/>
            <w:tcBorders>
              <w:top w:val="single" w:color="auto" w:sz="4" w:space="0"/>
              <w:left w:val="single" w:color="auto" w:sz="4" w:space="0"/>
              <w:bottom w:val="single" w:color="000000" w:sz="4" w:space="0"/>
              <w:right w:val="single" w:color="auto" w:sz="4" w:space="0"/>
              <w:tl2br w:val="nil"/>
              <w:tr2bl w:val="nil"/>
            </w:tcBorders>
            <w:noWrap/>
            <w:vAlign w:val="center"/>
          </w:tcPr>
          <w:p/>
        </w:tc>
        <w:tc>
          <w:tcPr>
            <w:tcW w:w="1415"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tbl>
            <w:tblPr>
              <w:tblStyle w:val="10"/>
              <w:tblW w:w="17763" w:type="dxa"/>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0" w:type="dxa"/>
                <w:left w:w="0" w:type="dxa"/>
                <w:bottom w:w="0" w:type="dxa"/>
                <w:right w:w="0" w:type="dxa"/>
              </w:tblCellMar>
            </w:tblPr>
            <w:tblGrid>
              <w:gridCol w:w="17642"/>
              <w:gridCol w:w="12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70" w:hRule="atLeast"/>
                <w:tblCellSpacing w:w="0" w:type="dxa"/>
              </w:trPr>
              <w:tc>
                <w:tcPr>
                  <w:tcW w:w="17642" w:type="dxa"/>
                  <w:shd w:val="clear" w:color="auto" w:fill="FFFFFF"/>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外墙修缮</w:t>
                  </w:r>
                </w:p>
              </w:tc>
              <w:tc>
                <w:tcPr>
                  <w:tcW w:w="121" w:type="dxa"/>
                  <w:shd w:val="clear" w:color="auto" w:fill="FFFFFF"/>
                  <w:vAlign w:val="center"/>
                </w:tcPr>
                <w:p>
                  <w:pPr>
                    <w:widowControl/>
                    <w:jc w:val="center"/>
                    <w:textAlignment w:val="center"/>
                    <w:rPr>
                      <w:rFonts w:ascii="宋体" w:cs="宋体"/>
                      <w:color w:val="000000"/>
                      <w:kern w:val="0"/>
                      <w:sz w:val="18"/>
                      <w:szCs w:val="18"/>
                    </w:rPr>
                  </w:pPr>
                </w:p>
              </w:tc>
            </w:tr>
          </w:tbl>
          <w:p>
            <w:pPr>
              <w:widowControl/>
              <w:jc w:val="center"/>
              <w:textAlignment w:val="center"/>
              <w:rPr>
                <w:rFonts w:ascii="宋体" w:cs="宋体"/>
                <w:color w:val="000000"/>
                <w:kern w:val="0"/>
                <w:sz w:val="18"/>
                <w:szCs w:val="18"/>
              </w:rPr>
            </w:pPr>
          </w:p>
        </w:tc>
        <w:tc>
          <w:tcPr>
            <w:tcW w:w="1133"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w:t>
            </w:r>
          </w:p>
        </w:tc>
        <w:tc>
          <w:tcPr>
            <w:tcW w:w="976"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2363.11.</w:t>
            </w:r>
          </w:p>
        </w:tc>
        <w:tc>
          <w:tcPr>
            <w:tcW w:w="1067"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平方米</w:t>
            </w:r>
          </w:p>
        </w:tc>
        <w:tc>
          <w:tcPr>
            <w:tcW w:w="943" w:type="dxa"/>
            <w:gridSpan w:val="2"/>
            <w:tcBorders>
              <w:top w:val="single" w:color="000000" w:sz="4" w:space="0"/>
              <w:left w:val="single" w:color="000000" w:sz="4" w:space="0"/>
              <w:bottom w:val="single" w:color="000000" w:sz="4" w:space="0"/>
              <w:right w:val="single" w:color="000000" w:sz="4" w:space="0"/>
              <w:tl2br w:val="nil"/>
              <w:tr2bl w:val="nil"/>
            </w:tcBorders>
            <w:noWrap/>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5</w:t>
            </w:r>
          </w:p>
        </w:tc>
        <w:tc>
          <w:tcPr>
            <w:tcW w:w="1853" w:type="dxa"/>
            <w:gridSpan w:val="2"/>
            <w:tcBorders>
              <w:top w:val="single" w:color="000000" w:sz="4" w:space="0"/>
              <w:left w:val="single" w:color="000000" w:sz="4" w:space="0"/>
              <w:bottom w:val="single" w:color="000000" w:sz="4" w:space="0"/>
              <w:right w:val="single" w:color="000000" w:sz="4" w:space="0"/>
              <w:tl2br w:val="nil"/>
              <w:tr2bl w:val="nil"/>
            </w:tcBorders>
            <w:noWrap/>
          </w:tcPr>
          <w:p>
            <w:pPr>
              <w:widowControl/>
              <w:jc w:val="center"/>
              <w:textAlignment w:val="center"/>
              <w:rPr>
                <w:rFonts w:ascii="宋体" w:cs="宋体"/>
                <w:color w:val="000000"/>
                <w:kern w:val="0"/>
                <w:sz w:val="18"/>
                <w:szCs w:val="18"/>
              </w:rPr>
            </w:pPr>
            <w:r>
              <w:rPr>
                <w:rFonts w:ascii="宋体" w:cs="宋体"/>
                <w:color w:val="000000"/>
                <w:kern w:val="0"/>
                <w:sz w:val="18"/>
                <w:szCs w:val="18"/>
              </w:rPr>
              <w:t>2363.11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1" w:hRule="atLeast"/>
          <w:jc w:val="center"/>
        </w:trPr>
        <w:tc>
          <w:tcPr>
            <w:tcW w:w="653" w:type="dxa"/>
            <w:vMerge w:val="continue"/>
            <w:tcBorders>
              <w:top w:val="single" w:color="000000" w:sz="4" w:space="0"/>
              <w:left w:val="single" w:color="000000" w:sz="4" w:space="0"/>
              <w:bottom w:val="single" w:color="000000" w:sz="4" w:space="0"/>
              <w:right w:val="nil"/>
              <w:tl2br w:val="nil"/>
              <w:tr2bl w:val="nil"/>
            </w:tcBorders>
            <w:noWrap/>
            <w:vAlign w:val="center"/>
          </w:tcPr>
          <w:p/>
        </w:tc>
        <w:tc>
          <w:tcPr>
            <w:tcW w:w="1136" w:type="dxa"/>
            <w:gridSpan w:val="2"/>
            <w:tcBorders>
              <w:top w:val="single" w:color="000000" w:sz="4" w:space="0"/>
              <w:left w:val="single" w:color="000000" w:sz="4" w:space="0"/>
              <w:bottom w:val="single" w:color="000000" w:sz="4" w:space="0"/>
              <w:right w:val="single" w:color="000000" w:sz="4" w:space="0"/>
              <w:tl2br w:val="nil"/>
              <w:tr2bl w:val="nil"/>
            </w:tcBorders>
            <w:noWrap/>
          </w:tcPr>
          <w:p>
            <w:pPr>
              <w:widowControl/>
              <w:jc w:val="center"/>
              <w:textAlignment w:val="center"/>
              <w:rPr>
                <w:rFonts w:ascii="宋体" w:cs="宋体"/>
                <w:color w:val="000000"/>
                <w:kern w:val="0"/>
                <w:sz w:val="18"/>
                <w:szCs w:val="18"/>
              </w:rPr>
            </w:pPr>
            <w:r>
              <w:rPr>
                <w:rFonts w:ascii="宋体" w:cs="宋体"/>
                <w:color w:val="000000"/>
                <w:kern w:val="0"/>
                <w:sz w:val="18"/>
                <w:szCs w:val="18"/>
              </w:rPr>
              <w:t>产出指标</w:t>
            </w:r>
          </w:p>
        </w:tc>
        <w:tc>
          <w:tcPr>
            <w:tcW w:w="1160" w:type="dxa"/>
            <w:tcBorders>
              <w:top w:val="single" w:color="auto"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时效指标</w:t>
            </w:r>
          </w:p>
        </w:tc>
        <w:tc>
          <w:tcPr>
            <w:tcW w:w="1415"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建设工期</w:t>
            </w:r>
          </w:p>
        </w:tc>
        <w:tc>
          <w:tcPr>
            <w:tcW w:w="1133"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w:t>
            </w:r>
          </w:p>
        </w:tc>
        <w:tc>
          <w:tcPr>
            <w:tcW w:w="976"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2</w:t>
            </w:r>
          </w:p>
        </w:tc>
        <w:tc>
          <w:tcPr>
            <w:tcW w:w="1067"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月</w:t>
            </w:r>
          </w:p>
        </w:tc>
        <w:tc>
          <w:tcPr>
            <w:tcW w:w="943"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5</w:t>
            </w:r>
          </w:p>
        </w:tc>
        <w:tc>
          <w:tcPr>
            <w:tcW w:w="1853"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13" w:hRule="atLeast"/>
          <w:jc w:val="center"/>
        </w:trPr>
        <w:tc>
          <w:tcPr>
            <w:tcW w:w="653" w:type="dxa"/>
            <w:vMerge w:val="continue"/>
            <w:tcBorders>
              <w:top w:val="single" w:color="000000" w:sz="4" w:space="0"/>
              <w:left w:val="single" w:color="000000" w:sz="4" w:space="0"/>
              <w:bottom w:val="single" w:color="000000" w:sz="4" w:space="0"/>
              <w:right w:val="nil"/>
              <w:tl2br w:val="nil"/>
              <w:tr2bl w:val="nil"/>
            </w:tcBorders>
            <w:noWrap/>
            <w:vAlign w:val="center"/>
          </w:tcPr>
          <w:p/>
        </w:tc>
        <w:tc>
          <w:tcPr>
            <w:tcW w:w="1136" w:type="dxa"/>
            <w:gridSpan w:val="2"/>
            <w:tcBorders>
              <w:top w:val="single" w:color="000000" w:sz="4" w:space="0"/>
              <w:left w:val="single" w:color="000000" w:sz="4" w:space="0"/>
              <w:bottom w:val="single" w:color="000000" w:sz="4" w:space="0"/>
              <w:right w:val="single" w:color="000000" w:sz="4" w:space="0"/>
              <w:tl2br w:val="nil"/>
              <w:tr2bl w:val="nil"/>
            </w:tcBorders>
            <w:noWrap/>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产出指标</w:t>
            </w:r>
          </w:p>
        </w:tc>
        <w:tc>
          <w:tcPr>
            <w:tcW w:w="1160" w:type="dxa"/>
            <w:tcBorders>
              <w:top w:val="single" w:color="auto"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质量指标</w:t>
            </w:r>
          </w:p>
        </w:tc>
        <w:tc>
          <w:tcPr>
            <w:tcW w:w="1415"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项目验收合格率达合格以上</w:t>
            </w:r>
          </w:p>
        </w:tc>
        <w:tc>
          <w:tcPr>
            <w:tcW w:w="1133"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w:t>
            </w:r>
          </w:p>
        </w:tc>
        <w:tc>
          <w:tcPr>
            <w:tcW w:w="976"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100</w:t>
            </w:r>
          </w:p>
        </w:tc>
        <w:tc>
          <w:tcPr>
            <w:tcW w:w="1067"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w:t>
            </w:r>
          </w:p>
        </w:tc>
        <w:tc>
          <w:tcPr>
            <w:tcW w:w="943"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5</w:t>
            </w:r>
          </w:p>
        </w:tc>
        <w:tc>
          <w:tcPr>
            <w:tcW w:w="1853"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13" w:hRule="atLeast"/>
          <w:jc w:val="center"/>
        </w:trPr>
        <w:tc>
          <w:tcPr>
            <w:tcW w:w="653" w:type="dxa"/>
            <w:vMerge w:val="continue"/>
            <w:tcBorders>
              <w:top w:val="single" w:color="000000" w:sz="4" w:space="0"/>
              <w:left w:val="single" w:color="000000" w:sz="4" w:space="0"/>
              <w:bottom w:val="single" w:color="000000" w:sz="4" w:space="0"/>
              <w:right w:val="nil"/>
              <w:tl2br w:val="nil"/>
              <w:tr2bl w:val="nil"/>
            </w:tcBorders>
            <w:noWrap/>
            <w:vAlign w:val="center"/>
          </w:tcPr>
          <w:p/>
        </w:tc>
        <w:tc>
          <w:tcPr>
            <w:tcW w:w="1136" w:type="dxa"/>
            <w:gridSpan w:val="2"/>
            <w:tcBorders>
              <w:top w:val="single" w:color="000000" w:sz="4" w:space="0"/>
              <w:left w:val="single" w:color="000000" w:sz="4" w:space="0"/>
              <w:bottom w:val="single" w:color="000000" w:sz="4" w:space="0"/>
              <w:right w:val="single" w:color="000000" w:sz="4" w:space="0"/>
              <w:tl2br w:val="nil"/>
              <w:tr2bl w:val="nil"/>
            </w:tcBorders>
            <w:noWrap/>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效益指标</w:t>
            </w:r>
          </w:p>
        </w:tc>
        <w:tc>
          <w:tcPr>
            <w:tcW w:w="1160" w:type="dxa"/>
            <w:tcBorders>
              <w:top w:val="single" w:color="auto"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社会效益指标</w:t>
            </w:r>
          </w:p>
        </w:tc>
        <w:tc>
          <w:tcPr>
            <w:tcW w:w="1415"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受灾群众及时安置率提升</w:t>
            </w:r>
          </w:p>
        </w:tc>
        <w:tc>
          <w:tcPr>
            <w:tcW w:w="1133"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w:t>
            </w:r>
          </w:p>
        </w:tc>
        <w:tc>
          <w:tcPr>
            <w:tcW w:w="976"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95</w:t>
            </w:r>
          </w:p>
        </w:tc>
        <w:tc>
          <w:tcPr>
            <w:tcW w:w="1067"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w:t>
            </w:r>
          </w:p>
        </w:tc>
        <w:tc>
          <w:tcPr>
            <w:tcW w:w="943"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95</w:t>
            </w:r>
          </w:p>
        </w:tc>
        <w:tc>
          <w:tcPr>
            <w:tcW w:w="1853"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55" w:hRule="atLeast"/>
          <w:jc w:val="center"/>
        </w:trPr>
        <w:tc>
          <w:tcPr>
            <w:tcW w:w="653" w:type="dxa"/>
            <w:vMerge w:val="continue"/>
            <w:tcBorders>
              <w:top w:val="single" w:color="000000" w:sz="4" w:space="0"/>
              <w:left w:val="single" w:color="000000" w:sz="4" w:space="0"/>
              <w:bottom w:val="single" w:color="000000" w:sz="4" w:space="0"/>
              <w:right w:val="nil"/>
              <w:tl2br w:val="nil"/>
              <w:tr2bl w:val="nil"/>
            </w:tcBorders>
            <w:noWrap/>
            <w:vAlign w:val="center"/>
          </w:tcPr>
          <w:p/>
        </w:tc>
        <w:tc>
          <w:tcPr>
            <w:tcW w:w="1136" w:type="dxa"/>
            <w:gridSpan w:val="2"/>
            <w:tcBorders>
              <w:top w:val="single" w:color="000000" w:sz="4" w:space="0"/>
              <w:left w:val="single" w:color="000000" w:sz="4" w:space="0"/>
              <w:bottom w:val="single" w:color="000000" w:sz="4" w:space="0"/>
              <w:right w:val="single" w:color="000000" w:sz="4" w:space="0"/>
              <w:tl2br w:val="nil"/>
              <w:tr2bl w:val="nil"/>
            </w:tcBorders>
            <w:noWrap/>
          </w:tcPr>
          <w:p>
            <w:pPr>
              <w:widowControl/>
              <w:jc w:val="center"/>
              <w:textAlignment w:val="center"/>
              <w:rPr>
                <w:rFonts w:ascii="Helvetica" w:hAnsi="Helvetica"/>
                <w:color w:val="000000"/>
                <w:sz w:val="22"/>
                <w:szCs w:val="22"/>
                <w:shd w:val="clear" w:color="auto" w:fill="FFFFFF"/>
              </w:rPr>
            </w:pPr>
            <w:r>
              <w:rPr>
                <w:rFonts w:hint="eastAsia" w:ascii="Helvetica" w:hAnsi="Helvetica"/>
                <w:color w:val="000000"/>
                <w:sz w:val="22"/>
                <w:szCs w:val="22"/>
                <w:shd w:val="clear" w:color="auto" w:fill="FFFFFF"/>
              </w:rPr>
              <w:t>效益指标</w:t>
            </w:r>
          </w:p>
        </w:tc>
        <w:tc>
          <w:tcPr>
            <w:tcW w:w="1160" w:type="dxa"/>
            <w:tcBorders>
              <w:top w:val="single" w:color="auto" w:sz="4" w:space="0"/>
              <w:left w:val="single" w:color="000000" w:sz="4" w:space="0"/>
              <w:bottom w:val="single" w:color="000000" w:sz="4" w:space="0"/>
              <w:right w:val="single" w:color="000000" w:sz="4" w:space="0"/>
              <w:tl2br w:val="nil"/>
              <w:tr2bl w:val="nil"/>
            </w:tcBorders>
            <w:noWrap/>
            <w:vAlign w:val="center"/>
          </w:tcPr>
          <w:tbl>
            <w:tblPr>
              <w:tblStyle w:val="10"/>
              <w:tblW w:w="53" w:type="dxa"/>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0" w:type="dxa"/>
                <w:left w:w="0" w:type="dxa"/>
                <w:bottom w:w="0" w:type="dxa"/>
                <w:right w:w="0" w:type="dxa"/>
              </w:tblCellMar>
            </w:tblPr>
            <w:tblGrid>
              <w:gridCol w:w="5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70" w:hRule="atLeast"/>
                <w:tblCellSpacing w:w="0" w:type="dxa"/>
              </w:trPr>
              <w:tc>
                <w:tcPr>
                  <w:tcW w:w="53" w:type="dxa"/>
                  <w:shd w:val="clear" w:color="auto" w:fill="FFFFFF"/>
                  <w:vAlign w:val="center"/>
                </w:tcPr>
                <w:p>
                  <w:pPr>
                    <w:widowControl/>
                    <w:jc w:val="center"/>
                    <w:textAlignment w:val="center"/>
                    <w:rPr>
                      <w:rFonts w:ascii="宋体" w:cs="宋体"/>
                      <w:color w:val="000000"/>
                      <w:kern w:val="0"/>
                      <w:sz w:val="18"/>
                      <w:szCs w:val="18"/>
                    </w:rPr>
                  </w:pPr>
                </w:p>
              </w:tc>
            </w:tr>
          </w:tbl>
          <w:p>
            <w:pPr>
              <w:widowControl/>
              <w:jc w:val="center"/>
              <w:textAlignment w:val="center"/>
              <w:rPr>
                <w:rFonts w:ascii="宋体" w:cs="宋体"/>
                <w:color w:val="000000"/>
                <w:kern w:val="0"/>
                <w:sz w:val="18"/>
                <w:szCs w:val="18"/>
              </w:rPr>
            </w:pPr>
            <w:r>
              <w:rPr>
                <w:rFonts w:hint="eastAsia" w:ascii="宋体" w:cs="宋体"/>
                <w:color w:val="000000"/>
                <w:kern w:val="0"/>
                <w:sz w:val="18"/>
                <w:szCs w:val="18"/>
              </w:rPr>
              <w:t>可持续影响指标</w:t>
            </w:r>
          </w:p>
        </w:tc>
        <w:tc>
          <w:tcPr>
            <w:tcW w:w="1415"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使用年限不低于50年</w:t>
            </w:r>
          </w:p>
        </w:tc>
        <w:tc>
          <w:tcPr>
            <w:tcW w:w="1133"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Helvetica" w:hAnsi="Helvetica"/>
                <w:color w:val="000000"/>
                <w:sz w:val="22"/>
                <w:szCs w:val="22"/>
                <w:shd w:val="clear" w:color="auto" w:fill="FFFFFF"/>
              </w:rPr>
            </w:pPr>
            <w:r>
              <w:rPr>
                <w:rFonts w:hint="eastAsia" w:ascii="Helvetica" w:hAnsi="Helvetica"/>
                <w:color w:val="000000"/>
                <w:sz w:val="22"/>
                <w:szCs w:val="22"/>
                <w:shd w:val="clear" w:color="auto" w:fill="FFFFFF"/>
              </w:rPr>
              <w:t>≥</w:t>
            </w:r>
          </w:p>
        </w:tc>
        <w:tc>
          <w:tcPr>
            <w:tcW w:w="976"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50</w:t>
            </w:r>
          </w:p>
        </w:tc>
        <w:tc>
          <w:tcPr>
            <w:tcW w:w="1067"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年</w:t>
            </w:r>
          </w:p>
        </w:tc>
        <w:tc>
          <w:tcPr>
            <w:tcW w:w="943"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10</w:t>
            </w:r>
          </w:p>
        </w:tc>
        <w:tc>
          <w:tcPr>
            <w:tcW w:w="1853"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13" w:hRule="atLeast"/>
          <w:jc w:val="center"/>
        </w:trPr>
        <w:tc>
          <w:tcPr>
            <w:tcW w:w="653" w:type="dxa"/>
            <w:vMerge w:val="continue"/>
            <w:tcBorders>
              <w:top w:val="single" w:color="000000" w:sz="4" w:space="0"/>
              <w:left w:val="single" w:color="000000" w:sz="4" w:space="0"/>
              <w:bottom w:val="single" w:color="000000" w:sz="4" w:space="0"/>
              <w:right w:val="nil"/>
              <w:tl2br w:val="nil"/>
              <w:tr2bl w:val="nil"/>
            </w:tcBorders>
            <w:noWrap/>
            <w:vAlign w:val="center"/>
          </w:tcPr>
          <w:p/>
        </w:tc>
        <w:tc>
          <w:tcPr>
            <w:tcW w:w="1136" w:type="dxa"/>
            <w:gridSpan w:val="2"/>
            <w:tcBorders>
              <w:top w:val="single" w:color="000000" w:sz="4" w:space="0"/>
              <w:left w:val="single" w:color="000000" w:sz="4" w:space="0"/>
              <w:bottom w:val="single" w:color="000000" w:sz="4" w:space="0"/>
              <w:right w:val="single" w:color="000000" w:sz="4" w:space="0"/>
              <w:tl2br w:val="nil"/>
              <w:tr2bl w:val="nil"/>
            </w:tcBorders>
            <w:noWrap/>
          </w:tcPr>
          <w:p>
            <w:pPr>
              <w:widowControl/>
              <w:jc w:val="center"/>
              <w:textAlignment w:val="center"/>
              <w:rPr>
                <w:rFonts w:hint="eastAsia" w:ascii="Helvetica" w:hAnsi="Helvetica"/>
                <w:color w:val="000000"/>
                <w:sz w:val="22"/>
                <w:szCs w:val="22"/>
                <w:shd w:val="clear" w:color="auto" w:fill="FFFFFF"/>
              </w:rPr>
            </w:pPr>
            <w:r>
              <w:rPr>
                <w:rFonts w:hint="eastAsia" w:ascii="Helvetica" w:hAnsi="Helvetica"/>
                <w:color w:val="000000"/>
                <w:sz w:val="22"/>
                <w:szCs w:val="22"/>
                <w:shd w:val="clear" w:color="auto" w:fill="FFFFFF"/>
              </w:rPr>
              <w:t>满意度指标</w:t>
            </w:r>
          </w:p>
        </w:tc>
        <w:tc>
          <w:tcPr>
            <w:tcW w:w="1160" w:type="dxa"/>
            <w:tcBorders>
              <w:top w:val="single" w:color="auto"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服务对象满意度指标</w:t>
            </w:r>
          </w:p>
        </w:tc>
        <w:tc>
          <w:tcPr>
            <w:tcW w:w="1415"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hint="eastAsia" w:ascii="宋体" w:cs="宋体"/>
                <w:color w:val="000000"/>
                <w:kern w:val="0"/>
                <w:sz w:val="18"/>
                <w:szCs w:val="18"/>
              </w:rPr>
            </w:pPr>
            <w:r>
              <w:rPr>
                <w:rFonts w:hint="eastAsia" w:ascii="宋体" w:cs="宋体"/>
                <w:color w:val="000000"/>
                <w:kern w:val="0"/>
                <w:sz w:val="18"/>
                <w:szCs w:val="18"/>
              </w:rPr>
              <w:t>受灾群众入住满意度达95%以上</w:t>
            </w:r>
          </w:p>
        </w:tc>
        <w:tc>
          <w:tcPr>
            <w:tcW w:w="1133"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hint="eastAsia" w:ascii="Helvetica" w:hAnsi="Helvetica"/>
                <w:color w:val="000000"/>
                <w:sz w:val="22"/>
                <w:szCs w:val="22"/>
                <w:shd w:val="clear" w:color="auto" w:fill="FFFFFF"/>
              </w:rPr>
            </w:pPr>
            <w:r>
              <w:rPr>
                <w:rFonts w:hint="eastAsia" w:ascii="Helvetica" w:hAnsi="Helvetica"/>
                <w:color w:val="000000"/>
                <w:sz w:val="22"/>
                <w:szCs w:val="22"/>
                <w:shd w:val="clear" w:color="auto" w:fill="FFFFFF"/>
              </w:rPr>
              <w:t>≥</w:t>
            </w:r>
          </w:p>
        </w:tc>
        <w:tc>
          <w:tcPr>
            <w:tcW w:w="976"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hint="eastAsia" w:ascii="宋体" w:cs="宋体"/>
                <w:color w:val="000000"/>
                <w:kern w:val="0"/>
                <w:sz w:val="18"/>
                <w:szCs w:val="18"/>
              </w:rPr>
            </w:pPr>
            <w:r>
              <w:rPr>
                <w:rFonts w:hint="eastAsia" w:ascii="宋体" w:cs="宋体"/>
                <w:color w:val="000000"/>
                <w:kern w:val="0"/>
                <w:sz w:val="18"/>
                <w:szCs w:val="18"/>
              </w:rPr>
              <w:t>95</w:t>
            </w:r>
          </w:p>
        </w:tc>
        <w:tc>
          <w:tcPr>
            <w:tcW w:w="1067"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hint="eastAsia" w:ascii="宋体" w:cs="宋体"/>
                <w:color w:val="000000"/>
                <w:kern w:val="0"/>
                <w:sz w:val="18"/>
                <w:szCs w:val="18"/>
              </w:rPr>
            </w:pPr>
            <w:r>
              <w:rPr>
                <w:rFonts w:hint="eastAsia" w:ascii="宋体" w:cs="宋体"/>
                <w:color w:val="000000"/>
                <w:kern w:val="0"/>
                <w:sz w:val="18"/>
                <w:szCs w:val="18"/>
              </w:rPr>
              <w:t>%</w:t>
            </w:r>
          </w:p>
        </w:tc>
        <w:tc>
          <w:tcPr>
            <w:tcW w:w="943"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hint="eastAsia" w:ascii="宋体" w:cs="宋体"/>
                <w:color w:val="000000"/>
                <w:kern w:val="0"/>
                <w:sz w:val="18"/>
                <w:szCs w:val="18"/>
              </w:rPr>
            </w:pPr>
            <w:r>
              <w:rPr>
                <w:rFonts w:hint="eastAsia" w:ascii="宋体" w:cs="宋体"/>
                <w:color w:val="000000"/>
                <w:kern w:val="0"/>
                <w:sz w:val="18"/>
                <w:szCs w:val="18"/>
              </w:rPr>
              <w:t>10</w:t>
            </w:r>
          </w:p>
        </w:tc>
        <w:tc>
          <w:tcPr>
            <w:tcW w:w="1853"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hint="eastAsia" w:ascii="宋体" w:cs="宋体"/>
                <w:color w:val="000000"/>
                <w:kern w:val="0"/>
                <w:sz w:val="18"/>
                <w:szCs w:val="18"/>
              </w:rPr>
            </w:pPr>
            <w:r>
              <w:rPr>
                <w:rFonts w:ascii="宋体" w:cs="宋体"/>
                <w:color w:val="000000"/>
                <w:kern w:val="0"/>
                <w:sz w:val="18"/>
                <w:szCs w:val="18"/>
              </w:rPr>
              <w:t>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13" w:hRule="atLeast"/>
          <w:jc w:val="center"/>
        </w:trPr>
        <w:tc>
          <w:tcPr>
            <w:tcW w:w="653" w:type="dxa"/>
            <w:vMerge w:val="continue"/>
            <w:tcBorders>
              <w:top w:val="single" w:color="000000" w:sz="4" w:space="0"/>
              <w:left w:val="single" w:color="000000" w:sz="4" w:space="0"/>
              <w:bottom w:val="single" w:color="000000" w:sz="4" w:space="0"/>
              <w:right w:val="nil"/>
              <w:tl2br w:val="nil"/>
              <w:tr2bl w:val="nil"/>
            </w:tcBorders>
            <w:noWrap/>
            <w:vAlign w:val="center"/>
          </w:tcPr>
          <w:p/>
        </w:tc>
        <w:tc>
          <w:tcPr>
            <w:tcW w:w="1136" w:type="dxa"/>
            <w:gridSpan w:val="2"/>
            <w:tcBorders>
              <w:top w:val="single" w:color="000000" w:sz="4" w:space="0"/>
              <w:left w:val="single" w:color="000000" w:sz="4" w:space="0"/>
              <w:bottom w:val="single" w:color="000000" w:sz="4" w:space="0"/>
              <w:right w:val="single" w:color="000000" w:sz="4" w:space="0"/>
              <w:tl2br w:val="nil"/>
              <w:tr2bl w:val="nil"/>
            </w:tcBorders>
            <w:noWrap/>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成本指标</w:t>
            </w:r>
          </w:p>
        </w:tc>
        <w:tc>
          <w:tcPr>
            <w:tcW w:w="1160" w:type="dxa"/>
            <w:tcBorders>
              <w:top w:val="single" w:color="auto" w:sz="4" w:space="0"/>
              <w:left w:val="single" w:color="000000" w:sz="4" w:space="0"/>
              <w:bottom w:val="single" w:color="auto"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经济成本指标</w:t>
            </w:r>
          </w:p>
        </w:tc>
        <w:tc>
          <w:tcPr>
            <w:tcW w:w="1415"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项目总投资</w:t>
            </w:r>
            <w:r>
              <w:rPr>
                <w:rFonts w:hint="eastAsia" w:ascii="宋体" w:cs="宋体"/>
                <w:color w:val="000000"/>
                <w:kern w:val="0"/>
                <w:sz w:val="18"/>
                <w:szCs w:val="18"/>
              </w:rPr>
              <w:t>138816</w:t>
            </w:r>
            <w:r>
              <w:rPr>
                <w:rFonts w:ascii="宋体" w:cs="宋体"/>
                <w:color w:val="000000"/>
                <w:kern w:val="0"/>
                <w:sz w:val="18"/>
                <w:szCs w:val="18"/>
              </w:rPr>
              <w:t>0元</w:t>
            </w:r>
          </w:p>
        </w:tc>
        <w:tc>
          <w:tcPr>
            <w:tcW w:w="1133"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w:t>
            </w:r>
          </w:p>
        </w:tc>
        <w:tc>
          <w:tcPr>
            <w:tcW w:w="976"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1388160</w:t>
            </w:r>
          </w:p>
        </w:tc>
        <w:tc>
          <w:tcPr>
            <w:tcW w:w="1067"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元</w:t>
            </w:r>
          </w:p>
        </w:tc>
        <w:tc>
          <w:tcPr>
            <w:tcW w:w="943"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10</w:t>
            </w:r>
          </w:p>
        </w:tc>
        <w:tc>
          <w:tcPr>
            <w:tcW w:w="1853"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1388160</w:t>
            </w:r>
          </w:p>
        </w:tc>
      </w:tr>
    </w:tbl>
    <w:p>
      <w:pPr>
        <w:widowControl/>
        <w:jc w:val="center"/>
        <w:textAlignment w:val="center"/>
        <w:rPr>
          <w:rFonts w:ascii="宋体" w:cs="宋体"/>
          <w:color w:val="000000"/>
          <w:kern w:val="0"/>
          <w:sz w:val="18"/>
          <w:szCs w:val="18"/>
        </w:rPr>
      </w:pPr>
    </w:p>
    <w:p>
      <w:pPr>
        <w:spacing w:line="400" w:lineRule="exact"/>
        <w:ind w:firstLine="630" w:firstLineChars="300"/>
        <w:jc w:val="left"/>
        <w:rPr>
          <w:rFonts w:ascii="宋体" w:cs="宋体"/>
          <w:szCs w:val="21"/>
        </w:rPr>
      </w:pPr>
    </w:p>
    <w:bookmarkEnd w:id="1"/>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Luxi Sans">
    <w:altName w:val="Times New Roman"/>
    <w:panose1 w:val="00000000000000000000"/>
    <w:charset w:val="00"/>
    <w:family w:val="auto"/>
    <w:pitch w:val="default"/>
    <w:sig w:usb0="00000000" w:usb1="00000000" w:usb2="00000000" w:usb3="00000000" w:csb0="00000000"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_GBK">
    <w:panose1 w:val="02000000000000000000"/>
    <w:charset w:val="86"/>
    <w:family w:val="script"/>
    <w:pitch w:val="default"/>
    <w:sig w:usb0="A00002BF" w:usb1="38CF7CFA" w:usb2="00082016" w:usb3="00000000" w:csb0="00040001" w:csb1="00000000"/>
  </w:font>
  <w:font w:name="方正小标宋简体">
    <w:altName w:val="方正小标宋_GBK"/>
    <w:panose1 w:val="02000000000000000000"/>
    <w:charset w:val="86"/>
    <w:family w:val="auto"/>
    <w:pitch w:val="default"/>
    <w:sig w:usb0="00000000" w:usb1="00000000" w:usb2="00000012"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Wingdings 2">
    <w:panose1 w:val="05020102010507070707"/>
    <w:charset w:val="02"/>
    <w:family w:val="roman"/>
    <w:pitch w:val="default"/>
    <w:sig w:usb0="00000000" w:usb1="00000000" w:usb2="00000000" w:usb3="00000000" w:csb0="80000000" w:csb1="00000000"/>
  </w:font>
  <w:font w:name="Helvetica">
    <w:altName w:val="DejaVu Sans"/>
    <w:panose1 w:val="020B0504020202020204"/>
    <w:charset w:val="00"/>
    <w:family w:val="swiss"/>
    <w:pitch w:val="default"/>
    <w:sig w:usb0="00000000" w:usb1="00000000" w:usb2="00000000" w:usb3="00000000" w:csb0="00000001" w:csb1="00000000"/>
  </w:font>
  <w:font w:name="方正书宋_GBK">
    <w:panose1 w:val="02000000000000000000"/>
    <w:charset w:val="86"/>
    <w:family w:val="auto"/>
    <w:pitch w:val="default"/>
    <w:sig w:usb0="A00002BF" w:usb1="38CF7CFA" w:usb2="00082016" w:usb3="00000000" w:csb0="00040001" w:csb1="00000000"/>
  </w:font>
  <w:font w:name="方正黑体_GBK">
    <w:panose1 w:val="02000000000000000000"/>
    <w:charset w:val="86"/>
    <w:family w:val="auto"/>
    <w:pitch w:val="default"/>
    <w:sig w:usb0="A00002BF" w:usb1="38CF7CFA" w:usb2="00082016" w:usb3="00000000" w:csb0="00040001" w:csb1="00000000"/>
  </w:font>
  <w:font w:name="方正仿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105E464"/>
    <w:multiLevelType w:val="singleLevel"/>
    <w:tmpl w:val="4105E464"/>
    <w:lvl w:ilvl="0" w:tentative="0">
      <w:start w:val="1"/>
      <w:numFmt w:val="chineseCounting"/>
      <w:suff w:val="nothing"/>
      <w:lvlText w:val="%1、"/>
      <w:lvlJc w:val="left"/>
      <w:pPr>
        <w:ind w:left="0"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dit="readOnly" w:enforcement="0"/>
  <w:defaultTabStop w:val="420"/>
  <w:drawingGridHorizontalSpacing w:val="105"/>
  <w:drawingGridVerticalSpacing w:val="156"/>
  <w:displayHorizontalDrawingGridEvery w:val="0"/>
  <w:displayVerticalDrawingGridEvery w:val="1"/>
  <w:noPunctuationKerning w:val="1"/>
  <w:characterSpacingControl w:val="compressPunctuation"/>
  <w:compat>
    <w:spaceForUL/>
    <w:balanceSingleByteDoubleByteWidth/>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Y1MTIxMDc5N2FmMjMxN2QwNzY4OGZhNDdmY2QwYjMifQ=="/>
  </w:docVars>
  <w:rsids>
    <w:rsidRoot w:val="00000000"/>
    <w:rsid w:val="1F66F0C9"/>
    <w:rsid w:val="3936EE50"/>
    <w:rsid w:val="59E9AAF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widowControl w:val="0"/>
      <w:spacing w:before="340" w:after="330" w:line="578" w:lineRule="auto"/>
      <w:outlineLvl w:val="0"/>
    </w:pPr>
    <w:rPr>
      <w:b/>
      <w:bCs/>
      <w:kern w:val="44"/>
      <w:sz w:val="44"/>
      <w:szCs w:val="44"/>
    </w:rPr>
  </w:style>
  <w:style w:type="paragraph" w:styleId="3">
    <w:name w:val="heading 2"/>
    <w:basedOn w:val="1"/>
    <w:next w:val="1"/>
    <w:qFormat/>
    <w:uiPriority w:val="0"/>
    <w:pPr>
      <w:keepNext/>
      <w:keepLines/>
      <w:widowControl w:val="0"/>
      <w:spacing w:before="260" w:after="260" w:line="415" w:lineRule="auto"/>
      <w:outlineLvl w:val="1"/>
    </w:pPr>
    <w:rPr>
      <w:rFonts w:ascii="Luxi Sans" w:hAnsi="Luxi Sans" w:eastAsia="黑体"/>
      <w:b/>
      <w:sz w:val="32"/>
    </w:rPr>
  </w:style>
  <w:style w:type="paragraph" w:styleId="4">
    <w:name w:val="heading 3"/>
    <w:basedOn w:val="1"/>
    <w:next w:val="1"/>
    <w:qFormat/>
    <w:uiPriority w:val="0"/>
    <w:pPr>
      <w:keepNext/>
      <w:keepLines/>
      <w:widowControl w:val="0"/>
      <w:spacing w:before="260" w:after="260" w:line="415" w:lineRule="auto"/>
      <w:outlineLvl w:val="2"/>
    </w:pPr>
    <w:rPr>
      <w:b/>
      <w:sz w:val="32"/>
    </w:rPr>
  </w:style>
  <w:style w:type="character" w:default="1" w:styleId="11">
    <w:name w:val="Default Paragraph Font"/>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5">
    <w:name w:val="Body Text"/>
    <w:next w:val="1"/>
    <w:qFormat/>
    <w:uiPriority w:val="0"/>
    <w:pPr>
      <w:tabs>
        <w:tab w:val="left" w:pos="2160"/>
      </w:tabs>
      <w:spacing w:line="480" w:lineRule="auto"/>
    </w:pPr>
    <w:rPr>
      <w:rFonts w:ascii="楷体_GB2312" w:hAnsi="楷体_GB2312" w:eastAsia="黑体" w:cs="Times New Roman"/>
      <w:position w:val="3"/>
      <w:sz w:val="20"/>
      <w:szCs w:val="20"/>
      <w:lang w:val="en-US" w:eastAsia="zh-CN" w:bidi="ar-SA"/>
    </w:rPr>
  </w:style>
  <w:style w:type="paragraph" w:styleId="6">
    <w:name w:val="footer"/>
    <w:basedOn w:val="1"/>
    <w:qFormat/>
    <w:uiPriority w:val="0"/>
    <w:pPr>
      <w:tabs>
        <w:tab w:val="center" w:pos="4153"/>
        <w:tab w:val="right" w:pos="8306"/>
      </w:tabs>
      <w:snapToGrid w:val="0"/>
      <w:jc w:val="left"/>
    </w:pPr>
    <w:rPr>
      <w:rFonts w:ascii="Calibri" w:hAnsi="Calibri" w:cs="Arial"/>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rFonts w:ascii="Calibri" w:hAnsi="Calibri" w:cs="Arial"/>
      <w:sz w:val="18"/>
      <w:szCs w:val="18"/>
    </w:rPr>
  </w:style>
  <w:style w:type="paragraph" w:styleId="8">
    <w:name w:val="Normal (Web)"/>
    <w:qFormat/>
    <w:uiPriority w:val="0"/>
    <w:pPr>
      <w:widowControl w:val="0"/>
      <w:spacing w:before="100" w:beforeAutospacing="1" w:after="100" w:afterAutospacing="1"/>
    </w:pPr>
    <w:rPr>
      <w:rFonts w:ascii="Times New Roman" w:hAnsi="Times New Roman" w:eastAsia="宋体" w:cs="Times New Roman"/>
      <w:sz w:val="24"/>
      <w:szCs w:val="20"/>
      <w:lang w:val="en-US" w:eastAsia="zh-CN" w:bidi="ar-SA"/>
    </w:rPr>
  </w:style>
  <w:style w:type="paragraph" w:styleId="9">
    <w:name w:val="Body Text First Indent 2"/>
    <w:qFormat/>
    <w:uiPriority w:val="0"/>
    <w:pPr>
      <w:widowControl w:val="0"/>
      <w:spacing w:after="120"/>
      <w:ind w:left="200" w:leftChars="200" w:firstLine="200" w:firstLineChars="200"/>
      <w:jc w:val="both"/>
    </w:pPr>
    <w:rPr>
      <w:rFonts w:ascii="仿宋_GB2312" w:hAnsi="Times New Roman" w:eastAsia="仿宋_GB2312" w:cs="Times New Roman"/>
      <w:kern w:val="2"/>
      <w:sz w:val="32"/>
      <w:szCs w:val="32"/>
      <w:lang w:val="en-US" w:eastAsia="zh-CN" w:bidi="ar-SA"/>
    </w:rPr>
  </w:style>
  <w:style w:type="character" w:styleId="12">
    <w:name w:val="Strong"/>
    <w:basedOn w:val="11"/>
    <w:qFormat/>
    <w:uiPriority w:val="0"/>
    <w:rPr>
      <w:b/>
    </w:rPr>
  </w:style>
  <w:style w:type="paragraph" w:styleId="13">
    <w:name w:val="List Paragraph"/>
    <w:basedOn w:val="1"/>
    <w:qFormat/>
    <w:uiPriority w:val="0"/>
    <w:pPr>
      <w:ind w:firstLine="200" w:firstLineChars="200"/>
    </w:pPr>
  </w:style>
  <w:style w:type="paragraph" w:customStyle="1" w:styleId="14">
    <w:name w:val="正文2"/>
    <w:next w:val="1"/>
    <w:qFormat/>
    <w:uiPriority w:val="0"/>
    <w:pPr>
      <w:widowControl w:val="0"/>
      <w:jc w:val="both"/>
    </w:pPr>
    <w:rPr>
      <w:rFonts w:ascii="Times New Roman" w:hAnsi="Times New Roman" w:eastAsia="仿宋_GB2312" w:cs="Times New Roman"/>
      <w:kern w:val="2"/>
      <w:sz w:val="32"/>
      <w:szCs w:val="3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Normal.eit</Template>
  <Company>Sky123.Org</Company>
  <Pages>12</Pages>
  <Words>5038</Words>
  <Characters>5299</Characters>
  <Lines>651</Lines>
  <Paragraphs>387</Paragraphs>
  <TotalTime>21</TotalTime>
  <ScaleCrop>false</ScaleCrop>
  <LinksUpToDate>false</LinksUpToDate>
  <CharactersWithSpaces>5374</CharactersWithSpaces>
  <Application>WPS Office_11.1.0.10702_F1E327BC-269C-435d-A152-05C5408002CA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2025-05-20T09:38:00Z</dcterms:created>
  <dc:creator>Sky123.Org</dc:creator>
  <cp:lastModifiedBy>user</cp:lastModifiedBy>
  <dcterms:modified xsi:type="dcterms:W3CDTF">2026-09-22T11:21:10Z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2052-11.1.0.10702</vt:lpwstr>
  </property>
  <property fmtid="{D5CDD505-2E9C-101B-9397-08002B2CF9AE}" pid="3" name="ICV">
    <vt:lpwstr>A9AFB1086934A47D90F5946A4D5D4840</vt:lpwstr>
  </property>
  <property fmtid="{D5CDD505-2E9C-101B-9397-08002B2CF9AE}" pid="4" name="KSOTemplateDocerSaveRecord">
    <vt:lpwstr>eyJoZGlkIjoiZTQ0NjgxNGZmMTFhZmQ2Yzk2ZTMyOTFmMjg3MThkM2YiLCJ1c2VySWQiOiIyMzYzNzMyOTYifQ==</vt:lpwstr>
  </property>
</Properties>
</file>