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eastAsia="方正小标宋_GBK" w:cs="方正小标宋_GBK"/>
          <w:color w:val="FF0000"/>
          <w:w w:val="44"/>
          <w:sz w:val="144"/>
          <w:szCs w:val="144"/>
        </w:rPr>
      </w:pPr>
      <w:bookmarkStart w:id="1" w:name="_GoBack"/>
      <w:r>
        <w:rPr>
          <w:rFonts w:hint="eastAsia" w:ascii="方正小标宋_GBK" w:eastAsia="方正小标宋_GBK" w:cs="方正小标宋_GBK"/>
          <w:color w:val="FF0000"/>
          <w:w w:val="44"/>
          <w:sz w:val="144"/>
          <w:szCs w:val="144"/>
        </w:rPr>
        <w:t>黑水县石碉楼乡人民政府文件</w:t>
      </w:r>
    </w:p>
    <w:p>
      <w:pPr>
        <w:ind w:firstLine="320" w:firstLineChars="100"/>
        <w:rPr>
          <w:rFonts w:ascii="楷体_GB2312" w:eastAsia="楷体_GB2312" w:cs="楷体_GB2312"/>
          <w:color w:val="000000"/>
          <w:sz w:val="32"/>
          <w:szCs w:val="32"/>
        </w:rPr>
      </w:pPr>
      <w:r>
        <w:rPr>
          <w:rFonts w:ascii="楷体_GB2312" w:eastAsia="楷体_GB2312" w:cs="楷体_GB2312"/>
          <w:sz w:val="32"/>
        </w:rPr>
        <mc:AlternateContent>
          <mc:Choice Requires="wps">
            <w:drawing>
              <wp:anchor distT="0" distB="0" distL="113665" distR="113665" simplePos="0" relativeHeight="251659264" behindDoc="0" locked="0" layoutInCell="1" allowOverlap="1">
                <wp:simplePos x="0" y="0"/>
                <wp:positionH relativeFrom="column">
                  <wp:posOffset>37465</wp:posOffset>
                </wp:positionH>
                <wp:positionV relativeFrom="paragraph">
                  <wp:posOffset>386080</wp:posOffset>
                </wp:positionV>
                <wp:extent cx="5342255" cy="635"/>
                <wp:effectExtent l="0" t="0" r="0" b="0"/>
                <wp:wrapNone/>
                <wp:docPr id="1" name="直线 2"/>
                <wp:cNvGraphicFramePr/>
                <a:graphic xmlns:a="http://schemas.openxmlformats.org/drawingml/2006/main">
                  <a:graphicData uri="http://schemas.microsoft.com/office/word/2010/wordprocessingShape">
                    <wps:wsp>
                      <wps:cNvCnPr/>
                      <wps:spPr>
                        <a:xfrm>
                          <a:off x="0" y="0"/>
                          <a:ext cx="5342255" cy="635"/>
                        </a:xfrm>
                        <a:prstGeom prst="line">
                          <a:avLst/>
                        </a:prstGeom>
                        <a:noFill/>
                        <a:ln w="28575" cap="flat" cmpd="sng">
                          <a:solidFill>
                            <a:srgbClr val="FF0000"/>
                          </a:solidFill>
                          <a:prstDash val="solid"/>
                          <a:miter/>
                        </a:ln>
                      </wps:spPr>
                      <wps:bodyPr vert="horz" wrap="square" lIns="91440" tIns="45720" rIns="91440" bIns="45720" anchor="t" anchorCtr="0" upright="1">
                        <a:noAutofit/>
                      </wps:bodyPr>
                    </wps:wsp>
                  </a:graphicData>
                </a:graphic>
              </wp:anchor>
            </w:drawing>
          </mc:Choice>
          <mc:Fallback>
            <w:pict>
              <v:line id="直线 2" o:spid="_x0000_s1026" o:spt="20" style="position:absolute;left:0pt;margin-left:2.95pt;margin-top:30.4pt;height:0.05pt;width:420.65pt;z-index:251659264;mso-width-relative:page;mso-height-relative:page;" filled="f" stroked="t" coordsize="21600,21600" o:gfxdata="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Bz9fqR2AAAAAcBAAAPAAAAAAAAAAEAIAAAADgAAABkcnMvZG93bnJldi54bWxQSwEC&#10;FAAUAAAACACHTuJAepGuMRcCAAAgBAAADgAAAAAAAAABACAAAAA9AQAAZHJzL2Uyb0RvYy54bWxQ&#10;SwUGAAAAAAYABgBZAQAAxgUAAAAA&#10;">
                <v:fill on="f" focussize="0,0"/>
                <v:stroke weight="2.25pt" color="#FF0000" joinstyle="miter"/>
                <v:imagedata o:title=""/>
                <o:lock v:ext="edit" aspectratio="f"/>
              </v:line>
            </w:pict>
          </mc:Fallback>
        </mc:AlternateContent>
      </w:r>
      <w:r>
        <w:rPr>
          <w:rFonts w:ascii="楷体_GB2312" w:eastAsia="楷体_GB2312" w:cs="楷体_GB2312"/>
          <w:color w:val="000000"/>
          <w:sz w:val="32"/>
          <w:szCs w:val="32"/>
        </w:rPr>
        <w:t>黑石府</w:t>
      </w:r>
      <w:r>
        <w:rPr>
          <w:rFonts w:hint="eastAsia" w:ascii="楷体_GB2312" w:eastAsia="楷体_GB2312" w:cs="楷体_GB2312"/>
          <w:color w:val="000000"/>
          <w:sz w:val="32"/>
          <w:szCs w:val="32"/>
        </w:rPr>
        <w:t>[</w:t>
      </w:r>
      <w:r>
        <w:rPr>
          <w:rFonts w:ascii="楷体_GB2312" w:eastAsia="楷体_GB2312" w:cs="楷体_GB2312"/>
          <w:color w:val="000000"/>
          <w:sz w:val="32"/>
          <w:szCs w:val="32"/>
        </w:rPr>
        <w:t>202</w:t>
      </w:r>
      <w:r>
        <w:rPr>
          <w:rFonts w:hint="eastAsia" w:ascii="楷体_GB2312" w:eastAsia="楷体_GB2312" w:cs="楷体_GB2312"/>
          <w:color w:val="000000"/>
          <w:sz w:val="32"/>
          <w:szCs w:val="32"/>
        </w:rPr>
        <w:t>5]7号               签发人：</w:t>
      </w:r>
      <w:r>
        <w:rPr>
          <w:rFonts w:ascii="楷体_GB2312" w:eastAsia="楷体_GB2312" w:cs="楷体_GB2312"/>
          <w:color w:val="000000"/>
          <w:sz w:val="32"/>
          <w:szCs w:val="32"/>
        </w:rPr>
        <w:t>银忠扎西</w:t>
      </w:r>
    </w:p>
    <w:p>
      <w:pPr>
        <w:spacing w:line="580" w:lineRule="exact"/>
        <w:jc w:val="center"/>
        <w:rPr>
          <w:rFonts w:ascii="方正小标宋简体" w:eastAsia="方正小标宋简体" w:cs="方正小标宋简体"/>
          <w:kern w:val="0"/>
          <w:sz w:val="44"/>
          <w:szCs w:val="44"/>
        </w:rPr>
      </w:pPr>
    </w:p>
    <w:p>
      <w:pPr>
        <w:spacing w:line="580" w:lineRule="exact"/>
        <w:jc w:val="center"/>
        <w:rPr>
          <w:rFonts w:ascii="方正小标宋简体" w:eastAsia="方正小标宋简体" w:cs="方正小标宋简体"/>
          <w:kern w:val="0"/>
          <w:sz w:val="36"/>
          <w:szCs w:val="36"/>
        </w:rPr>
      </w:pPr>
      <w:r>
        <w:rPr>
          <w:rFonts w:hint="eastAsia" w:ascii="方正小标宋简体" w:eastAsia="方正小标宋简体" w:cs="方正小标宋简体"/>
          <w:kern w:val="0"/>
          <w:sz w:val="36"/>
          <w:szCs w:val="36"/>
        </w:rPr>
        <w:t>2025年度石碉楼乡人民政府</w:t>
      </w:r>
    </w:p>
    <w:p>
      <w:pPr>
        <w:spacing w:line="580" w:lineRule="exact"/>
        <w:jc w:val="center"/>
        <w:rPr>
          <w:rFonts w:ascii="仿宋_GB2312" w:eastAsia="仿宋_GB2312" w:cs="方正小标宋简体"/>
          <w:b/>
          <w:sz w:val="24"/>
        </w:rPr>
      </w:pPr>
      <w:r>
        <w:rPr>
          <w:rFonts w:hint="eastAsia" w:ascii="方正小标宋简体" w:eastAsia="方正小标宋简体" w:cs="方正小标宋简体"/>
          <w:kern w:val="0"/>
          <w:sz w:val="36"/>
          <w:szCs w:val="36"/>
        </w:rPr>
        <w:t>关于黑水县石碉楼乡瓦洛村避险搬迁安置点三通一坪建设项目费支出绩效评价报告</w:t>
      </w:r>
    </w:p>
    <w:p>
      <w:pPr>
        <w:spacing w:line="580" w:lineRule="exact"/>
        <w:ind w:firstLine="640" w:firstLineChars="200"/>
        <w:rPr>
          <w:rFonts w:ascii="仿宋_GB2312" w:eastAsia="仿宋_GB2312" w:cs="仿宋_GB2312"/>
          <w:sz w:val="32"/>
          <w:szCs w:val="32"/>
        </w:rPr>
      </w:pPr>
    </w:p>
    <w:p>
      <w:pPr>
        <w:numPr>
          <w:ilvl w:val="0"/>
          <w:numId w:val="1"/>
        </w:numPr>
        <w:spacing w:line="580" w:lineRule="exact"/>
        <w:ind w:left="0" w:firstLine="640" w:firstLineChars="200"/>
        <w:rPr>
          <w:rFonts w:ascii="黑体" w:eastAsia="黑体" w:cs="黑体"/>
          <w:sz w:val="32"/>
          <w:szCs w:val="32"/>
        </w:rPr>
      </w:pPr>
      <w:r>
        <w:rPr>
          <w:rFonts w:hint="eastAsia" w:ascii="黑体" w:eastAsia="黑体" w:cs="黑体"/>
          <w:sz w:val="32"/>
          <w:szCs w:val="32"/>
        </w:rPr>
        <w:t>项目概况</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（一）设立背景及基本情况</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黑水县石碉楼乡瓦洛村避险搬迁安置点三通一坪建设项目费支出1954949.79元。资金申报后在规定的时间内下发给我们单位，本单位也在规定时间内及时进行了支出。该项目均符合资金管理办法等相关规定。</w:t>
      </w:r>
    </w:p>
    <w:p>
      <w:pPr>
        <w:spacing w:line="580" w:lineRule="exact"/>
        <w:ind w:firstLine="642" w:firstLineChars="200"/>
        <w:rPr>
          <w:rFonts w:ascii="楷体_GB2312" w:eastAsia="楷体_GB2312"/>
          <w:b/>
          <w:sz w:val="32"/>
          <w:szCs w:val="32"/>
        </w:rPr>
      </w:pPr>
      <w:r>
        <w:rPr>
          <w:rFonts w:hint="eastAsia" w:ascii="楷体_GB2312" w:eastAsia="楷体_GB2312"/>
          <w:b/>
          <w:sz w:val="32"/>
          <w:szCs w:val="32"/>
          <w:lang w:val="zh-CN"/>
        </w:rPr>
        <w:t>（二）</w:t>
      </w:r>
      <w:r>
        <w:rPr>
          <w:rFonts w:ascii="楷体_GB2312" w:eastAsia="楷体_GB2312"/>
          <w:b/>
          <w:sz w:val="32"/>
          <w:szCs w:val="32"/>
        </w:rPr>
        <w:t>实施目的及支持方向</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为确保黑水县石碉楼乡瓦洛村避险搬迁安置点三通一坪建设项目经费规范管理和使用，充分发挥资金使用绩效，致力于做好绩效评价，为夯实党在基层执政的组织基础和群众基础，强化基层组织政治功能和服务功能，提高引领发展、服务群众的能力和水平，提供有力工作保障。</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（三）</w:t>
      </w:r>
      <w:r>
        <w:rPr>
          <w:rFonts w:ascii="楷体_GB2312" w:eastAsia="楷体_GB2312"/>
          <w:b/>
          <w:sz w:val="32"/>
          <w:szCs w:val="32"/>
        </w:rPr>
        <w:t>预算安排及分配管理</w:t>
      </w:r>
    </w:p>
    <w:p>
      <w:pPr>
        <w:adjustRightInd w:val="0"/>
        <w:snapToGrid w:val="0"/>
        <w:spacing w:line="520" w:lineRule="exact"/>
        <w:ind w:left="420" w:firstLine="640" w:firstLineChars="200"/>
        <w:rPr>
          <w:rFonts w:ascii="仿宋_GB2312" w:eastAsia="仿宋_GB2312" w:cs="仿宋_GB2312"/>
          <w:sz w:val="32"/>
          <w:szCs w:val="32"/>
        </w:rPr>
      </w:pPr>
      <w:r>
        <w:rPr>
          <w:rFonts w:hint="eastAsia" w:ascii="仿宋_GB2312" w:eastAsia="仿宋_GB2312" w:cs="仿宋_GB2312"/>
          <w:sz w:val="32"/>
          <w:szCs w:val="32"/>
        </w:rPr>
        <w:t>黑水县石碉楼乡瓦洛村避险搬迁安置点三通一坪建设项目</w:t>
      </w:r>
      <w:r>
        <w:rPr>
          <w:rFonts w:hint="eastAsia" w:ascii="仿宋_GB2312" w:eastAsia="仿宋_GB2312" w:cs="仿宋_GB2312"/>
          <w:sz w:val="32"/>
          <w:szCs w:val="32"/>
          <w:lang w:val="zh-CN"/>
        </w:rPr>
        <w:t>，重点</w:t>
      </w:r>
      <w:r>
        <w:rPr>
          <w:rFonts w:hint="eastAsia" w:ascii="仿宋_GB2312" w:eastAsia="仿宋_GB2312" w:cs="仿宋_GB2312"/>
          <w:sz w:val="32"/>
          <w:szCs w:val="32"/>
        </w:rPr>
        <w:t>用于石碉楼乡瓦洛村避险搬迁安置点道路、给排水、电气、照明及其他附属工程项目。</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（四）项目绩效目标设置</w:t>
      </w:r>
    </w:p>
    <w:p>
      <w:pPr>
        <w:adjustRightInd w:val="0"/>
        <w:snapToGrid w:val="0"/>
        <w:spacing w:line="520" w:lineRule="exact"/>
        <w:ind w:left="420" w:firstLine="640" w:firstLineChars="200"/>
        <w:rPr>
          <w:rFonts w:ascii="仿宋_GB2312" w:eastAsia="仿宋_GB2312"/>
          <w:sz w:val="32"/>
          <w:szCs w:val="32"/>
        </w:rPr>
      </w:pPr>
      <w:r>
        <w:rPr>
          <w:rFonts w:ascii="仿宋_GB2312" w:eastAsia="仿宋_GB2312"/>
          <w:sz w:val="32"/>
          <w:szCs w:val="32"/>
        </w:rPr>
        <w:t>此项经费</w:t>
      </w:r>
      <w:r>
        <w:rPr>
          <w:rFonts w:hint="eastAsia" w:ascii="仿宋_GB2312" w:eastAsia="仿宋_GB2312"/>
          <w:sz w:val="32"/>
          <w:szCs w:val="32"/>
        </w:rPr>
        <w:t>用于：</w:t>
      </w:r>
      <w:r>
        <w:rPr>
          <w:rFonts w:hint="eastAsia" w:ascii="仿宋_GB2312" w:eastAsia="仿宋_GB2312" w:cs="仿宋_GB2312"/>
          <w:sz w:val="32"/>
          <w:szCs w:val="32"/>
        </w:rPr>
        <w:t>石碉楼乡瓦洛村避险搬迁安置点道路、给排水、电气、照明及其他附属工程项目。</w:t>
      </w:r>
    </w:p>
    <w:p>
      <w:pPr>
        <w:spacing w:line="580" w:lineRule="exact"/>
        <w:ind w:firstLine="640" w:firstLineChars="200"/>
        <w:rPr>
          <w:rFonts w:ascii="黑体" w:eastAsia="黑体" w:cs="黑体"/>
          <w:sz w:val="32"/>
          <w:szCs w:val="32"/>
        </w:rPr>
      </w:pPr>
      <w:r>
        <w:rPr>
          <w:rFonts w:hint="eastAsia" w:ascii="黑体" w:eastAsia="黑体" w:cs="黑体"/>
          <w:sz w:val="32"/>
          <w:szCs w:val="32"/>
        </w:rPr>
        <w:t>二、</w:t>
      </w:r>
      <w:r>
        <w:rPr>
          <w:rFonts w:ascii="黑体" w:eastAsia="黑体" w:cs="黑体"/>
          <w:sz w:val="32"/>
          <w:szCs w:val="32"/>
        </w:rPr>
        <w:t>评价实施</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（一）评价目的</w:t>
      </w:r>
    </w:p>
    <w:p>
      <w:pPr>
        <w:spacing w:line="580" w:lineRule="exact"/>
        <w:ind w:firstLine="640" w:firstLineChars="200"/>
        <w:rPr>
          <w:rFonts w:ascii="楷体_GB2312" w:eastAsia="楷体_GB2312"/>
          <w:b/>
          <w:sz w:val="32"/>
          <w:szCs w:val="32"/>
          <w:lang w:val="zh-CN"/>
        </w:rPr>
      </w:pPr>
      <w:r>
        <w:rPr>
          <w:rFonts w:ascii="仿宋_GB2312" w:eastAsia="仿宋_GB2312"/>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eastAsia="仿宋_GB2312"/>
          <w:sz w:val="32"/>
          <w:szCs w:val="32"/>
        </w:rPr>
        <w:t>黑水县财政局印发的《关于开展2026年县级部门预算绩效自评工作的通知》（黑财【2026】19号）的文件要求</w:t>
      </w:r>
      <w:r>
        <w:rPr>
          <w:rFonts w:ascii="仿宋_GB2312" w:eastAsia="仿宋_GB2312"/>
          <w:sz w:val="32"/>
          <w:szCs w:val="32"/>
        </w:rPr>
        <w:t>，要求各部门（单位）按照州财政局制定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级评价总结经验，发现问题，提出改进建议，进一步提升加强项目支出绩效管理水平、提升预算管理水平、提升项目管理水平。</w:t>
      </w:r>
    </w:p>
    <w:p>
      <w:pPr>
        <w:spacing w:line="580" w:lineRule="exact"/>
        <w:ind w:firstLine="321" w:firstLineChars="100"/>
        <w:rPr>
          <w:rFonts w:ascii="仿宋_GB2312" w:eastAsia="仿宋_GB2312" w:cs="仿宋_GB2312"/>
          <w:sz w:val="32"/>
          <w:szCs w:val="32"/>
        </w:rPr>
      </w:pPr>
      <w:r>
        <w:rPr>
          <w:rFonts w:hint="eastAsia" w:ascii="楷体_GB2312" w:eastAsia="楷体_GB2312"/>
          <w:b/>
          <w:sz w:val="32"/>
          <w:szCs w:val="32"/>
          <w:lang w:val="zh-CN"/>
        </w:rPr>
        <w:t>（二）预设问题及评价重点</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本次评价主要针对该项目的规划编制内容完整性和项目实施工作的质量问题，结合该项目资金的使用情况来完整的体现。</w:t>
      </w:r>
    </w:p>
    <w:p>
      <w:pPr>
        <w:spacing w:line="580" w:lineRule="exact"/>
        <w:ind w:firstLine="321" w:firstLineChars="100"/>
        <w:rPr>
          <w:rFonts w:ascii="仿宋_GB2312" w:eastAsia="仿宋_GB2312" w:cs="仿宋_GB2312"/>
          <w:sz w:val="32"/>
          <w:szCs w:val="32"/>
        </w:rPr>
      </w:pPr>
      <w:r>
        <w:rPr>
          <w:rFonts w:hint="eastAsia" w:ascii="楷体_GB2312" w:eastAsia="楷体_GB2312"/>
          <w:b/>
          <w:sz w:val="32"/>
          <w:szCs w:val="32"/>
          <w:lang w:val="zh-CN"/>
        </w:rPr>
        <w:t>（三）评价选点</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黑水县石碉楼乡瓦洛村避险搬迁安置点三通一坪建设项目费</w:t>
      </w:r>
      <w:r>
        <w:rPr>
          <w:rFonts w:ascii="仿宋_GB2312" w:eastAsia="仿宋_GB2312" w:cs="仿宋_GB2312"/>
          <w:sz w:val="32"/>
          <w:szCs w:val="32"/>
        </w:rPr>
        <w:t>主要开展工作地点为黑水县石碉楼乡</w:t>
      </w:r>
      <w:r>
        <w:rPr>
          <w:rFonts w:hint="eastAsia" w:ascii="仿宋_GB2312" w:eastAsia="仿宋_GB2312" w:cs="仿宋_GB2312"/>
          <w:sz w:val="32"/>
          <w:szCs w:val="32"/>
        </w:rPr>
        <w:t>瓦洛村避险搬迁安置点</w:t>
      </w:r>
      <w:r>
        <w:rPr>
          <w:rFonts w:ascii="仿宋_GB2312" w:eastAsia="仿宋_GB2312" w:cs="仿宋_GB2312"/>
          <w:sz w:val="32"/>
          <w:szCs w:val="32"/>
        </w:rPr>
        <w:t>，本次绩效评价主体为黑水县石碉楼乡人民政府，项目不涉及其他点位。</w:t>
      </w:r>
    </w:p>
    <w:p>
      <w:pPr>
        <w:spacing w:line="580" w:lineRule="exact"/>
        <w:ind w:firstLine="321" w:firstLineChars="100"/>
        <w:rPr>
          <w:rFonts w:ascii="仿宋_GB2312" w:eastAsia="仿宋_GB2312" w:cs="仿宋_GB2312"/>
          <w:sz w:val="32"/>
          <w:szCs w:val="32"/>
        </w:rPr>
      </w:pPr>
      <w:r>
        <w:rPr>
          <w:rFonts w:hint="eastAsia" w:ascii="楷体_GB2312" w:eastAsia="楷体_GB2312"/>
          <w:b/>
          <w:sz w:val="32"/>
          <w:szCs w:val="32"/>
          <w:lang w:val="zh-CN"/>
        </w:rPr>
        <w:t>（四）评价方法</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采用先进的绩效评价方法和科学的数据分析是取得正确客观评价结论的重要保障，评价组从以下方法中择优组织，对项目实施评价，通过定量和定性分析得出评价结论。</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1.比较分析法.是指通过对绩效目标与实施效果、历史与当前情况、不同部门和地区同类支出的比较，综合分析绩效目标实现程度。</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2.因素分析法。是指通过综合分析影响绩效目标实现、实施效果的内外因素，评价绩效目标实现程度。</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3.最低成本分析法。是指对效益确定却不易计量的多个同类对象的实施成本进行比较，评价绩效目标实现程度。</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4.双重交叉分析法。是指通过对项目建设前后的比较，根据成效等方面去寻找和分析政策产生的影响。</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5.随机访谈法。是指针对部门项目负责人及实施主题进行了访问和访谈，如项目实施情况的必要性、可行性和满意度等进行随机访谈。</w:t>
      </w:r>
    </w:p>
    <w:p>
      <w:pPr>
        <w:spacing w:line="580" w:lineRule="exact"/>
        <w:ind w:firstLine="481" w:firstLineChars="150"/>
        <w:rPr>
          <w:rFonts w:ascii="仿宋_GB2312" w:eastAsia="仿宋_GB2312" w:cs="仿宋_GB2312"/>
          <w:sz w:val="32"/>
          <w:szCs w:val="32"/>
        </w:rPr>
      </w:pPr>
      <w:r>
        <w:rPr>
          <w:rFonts w:hint="eastAsia" w:ascii="楷体_GB2312" w:eastAsia="楷体_GB2312"/>
          <w:b/>
          <w:sz w:val="32"/>
          <w:szCs w:val="32"/>
          <w:lang w:val="zh-CN"/>
        </w:rPr>
        <w:t>（五）评价组织</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领导小组职责：</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研究和决定同级政府公共事业管理绩效评价中的重大问题。</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组织协调绩效评价工作，确保评价的顺利进行。</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对各单位的工作目标、绩效考核结果和等次、奖惩方案进行审核，并报同级党委和政府审定。</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办公室职责：</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提出全省（市、县）政府公共事业管理绩效评价的工作方案，并负责具体组织实施。</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综合评价信息，提出评价结果</w:t>
      </w:r>
      <w:r>
        <w:rPr>
          <w:rFonts w:hint="eastAsia" w:ascii="仿宋_GB2312" w:eastAsia="仿宋_GB2312" w:cs="仿宋_GB2312"/>
          <w:sz w:val="32"/>
          <w:szCs w:val="32"/>
        </w:rPr>
        <w:t>等</w:t>
      </w:r>
      <w:r>
        <w:rPr>
          <w:rFonts w:ascii="仿宋_GB2312" w:eastAsia="仿宋_GB2312" w:cs="仿宋_GB2312"/>
          <w:sz w:val="32"/>
          <w:szCs w:val="32"/>
        </w:rPr>
        <w:t>次认定方案及奖惩方案等。</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负责绩效评价的日常工作，包括宣传、沟通、协调等。</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（4）</w:t>
      </w:r>
      <w:r>
        <w:rPr>
          <w:rFonts w:ascii="仿宋_GB2312" w:eastAsia="仿宋_GB2312" w:cs="仿宋_GB2312"/>
          <w:sz w:val="32"/>
          <w:szCs w:val="32"/>
        </w:rPr>
        <w:t>根据评价结果撰写绩效评价报告，并递交给领导小组。</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具体执行人员职责：</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组长：审批绩效自评方案，监督、检查、核实绩效自评结果。</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副组长：审核修改拟定的绩效自评方案，并提交考评工作组会议讨论通过；监督、部署、确认绩效自评过程及反馈意见的处理。</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spacing w:line="580" w:lineRule="exact"/>
        <w:ind w:firstLine="640" w:firstLineChars="200"/>
        <w:rPr>
          <w:rFonts w:ascii="黑体" w:eastAsia="黑体"/>
          <w:sz w:val="32"/>
          <w:szCs w:val="32"/>
        </w:rPr>
      </w:pPr>
      <w:r>
        <w:rPr>
          <w:rFonts w:hint="eastAsia" w:ascii="黑体" w:eastAsia="黑体"/>
          <w:sz w:val="32"/>
          <w:szCs w:val="32"/>
        </w:rPr>
        <w:t>三、绩效分析</w:t>
      </w:r>
    </w:p>
    <w:p>
      <w:pPr>
        <w:spacing w:line="578" w:lineRule="exact"/>
        <w:ind w:firstLine="640"/>
        <w:rPr>
          <w:rFonts w:ascii="仿宋_GB2312" w:eastAsia="仿宋_GB2312"/>
          <w:b/>
          <w:sz w:val="32"/>
          <w:szCs w:val="32"/>
        </w:rPr>
      </w:pPr>
      <w:r>
        <w:rPr>
          <w:rFonts w:hint="eastAsia" w:ascii="仿宋_GB2312" w:eastAsia="仿宋_GB2312"/>
          <w:b/>
          <w:sz w:val="32"/>
          <w:szCs w:val="32"/>
          <w:lang w:val="zh-CN"/>
        </w:rPr>
        <w:t>（一）</w:t>
      </w:r>
      <w:r>
        <w:rPr>
          <w:rFonts w:hint="eastAsia" w:ascii="仿宋_GB2312" w:eastAsia="仿宋_GB2312"/>
          <w:b/>
          <w:sz w:val="32"/>
          <w:szCs w:val="32"/>
        </w:rPr>
        <w:t>通用指标</w:t>
      </w:r>
      <w:r>
        <w:rPr>
          <w:rFonts w:hint="eastAsia" w:ascii="仿宋_GB2312" w:eastAsia="仿宋_GB2312"/>
          <w:b/>
          <w:bCs/>
          <w:color w:val="000000"/>
          <w:kern w:val="0"/>
          <w:sz w:val="32"/>
          <w:szCs w:val="32"/>
          <w:shd w:val="clear" w:color="auto" w:fill="FFFFFF"/>
          <w:lang w:val="zh-CN"/>
        </w:rPr>
        <w:t>绩效分析</w:t>
      </w:r>
    </w:p>
    <w:p>
      <w:pPr>
        <w:spacing w:line="578" w:lineRule="exact"/>
        <w:ind w:firstLine="640"/>
        <w:rPr>
          <w:rFonts w:ascii="仿宋_GB2312" w:eastAsia="仿宋_GB2312"/>
          <w:sz w:val="32"/>
          <w:szCs w:val="32"/>
        </w:rPr>
      </w:pPr>
      <w:r>
        <w:rPr>
          <w:rFonts w:hint="eastAsia" w:ascii="仿宋_GB2312" w:eastAsia="仿宋_GB2312" w:cs="楷体_GB2312"/>
          <w:sz w:val="32"/>
          <w:szCs w:val="32"/>
        </w:rPr>
        <w:t>1.项目决策。</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（1）决策程序</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项目设立、调整延续等方面符合资金管理基本规范和决策程序要求，该项指标得分6分。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（2）规划论证</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该项指标得分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（3）资金投向</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pPr>
        <w:spacing w:line="578" w:lineRule="exact"/>
        <w:ind w:firstLine="640"/>
        <w:rPr>
          <w:rFonts w:ascii="仿宋_GB2312" w:eastAsia="仿宋_GB2312"/>
          <w:sz w:val="32"/>
          <w:szCs w:val="32"/>
        </w:rPr>
      </w:pPr>
      <w:r>
        <w:rPr>
          <w:rFonts w:hint="eastAsia" w:ascii="仿宋_GB2312" w:eastAsia="仿宋_GB2312" w:cs="楷体_GB2312"/>
          <w:sz w:val="32"/>
          <w:szCs w:val="32"/>
        </w:rPr>
        <w:t>2.项目管理。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（1）制度办法</w:t>
      </w:r>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资金管理办法等管理制度体系健全完善，不存在管理制度缺失、管理办法过期情况，该项指标得分2分。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（2）分配管理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10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（3）绩效监管</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项目按</w:t>
      </w:r>
      <w:r>
        <w:rPr>
          <w:rFonts w:hint="default" w:ascii="仿宋_GB2312" w:eastAsia="仿宋_GB2312"/>
          <w:kern w:val="0"/>
          <w:sz w:val="32"/>
          <w:szCs w:val="32"/>
        </w:rPr>
        <w:t>中央、省委</w:t>
      </w:r>
      <w:r>
        <w:rPr>
          <w:rFonts w:hint="eastAsia" w:ascii="仿宋_GB2312" w:eastAsia="仿宋_GB2312"/>
          <w:kern w:val="0"/>
          <w:sz w:val="32"/>
          <w:szCs w:val="32"/>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spacing w:line="578" w:lineRule="exact"/>
        <w:ind w:left="420" w:leftChars="200"/>
        <w:rPr>
          <w:rFonts w:ascii="仿宋_GB2312" w:eastAsia="仿宋_GB2312"/>
          <w:sz w:val="32"/>
          <w:szCs w:val="32"/>
        </w:rPr>
      </w:pPr>
      <w:r>
        <w:rPr>
          <w:rFonts w:hint="eastAsia" w:ascii="仿宋_GB2312" w:eastAsia="仿宋_GB2312" w:cs="楷体_GB2312"/>
          <w:sz w:val="32"/>
          <w:szCs w:val="32"/>
        </w:rPr>
        <w:t>3.项目实施。</w:t>
      </w:r>
      <w:r>
        <w:rPr>
          <w:rFonts w:hint="eastAsia" w:ascii="仿宋_GB2312" w:eastAsia="仿宋_GB2312"/>
          <w:sz w:val="32"/>
          <w:szCs w:val="32"/>
        </w:rPr>
        <w:t>围绕、进行绩效分析。</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（1）预算执行</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财政资金已按照要求拨付完毕，拨付率100%，该项指标得分=财政资金拨付率×100%×6得6分。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（2）资金使用</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spacing w:line="578" w:lineRule="exact"/>
        <w:ind w:left="420" w:leftChars="200"/>
        <w:rPr>
          <w:rFonts w:ascii="仿宋_GB2312" w:eastAsia="仿宋_GB2312"/>
          <w:sz w:val="32"/>
          <w:szCs w:val="32"/>
        </w:rPr>
      </w:pPr>
      <w:r>
        <w:rPr>
          <w:rFonts w:hint="eastAsia" w:ascii="仿宋_GB2312" w:eastAsia="仿宋_GB2312" w:cs="楷体_GB2312"/>
          <w:sz w:val="32"/>
          <w:szCs w:val="32"/>
        </w:rPr>
        <w:t>4.项目结果。</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（1）目标完成</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项目完成预期目标，实施结果与绩效目标相匹配，该项指标得分6分。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（2）完成时效</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项目实际完成时间与计划完成时间相符，该项指标得分3分。</w:t>
      </w:r>
    </w:p>
    <w:p>
      <w:pPr>
        <w:spacing w:line="578" w:lineRule="exact"/>
        <w:ind w:firstLine="642" w:firstLineChars="200"/>
        <w:rPr>
          <w:rFonts w:ascii="仿宋_GB2312" w:eastAsia="仿宋_GB2312" w:cs="楷体_GB2312"/>
          <w:sz w:val="32"/>
          <w:szCs w:val="32"/>
          <w:lang w:val="zh-CN"/>
        </w:rPr>
      </w:pPr>
      <w:r>
        <w:rPr>
          <w:rFonts w:hint="eastAsia" w:ascii="仿宋_GB2312" w:eastAsia="仿宋_GB2312"/>
          <w:b/>
          <w:sz w:val="32"/>
          <w:szCs w:val="32"/>
          <w:lang w:val="zh-CN"/>
        </w:rPr>
        <w:t>（二）</w:t>
      </w:r>
      <w:r>
        <w:rPr>
          <w:rFonts w:hint="eastAsia" w:ascii="仿宋_GB2312" w:eastAsia="仿宋_GB2312"/>
          <w:b/>
          <w:sz w:val="32"/>
          <w:szCs w:val="32"/>
        </w:rPr>
        <w:t>基础设施</w:t>
      </w:r>
      <w:r>
        <w:rPr>
          <w:rFonts w:hint="eastAsia" w:ascii="仿宋_GB2312" w:eastAsia="仿宋_GB2312"/>
          <w:b/>
          <w:bCs/>
          <w:color w:val="000000"/>
          <w:kern w:val="0"/>
          <w:sz w:val="32"/>
          <w:szCs w:val="32"/>
          <w:shd w:val="clear" w:color="auto" w:fill="FFFFFF"/>
          <w:lang w:val="zh-CN"/>
        </w:rPr>
        <w:t>绩效分析</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（1）工程进度</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项目达到计划工程进度得15分。</w:t>
      </w:r>
    </w:p>
    <w:p>
      <w:pPr>
        <w:numPr>
          <w:ilvl w:val="0"/>
          <w:numId w:val="2"/>
        </w:numPr>
        <w:adjustRightInd w:val="0"/>
        <w:snapToGrid w:val="0"/>
        <w:spacing w:line="578" w:lineRule="exact"/>
        <w:ind w:left="0" w:firstLine="640" w:firstLineChars="200"/>
        <w:rPr>
          <w:rFonts w:ascii="仿宋_GB2312" w:eastAsia="仿宋_GB2312"/>
          <w:kern w:val="0"/>
          <w:sz w:val="32"/>
          <w:szCs w:val="32"/>
        </w:rPr>
      </w:pPr>
      <w:r>
        <w:rPr>
          <w:rFonts w:hint="eastAsia" w:ascii="仿宋_GB2312" w:eastAsia="仿宋_GB2312"/>
          <w:kern w:val="0"/>
          <w:sz w:val="32"/>
          <w:szCs w:val="32"/>
        </w:rPr>
        <w:t>资金拨付</w:t>
      </w:r>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项目达到预先确定的资金拨付进度</w:t>
      </w:r>
      <w:r>
        <w:rPr>
          <w:rFonts w:hint="eastAsia" w:ascii="仿宋_GB2312" w:eastAsia="仿宋_GB2312"/>
          <w:kern w:val="0"/>
          <w:sz w:val="32"/>
          <w:szCs w:val="32"/>
        </w:rPr>
        <w:t>得15分。</w:t>
      </w:r>
    </w:p>
    <w:p>
      <w:pPr>
        <w:spacing w:line="578" w:lineRule="exact"/>
        <w:ind w:firstLine="640"/>
        <w:rPr>
          <w:rFonts w:ascii="仿宋_GB2312" w:eastAsia="仿宋_GB2312"/>
          <w:sz w:val="32"/>
          <w:szCs w:val="32"/>
        </w:rPr>
      </w:pPr>
      <w:r>
        <w:rPr>
          <w:rFonts w:hint="eastAsia" w:ascii="仿宋_GB2312" w:eastAsia="仿宋_GB2312"/>
          <w:b/>
          <w:sz w:val="32"/>
          <w:szCs w:val="32"/>
          <w:lang w:val="zh-CN"/>
        </w:rPr>
        <w:t>（三）</w:t>
      </w:r>
      <w:r>
        <w:rPr>
          <w:rFonts w:hint="eastAsia" w:ascii="仿宋_GB2312" w:eastAsia="仿宋_GB2312"/>
          <w:b/>
          <w:sz w:val="32"/>
          <w:szCs w:val="32"/>
        </w:rPr>
        <w:t>个性指标</w:t>
      </w:r>
      <w:r>
        <w:rPr>
          <w:rFonts w:hint="eastAsia" w:ascii="仿宋_GB2312" w:eastAsia="仿宋_GB2312"/>
          <w:b/>
          <w:bCs/>
          <w:color w:val="000000"/>
          <w:kern w:val="0"/>
          <w:sz w:val="32"/>
          <w:szCs w:val="32"/>
          <w:shd w:val="clear" w:color="auto" w:fill="FFFFFF"/>
          <w:lang w:val="zh-CN"/>
        </w:rPr>
        <w:t>绩效分析</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w:t>
      </w:r>
      <w:r>
        <w:rPr>
          <w:rFonts w:ascii="仿宋_GB2312" w:eastAsia="仿宋_GB2312"/>
          <w:kern w:val="0"/>
          <w:sz w:val="32"/>
          <w:szCs w:val="32"/>
        </w:rPr>
        <w:t>满意度高，成本控制合理性强，</w:t>
      </w:r>
      <w:r>
        <w:rPr>
          <w:rFonts w:hint="eastAsia" w:ascii="仿宋_GB2312" w:eastAsia="仿宋_GB2312"/>
          <w:kern w:val="0"/>
          <w:sz w:val="32"/>
          <w:szCs w:val="32"/>
        </w:rPr>
        <w:t>该项指标得分16分。</w:t>
      </w:r>
    </w:p>
    <w:p>
      <w:pPr>
        <w:spacing w:line="580" w:lineRule="exact"/>
        <w:ind w:firstLine="640" w:firstLineChars="200"/>
        <w:rPr>
          <w:rFonts w:ascii="黑体" w:eastAsia="黑体"/>
          <w:sz w:val="32"/>
          <w:szCs w:val="32"/>
        </w:rPr>
      </w:pPr>
      <w:r>
        <w:rPr>
          <w:rFonts w:hint="eastAsia" w:ascii="黑体" w:eastAsia="黑体"/>
          <w:sz w:val="32"/>
          <w:szCs w:val="32"/>
        </w:rPr>
        <w:t>四、评价结论</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我单位严格按照绩效自评工作要求，秉承客观公正、实事求是的原则开展了黑水县石碉楼乡瓦洛村避险搬迁安置点三通一坪建设项目费支出绩效自评工作，经对各类指标进行评分和汇总分析，黑水县石碉楼乡瓦洛村避险搬迁安置点三通一坪建设项目费支出绩效评价综合得分100分。评价结果显示，黑水县石碉楼乡瓦洛村避险搬迁安置点三通一坪建设项目费按照相关规定进行使用和管理，程序较为规范，项目支出使用效益达到预期。</w:t>
      </w:r>
    </w:p>
    <w:p>
      <w:pPr>
        <w:spacing w:line="580" w:lineRule="exact"/>
        <w:ind w:firstLine="640" w:firstLineChars="200"/>
        <w:rPr>
          <w:rFonts w:ascii="黑体" w:eastAsia="黑体"/>
          <w:sz w:val="32"/>
          <w:szCs w:val="32"/>
        </w:rPr>
      </w:pPr>
      <w:r>
        <w:rPr>
          <w:rFonts w:hint="eastAsia" w:ascii="黑体" w:eastAsia="黑体"/>
          <w:sz w:val="32"/>
          <w:szCs w:val="32"/>
        </w:rPr>
        <w:t>五、存在主要问题</w:t>
      </w:r>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1.</w:t>
      </w:r>
      <w:r>
        <w:rPr>
          <w:rFonts w:hint="eastAsia" w:ascii="仿宋_GB2312" w:eastAsia="仿宋_GB2312"/>
          <w:kern w:val="0"/>
          <w:sz w:val="32"/>
          <w:szCs w:val="32"/>
        </w:rPr>
        <w:t>项目管理相关制度待完善</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项目管理制度不健全，不符合县财政局内部控制相关的要求。项目未提供相关项目管理制度，如项目管理等相关内控管理制度，无法考量项目管理制度是否符合上位法和项目实际、项目管理是否符合制度。</w:t>
      </w:r>
    </w:p>
    <w:p>
      <w:pPr>
        <w:pStyle w:val="15"/>
        <w:ind w:firstLine="640" w:firstLineChars="200"/>
        <w:rPr>
          <w:rFonts w:ascii="仿宋_GB2312"/>
        </w:rPr>
      </w:pPr>
      <w:r>
        <w:rPr>
          <w:rFonts w:ascii="仿宋_GB2312"/>
          <w:kern w:val="0"/>
        </w:rPr>
        <w:t>2.</w:t>
      </w:r>
      <w:r>
        <w:rPr>
          <w:rFonts w:hint="eastAsia" w:ascii="仿宋_GB2312"/>
          <w:kern w:val="0"/>
        </w:rPr>
        <w:t>支出进度不达标，因天气原因需要停工，所以前期支付进度不达标。</w:t>
      </w:r>
    </w:p>
    <w:p>
      <w:pPr>
        <w:spacing w:line="580" w:lineRule="exact"/>
        <w:ind w:firstLine="640" w:firstLineChars="200"/>
        <w:rPr>
          <w:rFonts w:ascii="黑体" w:eastAsia="黑体"/>
          <w:sz w:val="32"/>
          <w:szCs w:val="32"/>
          <w:lang w:val="zh-CN"/>
        </w:rPr>
      </w:pPr>
      <w:r>
        <w:rPr>
          <w:rFonts w:hint="eastAsia" w:ascii="黑体" w:eastAsia="黑体"/>
          <w:sz w:val="32"/>
          <w:szCs w:val="32"/>
          <w:lang w:val="zh-CN"/>
        </w:rPr>
        <w:t>六、改进建议</w:t>
      </w:r>
    </w:p>
    <w:p>
      <w:pPr>
        <w:adjustRightInd w:val="0"/>
        <w:snapToGrid w:val="0"/>
        <w:spacing w:line="578" w:lineRule="exact"/>
        <w:ind w:firstLine="640" w:firstLineChars="200"/>
        <w:rPr>
          <w:rFonts w:ascii="仿宋_GB2312" w:eastAsia="仿宋_GB2312"/>
          <w:kern w:val="0"/>
          <w:sz w:val="32"/>
          <w:szCs w:val="32"/>
        </w:rPr>
      </w:pPr>
      <w:bookmarkStart w:id="0" w:name="_Hlk110546638"/>
      <w:r>
        <w:rPr>
          <w:rFonts w:hint="eastAsia" w:ascii="仿宋_GB2312" w:eastAsia="仿宋_GB2312"/>
          <w:kern w:val="0"/>
          <w:sz w:val="32"/>
          <w:szCs w:val="32"/>
        </w:rPr>
        <w:t>建议项目单位按照县财政局对内部控制的要求，加强项目管理相关的内控制度建设，对项目管理配套的内部管理相关制度进行完善，进一步提高项目管理的内部控制，为项目实施和完成提供保障。进一步加快支付进度。</w:t>
      </w:r>
      <w:bookmarkEnd w:id="0"/>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附表：1.</w:t>
      </w:r>
      <w:r>
        <w:rPr>
          <w:rFonts w:hint="eastAsia" w:ascii="仿宋_GB2312" w:eastAsia="仿宋_GB2312"/>
          <w:kern w:val="0"/>
          <w:sz w:val="32"/>
          <w:szCs w:val="32"/>
        </w:rPr>
        <w:t>专项</w:t>
      </w:r>
      <w:r>
        <w:rPr>
          <w:rFonts w:ascii="仿宋_GB2312" w:eastAsia="仿宋_GB2312"/>
          <w:kern w:val="0"/>
          <w:sz w:val="32"/>
          <w:szCs w:val="32"/>
        </w:rPr>
        <w:t>预算绩效自评打分表</w:t>
      </w:r>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2.专项预算绩效自评实地踏勘点位清单表</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 xml:space="preserve">      3.</w:t>
      </w:r>
      <w:r>
        <w:rPr>
          <w:rFonts w:ascii="仿宋_GB2312" w:eastAsia="仿宋_GB2312"/>
          <w:kern w:val="0"/>
          <w:sz w:val="32"/>
          <w:szCs w:val="32"/>
        </w:rPr>
        <w:t>专项预算项目绩效目标完成情况自评表</w:t>
      </w:r>
    </w:p>
    <w:p>
      <w:pPr>
        <w:snapToGrid w:val="0"/>
        <w:spacing w:line="578" w:lineRule="exact"/>
        <w:ind w:firstLine="1600" w:firstLineChars="500"/>
        <w:rPr>
          <w:rFonts w:ascii="仿宋_GB2312" w:eastAsia="仿宋_GB2312"/>
          <w:color w:val="000000"/>
          <w:kern w:val="0"/>
          <w:sz w:val="32"/>
          <w:szCs w:val="32"/>
          <w:shd w:val="clear" w:color="auto" w:fill="FFFFFF"/>
        </w:rPr>
      </w:pPr>
      <w:r>
        <w:rPr>
          <w:rFonts w:hint="eastAsia" w:ascii="仿宋_GB2312" w:eastAsia="仿宋_GB2312"/>
          <w:color w:val="000000"/>
          <w:kern w:val="0"/>
          <w:sz w:val="32"/>
          <w:szCs w:val="32"/>
        </w:rPr>
        <w:drawing>
          <wp:anchor distT="0" distB="0" distL="114300" distR="114300" simplePos="0" relativeHeight="251659264" behindDoc="0" locked="0" layoutInCell="1" allowOverlap="1">
            <wp:simplePos x="0" y="0"/>
            <wp:positionH relativeFrom="column">
              <wp:posOffset>3674745</wp:posOffset>
            </wp:positionH>
            <wp:positionV relativeFrom="paragraph">
              <wp:posOffset>6350</wp:posOffset>
            </wp:positionV>
            <wp:extent cx="1638300" cy="1619250"/>
            <wp:effectExtent l="0" t="0" r="0" b="0"/>
            <wp:wrapNone/>
            <wp:docPr id="3" name="图片 2" descr="公章电子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公章电子章"/>
                    <pic:cNvPicPr>
                      <a:picLocks noChangeAspect="1"/>
                    </pic:cNvPicPr>
                  </pic:nvPicPr>
                  <pic:blipFill>
                    <a:blip r:embed="rId4"/>
                    <a:stretch>
                      <a:fillRect/>
                    </a:stretch>
                  </pic:blipFill>
                  <pic:spPr>
                    <a:xfrm>
                      <a:off x="0" y="0"/>
                      <a:ext cx="1638299" cy="1619250"/>
                    </a:xfrm>
                    <a:prstGeom prst="rect">
                      <a:avLst/>
                    </a:prstGeom>
                    <a:noFill/>
                    <a:ln w="9525" cap="flat" cmpd="sng">
                      <a:noFill/>
                      <a:prstDash val="solid"/>
                      <a:round/>
                    </a:ln>
                  </pic:spPr>
                </pic:pic>
              </a:graphicData>
            </a:graphic>
          </wp:anchor>
        </w:drawing>
      </w:r>
    </w:p>
    <w:p>
      <w:pPr>
        <w:adjustRightInd w:val="0"/>
        <w:snapToGrid w:val="0"/>
        <w:spacing w:line="578" w:lineRule="exact"/>
        <w:ind w:firstLine="640" w:firstLineChars="200"/>
        <w:jc w:val="right"/>
        <w:rPr>
          <w:rFonts w:ascii="仿宋_GB2312" w:eastAsia="仿宋_GB2312"/>
          <w:kern w:val="0"/>
          <w:sz w:val="32"/>
          <w:szCs w:val="32"/>
        </w:rPr>
      </w:pPr>
      <w:r>
        <w:rPr>
          <w:rFonts w:ascii="仿宋_GB2312" w:eastAsia="仿宋_GB2312"/>
          <w:kern w:val="0"/>
          <w:sz w:val="32"/>
          <w:szCs w:val="32"/>
        </w:rPr>
        <w:t>石碉楼乡人民政府</w:t>
      </w:r>
    </w:p>
    <w:p>
      <w:pPr>
        <w:adjustRightInd w:val="0"/>
        <w:snapToGrid w:val="0"/>
        <w:spacing w:line="578" w:lineRule="exact"/>
        <w:ind w:firstLine="640" w:firstLineChars="200"/>
        <w:jc w:val="right"/>
        <w:rPr>
          <w:rFonts w:ascii="仿宋_GB2312" w:eastAsia="仿宋_GB2312"/>
          <w:kern w:val="0"/>
          <w:sz w:val="32"/>
          <w:szCs w:val="32"/>
        </w:rPr>
      </w:pPr>
      <w:r>
        <w:rPr>
          <w:rFonts w:hint="eastAsia" w:ascii="仿宋_GB2312" w:eastAsia="仿宋_GB2312"/>
          <w:kern w:val="0"/>
          <w:sz w:val="32"/>
          <w:szCs w:val="32"/>
        </w:rPr>
        <w:t>2026</w:t>
      </w:r>
      <w:r>
        <w:rPr>
          <w:rFonts w:ascii="仿宋_GB2312" w:eastAsia="仿宋_GB2312"/>
          <w:kern w:val="0"/>
          <w:sz w:val="32"/>
          <w:szCs w:val="32"/>
        </w:rPr>
        <w:t>年</w:t>
      </w:r>
      <w:r>
        <w:rPr>
          <w:rFonts w:hint="eastAsia" w:ascii="仿宋_GB2312" w:eastAsia="仿宋_GB2312"/>
          <w:kern w:val="0"/>
          <w:sz w:val="32"/>
          <w:szCs w:val="32"/>
        </w:rPr>
        <w:t>3</w:t>
      </w:r>
      <w:r>
        <w:rPr>
          <w:rFonts w:ascii="仿宋_GB2312" w:eastAsia="仿宋_GB2312"/>
          <w:kern w:val="0"/>
          <w:sz w:val="32"/>
          <w:szCs w:val="32"/>
        </w:rPr>
        <w:t>月</w:t>
      </w:r>
      <w:r>
        <w:rPr>
          <w:rFonts w:hint="eastAsia" w:ascii="仿宋_GB2312" w:eastAsia="仿宋_GB2312"/>
          <w:kern w:val="0"/>
          <w:sz w:val="32"/>
          <w:szCs w:val="32"/>
        </w:rPr>
        <w:t>27</w:t>
      </w:r>
      <w:r>
        <w:rPr>
          <w:rFonts w:ascii="仿宋_GB2312" w:eastAsia="仿宋_GB2312"/>
          <w:kern w:val="0"/>
          <w:sz w:val="32"/>
          <w:szCs w:val="32"/>
        </w:rPr>
        <w:t>日</w:t>
      </w:r>
    </w:p>
    <w:p/>
    <w:p>
      <w:pPr>
        <w:spacing w:line="576" w:lineRule="exact"/>
        <w:rPr>
          <w:rFonts w:ascii="仿宋_GB2312" w:eastAsia="仿宋_GB2312" w:cs="仿宋_GB2312"/>
          <w:bCs/>
          <w:sz w:val="32"/>
          <w:szCs w:val="32"/>
        </w:rPr>
      </w:pPr>
    </w:p>
    <w:p>
      <w:pPr>
        <w:pBdr>
          <w:top w:val="single" w:color="auto" w:sz="6" w:space="1"/>
          <w:bottom w:val="single" w:color="auto" w:sz="6" w:space="1"/>
        </w:pBdr>
        <w:rPr>
          <w:rFonts w:ascii="黑体" w:eastAsia="黑体" w:cs="黑体"/>
          <w:kern w:val="0"/>
          <w:sz w:val="32"/>
          <w:szCs w:val="32"/>
          <w:shd w:val="clear" w:color="auto" w:fill="FFFFFF"/>
          <w:lang w:val="zh-CN"/>
        </w:rPr>
      </w:pPr>
      <w:r>
        <w:rPr>
          <w:rFonts w:hint="eastAsia" w:ascii="仿宋" w:eastAsia="仿宋" w:cs="仿宋"/>
          <w:sz w:val="32"/>
          <w:szCs w:val="32"/>
        </w:rPr>
        <w:t>石碉楼乡人民政府                   2026年3月27日</w:t>
      </w:r>
    </w:p>
    <w:p/>
    <w:p>
      <w:pPr>
        <w:snapToGrid w:val="0"/>
        <w:spacing w:line="578" w:lineRule="exact"/>
        <w:rPr>
          <w:rFonts w:eastAsia="黑体"/>
          <w:kern w:val="0"/>
          <w:sz w:val="32"/>
          <w:szCs w:val="32"/>
          <w:shd w:val="clear" w:color="auto" w:fill="FFFFFF"/>
        </w:rPr>
      </w:pPr>
      <w:r>
        <w:rPr>
          <w:rFonts w:hint="eastAsia"/>
          <w:color w:val="000000"/>
          <w:kern w:val="0"/>
          <w:shd w:val="clear" w:color="auto" w:fill="FFFFFF"/>
          <w:lang w:val="zh-CN"/>
        </w:rPr>
        <w:br w:type="page"/>
      </w:r>
      <w:r>
        <w:rPr>
          <w:rFonts w:eastAsia="黑体"/>
          <w:kern w:val="0"/>
          <w:sz w:val="32"/>
          <w:szCs w:val="32"/>
          <w:shd w:val="clear" w:color="auto" w:fill="FFFFFF"/>
          <w:lang w:val="zh-CN"/>
        </w:rPr>
        <w:t>附表</w:t>
      </w:r>
      <w:r>
        <w:rPr>
          <w:rFonts w:eastAsia="黑体"/>
          <w:kern w:val="0"/>
          <w:sz w:val="32"/>
          <w:szCs w:val="32"/>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指标解释</w:t>
            </w:r>
          </w:p>
        </w:tc>
        <w:tc>
          <w:tcPr>
            <w:tcW w:w="732"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自评得分</w:t>
            </w:r>
          </w:p>
        </w:tc>
        <w:tc>
          <w:tcPr>
            <w:tcW w:w="468"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二级指标</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三级指标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w:t>
            </w:r>
            <w:r>
              <w:rPr>
                <w:rFonts w:hint="eastAsia" w:ascii="黑体" w:eastAsia="黑体" w:cs="黑体"/>
                <w:color w:val="000000"/>
                <w:kern w:val="0"/>
                <w:sz w:val="24"/>
              </w:rPr>
              <w:br w:type="textWrapping"/>
            </w:r>
            <w:r>
              <w:rPr>
                <w:rFonts w:hint="eastAsia" w:ascii="黑体" w:eastAsia="黑体" w:cs="黑体"/>
                <w:color w:val="000000"/>
                <w:kern w:val="0"/>
                <w:sz w:val="24"/>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32" w:type="dxa"/>
            <w:vMerge w:val="continue"/>
            <w:tcBorders>
              <w:left w:val="single" w:color="000000" w:sz="4" w:space="0"/>
              <w:bottom w:val="single" w:color="000000" w:sz="4" w:space="0"/>
              <w:right w:val="single" w:color="000000" w:sz="4" w:space="0"/>
            </w:tcBorders>
            <w:noWrap/>
            <w:vAlign w:val="center"/>
          </w:tcPr>
          <w:p/>
        </w:tc>
        <w:tc>
          <w:tcPr>
            <w:tcW w:w="468" w:type="dxa"/>
            <w:vMerge w:val="continue"/>
            <w:tcBorders>
              <w:left w:val="single" w:color="000000" w:sz="4" w:space="0"/>
              <w:bottom w:val="single" w:color="000000" w:sz="4" w:space="0"/>
              <w:right w:val="single" w:color="000000" w:sz="4" w:space="0"/>
            </w:tcBorders>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通用指标</w:t>
            </w:r>
            <w:r>
              <w:rPr>
                <w:rFonts w:hint="eastAsia" w:ascii="宋体" w:cs="宋体"/>
                <w:b/>
                <w:color w:val="000000"/>
                <w:kern w:val="0"/>
                <w:sz w:val="24"/>
              </w:rPr>
              <w:br w:type="textWrapping"/>
            </w:r>
            <w:r>
              <w:rPr>
                <w:rFonts w:hint="eastAsia" w:ascii="宋体" w:cs="宋体"/>
                <w:b/>
                <w:color w:val="000000"/>
                <w:kern w:val="0"/>
                <w:sz w:val="24"/>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项目决策</w:t>
            </w:r>
            <w:r>
              <w:rPr>
                <w:rFonts w:hint="eastAsia" w:ascii="宋体" w:cs="宋体"/>
                <w:b/>
                <w:color w:val="000000"/>
                <w:kern w:val="0"/>
                <w:sz w:val="24"/>
              </w:rPr>
              <w:br w:type="textWrapping"/>
            </w:r>
            <w:r>
              <w:rPr>
                <w:rFonts w:hint="eastAsia" w:ascii="宋体" w:cs="宋体"/>
                <w:b/>
                <w:color w:val="000000"/>
                <w:kern w:val="0"/>
                <w:sz w:val="24"/>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决策程序</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规划论证</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项目规划论证是否符合</w:t>
            </w:r>
            <w:r>
              <w:rPr>
                <w:rFonts w:hint="default" w:ascii="宋体" w:cs="宋体"/>
                <w:color w:val="000000"/>
                <w:kern w:val="0"/>
                <w:sz w:val="24"/>
              </w:rPr>
              <w:t>中央、省委</w:t>
            </w:r>
            <w:r>
              <w:rPr>
                <w:rFonts w:hint="eastAsia" w:ascii="宋体" w:cs="宋体"/>
                <w:color w:val="000000"/>
                <w:kern w:val="0"/>
                <w:sz w:val="24"/>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资金投向</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项目管理</w:t>
            </w:r>
            <w:r>
              <w:rPr>
                <w:rFonts w:hint="eastAsia" w:ascii="宋体" w:cs="宋体"/>
                <w:b/>
                <w:color w:val="000000"/>
                <w:kern w:val="0"/>
                <w:sz w:val="24"/>
              </w:rPr>
              <w:br w:type="textWrapping"/>
            </w:r>
            <w:r>
              <w:rPr>
                <w:rFonts w:hint="eastAsia" w:ascii="宋体" w:cs="宋体"/>
                <w:b/>
                <w:color w:val="000000"/>
                <w:kern w:val="0"/>
                <w:sz w:val="24"/>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制度办法</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2</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2</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分配管理</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绩效监管</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项目实施</w:t>
            </w:r>
            <w:r>
              <w:rPr>
                <w:rFonts w:hint="eastAsia" w:ascii="宋体" w:cs="宋体"/>
                <w:b/>
                <w:color w:val="000000"/>
                <w:kern w:val="0"/>
                <w:sz w:val="24"/>
              </w:rPr>
              <w:br w:type="textWrapping"/>
            </w:r>
            <w:r>
              <w:rPr>
                <w:rFonts w:hint="eastAsia" w:ascii="宋体" w:cs="宋体"/>
                <w:b/>
                <w:color w:val="000000"/>
                <w:kern w:val="0"/>
                <w:sz w:val="24"/>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预算执行</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资金使用</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项目结果</w:t>
            </w:r>
            <w:r>
              <w:rPr>
                <w:rFonts w:hint="eastAsia" w:ascii="宋体" w:cs="宋体"/>
                <w:b/>
                <w:color w:val="000000"/>
                <w:kern w:val="0"/>
                <w:sz w:val="24"/>
              </w:rPr>
              <w:br w:type="textWrapping"/>
            </w:r>
            <w:r>
              <w:rPr>
                <w:rFonts w:hint="eastAsia" w:ascii="宋体" w:cs="宋体"/>
                <w:b/>
                <w:color w:val="000000"/>
                <w:kern w:val="0"/>
                <w:sz w:val="24"/>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目标完成</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完成时效</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专用指标</w:t>
            </w:r>
            <w:r>
              <w:rPr>
                <w:rFonts w:hint="eastAsia" w:ascii="宋体" w:cs="宋体"/>
                <w:b/>
                <w:color w:val="000000"/>
                <w:kern w:val="0"/>
                <w:sz w:val="24"/>
              </w:rPr>
              <w:br w:type="textWrapping"/>
            </w:r>
            <w:r>
              <w:rPr>
                <w:rFonts w:hint="eastAsia" w:ascii="宋体" w:cs="宋体"/>
                <w:b/>
                <w:color w:val="000000"/>
                <w:kern w:val="0"/>
                <w:sz w:val="24"/>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产业发展</w:t>
            </w:r>
            <w:r>
              <w:rPr>
                <w:rFonts w:hint="eastAsia" w:ascii="宋体" w:cs="宋体"/>
                <w:b/>
                <w:color w:val="000000"/>
                <w:kern w:val="0"/>
                <w:sz w:val="24"/>
              </w:rPr>
              <w:br w:type="textWrapping"/>
            </w:r>
            <w:r>
              <w:rPr>
                <w:rFonts w:hint="eastAsia" w:ascii="宋体" w:cs="宋体"/>
                <w:b/>
                <w:color w:val="000000"/>
                <w:kern w:val="0"/>
                <w:sz w:val="24"/>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符合性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成长性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经济性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民生保障</w:t>
            </w:r>
            <w:r>
              <w:rPr>
                <w:rFonts w:hint="eastAsia" w:ascii="宋体" w:cs="宋体"/>
                <w:b/>
                <w:color w:val="000000"/>
                <w:kern w:val="0"/>
                <w:sz w:val="24"/>
              </w:rPr>
              <w:br w:type="textWrapping"/>
            </w:r>
            <w:r>
              <w:rPr>
                <w:rFonts w:hint="eastAsia" w:ascii="宋体" w:cs="宋体"/>
                <w:b/>
                <w:color w:val="000000"/>
                <w:kern w:val="0"/>
                <w:sz w:val="24"/>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区域均衡性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对象精准性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标准合理性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群众满意度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基础</w:t>
            </w:r>
            <w:r>
              <w:rPr>
                <w:rFonts w:hint="eastAsia" w:ascii="宋体" w:cs="宋体"/>
                <w:b/>
                <w:color w:val="000000"/>
                <w:kern w:val="0"/>
                <w:sz w:val="24"/>
              </w:rPr>
              <w:br w:type="textWrapping"/>
            </w:r>
            <w:r>
              <w:rPr>
                <w:rFonts w:hint="eastAsia" w:ascii="宋体" w:cs="宋体"/>
                <w:b/>
                <w:color w:val="000000"/>
                <w:kern w:val="0"/>
                <w:sz w:val="24"/>
              </w:rPr>
              <w:t>设施</w:t>
            </w:r>
            <w:r>
              <w:rPr>
                <w:rFonts w:hint="eastAsia" w:ascii="宋体" w:cs="宋体"/>
                <w:b/>
                <w:color w:val="000000"/>
                <w:kern w:val="0"/>
                <w:sz w:val="24"/>
              </w:rPr>
              <w:br w:type="textWrapping"/>
            </w:r>
            <w:r>
              <w:rPr>
                <w:rFonts w:hint="eastAsia" w:ascii="宋体" w:cs="宋体"/>
                <w:b/>
                <w:color w:val="000000"/>
                <w:kern w:val="0"/>
                <w:sz w:val="24"/>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在建</w:t>
            </w:r>
            <w:r>
              <w:rPr>
                <w:rFonts w:hint="eastAsia" w:ascii="宋体" w:cs="宋体"/>
                <w:b/>
                <w:color w:val="000000"/>
                <w:kern w:val="0"/>
                <w:sz w:val="24"/>
              </w:rPr>
              <w:br w:type="textWrapping"/>
            </w:r>
            <w:r>
              <w:rPr>
                <w:rFonts w:hint="eastAsia" w:ascii="宋体" w:cs="宋体"/>
                <w:b/>
                <w:color w:val="000000"/>
                <w:kern w:val="0"/>
                <w:sz w:val="24"/>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工程进度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15</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资金拨付</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15</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建成</w:t>
            </w:r>
            <w:r>
              <w:rPr>
                <w:rFonts w:hint="eastAsia" w:ascii="宋体" w:cs="宋体"/>
                <w:b/>
                <w:color w:val="000000"/>
                <w:kern w:val="0"/>
                <w:sz w:val="24"/>
              </w:rPr>
              <w:br w:type="textWrapping"/>
            </w:r>
            <w:r>
              <w:rPr>
                <w:rFonts w:hint="eastAsia" w:ascii="宋体" w:cs="宋体"/>
                <w:b/>
                <w:color w:val="000000"/>
                <w:kern w:val="0"/>
                <w:sz w:val="24"/>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项目验收</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功能实现</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后续管护</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专用指标</w:t>
            </w:r>
            <w:r>
              <w:rPr>
                <w:rFonts w:hint="eastAsia" w:ascii="宋体" w:cs="宋体"/>
                <w:b/>
                <w:color w:val="000000"/>
                <w:kern w:val="0"/>
                <w:sz w:val="24"/>
              </w:rPr>
              <w:br w:type="textWrapping"/>
            </w:r>
            <w:r>
              <w:rPr>
                <w:rFonts w:hint="eastAsia" w:ascii="宋体" w:cs="宋体"/>
                <w:b/>
                <w:color w:val="000000"/>
                <w:kern w:val="0"/>
                <w:sz w:val="24"/>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行政运转</w:t>
            </w:r>
            <w:r>
              <w:rPr>
                <w:rFonts w:hint="eastAsia" w:ascii="宋体" w:cs="宋体"/>
                <w:b/>
                <w:color w:val="000000"/>
                <w:kern w:val="0"/>
                <w:sz w:val="24"/>
              </w:rPr>
              <w:br w:type="textWrapping"/>
            </w:r>
            <w:r>
              <w:rPr>
                <w:rFonts w:hint="eastAsia" w:ascii="宋体" w:cs="宋体"/>
                <w:b/>
                <w:color w:val="000000"/>
                <w:kern w:val="0"/>
                <w:sz w:val="24"/>
              </w:rPr>
              <w:t>（30分）</w:t>
            </w: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用途合规性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程序合规性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标准合规性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个性指标</w:t>
            </w:r>
            <w:r>
              <w:rPr>
                <w:rFonts w:hint="eastAsia" w:ascii="宋体" w:cs="宋体"/>
                <w:b/>
                <w:color w:val="000000"/>
                <w:kern w:val="0"/>
                <w:sz w:val="24"/>
              </w:rPr>
              <w:br w:type="textWrapping"/>
            </w:r>
            <w:r>
              <w:rPr>
                <w:rFonts w:hint="eastAsia" w:ascii="宋体" w:cs="宋体"/>
                <w:b/>
                <w:color w:val="000000"/>
                <w:kern w:val="0"/>
                <w:sz w:val="24"/>
              </w:rPr>
              <w:t>（16分）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满意度指标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8</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对日常工作开展满意情况</w:t>
            </w:r>
          </w:p>
          <w:p>
            <w:pPr>
              <w:widowControl/>
              <w:spacing w:line="240" w:lineRule="exact"/>
              <w:jc w:val="left"/>
              <w:textAlignment w:val="center"/>
            </w:pPr>
            <w:r>
              <w:rPr>
                <w:rFonts w:hint="eastAsia" w:ascii="宋体" w:cs="宋体"/>
                <w:color w:val="000000"/>
                <w:kern w:val="0"/>
                <w:sz w:val="24"/>
              </w:rPr>
              <w:t>此项目成本预算控制是否合理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成本指标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8</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rPr>
                <w:rFonts w:ascii="宋体" w:cs="宋体"/>
                <w:color w:val="000000"/>
                <w:sz w:val="24"/>
              </w:rPr>
            </w:pPr>
            <w:r>
              <w:rPr>
                <w:rFonts w:hint="eastAsia" w:ascii="宋体" w:cs="宋体"/>
                <w:color w:val="00000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rPr>
                <w:rFonts w:ascii="宋体" w:cs="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扣分项</w:t>
            </w:r>
            <w:r>
              <w:rPr>
                <w:rFonts w:hint="eastAsia" w:ascii="宋体" w:cs="宋体"/>
                <w:b/>
                <w:color w:val="000000"/>
                <w:kern w:val="0"/>
                <w:sz w:val="24"/>
              </w:rPr>
              <w:br w:type="textWrapping"/>
            </w:r>
            <w:r>
              <w:rPr>
                <w:rFonts w:hint="eastAsia" w:ascii="宋体" w:cs="宋体"/>
                <w:b/>
                <w:color w:val="000000"/>
                <w:kern w:val="0"/>
                <w:sz w:val="24"/>
              </w:rPr>
              <w:t>（10分）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被评价</w:t>
            </w:r>
            <w:r>
              <w:rPr>
                <w:rFonts w:hint="eastAsia" w:ascii="宋体" w:cs="宋体"/>
                <w:color w:val="000000"/>
                <w:kern w:val="0"/>
                <w:sz w:val="24"/>
              </w:rPr>
              <w:br w:type="textWrapping"/>
            </w:r>
            <w:r>
              <w:rPr>
                <w:rFonts w:hint="eastAsia" w:ascii="宋体" w:cs="宋体"/>
                <w:color w:val="000000"/>
                <w:kern w:val="0"/>
                <w:sz w:val="24"/>
              </w:rPr>
              <w:t>部门配合度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bl>
    <w:p>
      <w:pPr>
        <w:spacing w:line="578" w:lineRule="exact"/>
      </w:pPr>
      <w:r>
        <w:rPr>
          <w:rFonts w:eastAsia="黑体"/>
          <w:kern w:val="0"/>
          <w:sz w:val="32"/>
          <w:szCs w:val="32"/>
          <w:shd w:val="clear" w:color="auto" w:fill="FFFFFF"/>
          <w:lang w:val="zh-CN"/>
        </w:rPr>
        <w:t>附表</w:t>
      </w:r>
      <w:r>
        <w:rPr>
          <w:rFonts w:hint="eastAsia"/>
          <w:kern w:val="0"/>
          <w:sz w:val="32"/>
          <w:szCs w:val="32"/>
          <w:shd w:val="clear" w:color="auto" w:fill="FFFFFF"/>
        </w:rPr>
        <w:t>2</w:t>
      </w:r>
    </w:p>
    <w:p>
      <w:pPr>
        <w:spacing w:line="578" w:lineRule="exact"/>
        <w:jc w:val="center"/>
        <w:rPr>
          <w:rFonts w:ascii="楷体_GB2312" w:eastAsia="楷体_GB2312" w:cs="楷体_GB2312"/>
          <w:sz w:val="28"/>
          <w:szCs w:val="28"/>
        </w:rPr>
      </w:pPr>
      <w:r>
        <w:rPr>
          <w:rFonts w:eastAsia="方正小标宋_GBK"/>
          <w:sz w:val="40"/>
          <w:szCs w:val="40"/>
        </w:rPr>
        <w:t>专项预算绩效自评实地踏勘点位清单表</w:t>
      </w:r>
    </w:p>
    <w:tbl>
      <w:tblPr>
        <w:tblStyle w:val="11"/>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6849"/>
        <w:gridCol w:w="1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rFonts w:eastAsia="黑体"/>
                <w:sz w:val="24"/>
              </w:rPr>
            </w:pPr>
            <w:r>
              <w:rPr>
                <w:rFonts w:eastAsia="黑体"/>
                <w:sz w:val="24"/>
              </w:rPr>
              <w:t>序号</w:t>
            </w:r>
          </w:p>
        </w:tc>
        <w:tc>
          <w:tcPr>
            <w:tcW w:w="6849" w:type="dxa"/>
            <w:noWrap/>
          </w:tcPr>
          <w:p>
            <w:pPr>
              <w:spacing w:line="300" w:lineRule="exact"/>
              <w:jc w:val="center"/>
              <w:rPr>
                <w:rFonts w:eastAsia="黑体"/>
                <w:sz w:val="24"/>
              </w:rPr>
            </w:pPr>
            <w:r>
              <w:rPr>
                <w:rFonts w:eastAsia="黑体"/>
                <w:sz w:val="24"/>
              </w:rPr>
              <w:t>实地踏勘点位</w:t>
            </w:r>
          </w:p>
        </w:tc>
        <w:tc>
          <w:tcPr>
            <w:tcW w:w="1040" w:type="dxa"/>
            <w:noWrap/>
          </w:tcPr>
          <w:p>
            <w:pPr>
              <w:spacing w:line="300" w:lineRule="exact"/>
              <w:jc w:val="center"/>
              <w:rPr>
                <w:rFonts w:eastAsia="黑体"/>
                <w:sz w:val="24"/>
              </w:rPr>
            </w:pPr>
            <w:r>
              <w:rPr>
                <w:rFonts w:eastAsia="黑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w:t>
            </w:r>
          </w:p>
        </w:tc>
        <w:tc>
          <w:tcPr>
            <w:tcW w:w="6849" w:type="dxa"/>
            <w:noWrap/>
          </w:tcPr>
          <w:p>
            <w:pPr>
              <w:spacing w:line="300" w:lineRule="exact"/>
              <w:jc w:val="center"/>
              <w:rPr>
                <w:sz w:val="24"/>
              </w:rPr>
            </w:pPr>
            <w:r>
              <w:rPr>
                <w:rFonts w:hint="eastAsia"/>
                <w:sz w:val="24"/>
              </w:rPr>
              <w:t>石碉楼乡人民政府</w:t>
            </w: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2</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3</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4</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5</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6</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7</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8</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9</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10</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11</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12</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13</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14</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15</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16</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17</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18</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19</w:t>
            </w:r>
          </w:p>
        </w:tc>
        <w:tc>
          <w:tcPr>
            <w:tcW w:w="6849" w:type="dxa"/>
            <w:noWrap/>
          </w:tcPr>
          <w:p>
            <w:pPr>
              <w:spacing w:line="300" w:lineRule="exact"/>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290" w:type="dxa"/>
            <w:noWrap/>
          </w:tcPr>
          <w:p>
            <w:pPr>
              <w:spacing w:line="300" w:lineRule="exact"/>
              <w:jc w:val="center"/>
              <w:rPr>
                <w:sz w:val="24"/>
              </w:rPr>
            </w:pPr>
            <w:r>
              <w:rPr>
                <w:sz w:val="24"/>
              </w:rPr>
              <w:t>20</w:t>
            </w:r>
          </w:p>
        </w:tc>
        <w:tc>
          <w:tcPr>
            <w:tcW w:w="6849" w:type="dxa"/>
            <w:noWrap/>
          </w:tcPr>
          <w:p>
            <w:pPr>
              <w:spacing w:line="300" w:lineRule="exact"/>
              <w:rPr>
                <w:sz w:val="24"/>
              </w:rPr>
            </w:pPr>
          </w:p>
        </w:tc>
        <w:tc>
          <w:tcPr>
            <w:tcW w:w="1040" w:type="dxa"/>
            <w:noWrap/>
          </w:tcPr>
          <w:p>
            <w:pPr>
              <w:spacing w:line="300" w:lineRule="exact"/>
              <w:rPr>
                <w:sz w:val="24"/>
              </w:rPr>
            </w:pPr>
          </w:p>
        </w:tc>
      </w:tr>
    </w:tbl>
    <w:p>
      <w:pPr>
        <w:spacing w:line="400" w:lineRule="exact"/>
        <w:jc w:val="center"/>
        <w:rPr>
          <w:szCs w:val="21"/>
        </w:rPr>
      </w:pPr>
      <w:r>
        <w:rPr>
          <w:szCs w:val="21"/>
        </w:rPr>
        <w:t>备注：项目</w:t>
      </w:r>
      <w:r>
        <w:rPr>
          <w:rFonts w:hint="eastAsia"/>
          <w:szCs w:val="21"/>
        </w:rPr>
        <w:t>实地踏勘</w:t>
      </w:r>
      <w:r>
        <w:rPr>
          <w:szCs w:val="21"/>
        </w:rPr>
        <w:t>点位包括市（州）本级、县（市、区）</w:t>
      </w:r>
      <w:r>
        <w:rPr>
          <w:rFonts w:hint="eastAsia"/>
          <w:szCs w:val="21"/>
        </w:rPr>
        <w:t>本级及有关项目、单位、公司</w:t>
      </w:r>
      <w:r>
        <w:rPr>
          <w:szCs w:val="21"/>
        </w:rPr>
        <w:t>等。</w:t>
      </w:r>
    </w:p>
    <w:p>
      <w:pPr>
        <w:snapToGrid w:val="0"/>
        <w:spacing w:line="578" w:lineRule="exact"/>
        <w:rPr>
          <w:rFonts w:eastAsia="黑体"/>
          <w:kern w:val="0"/>
          <w:sz w:val="32"/>
          <w:szCs w:val="32"/>
          <w:shd w:val="clear" w:color="auto" w:fill="FFFFFF"/>
          <w:lang w:val="zh-CN"/>
        </w:rPr>
      </w:pPr>
    </w:p>
    <w:p>
      <w:pPr>
        <w:spacing w:line="400" w:lineRule="exact"/>
        <w:jc w:val="left"/>
        <w:rPr>
          <w:rFonts w:ascii="宋体" w:cs="宋体"/>
          <w:szCs w:val="21"/>
        </w:rPr>
      </w:pPr>
      <w:r>
        <w:rPr>
          <w:rFonts w:eastAsia="黑体"/>
          <w:kern w:val="0"/>
          <w:sz w:val="32"/>
          <w:szCs w:val="32"/>
          <w:shd w:val="clear" w:color="auto" w:fill="FFFFFF"/>
          <w:lang w:val="zh-CN"/>
        </w:rPr>
        <w:br w:type="page"/>
      </w:r>
    </w:p>
    <w:p>
      <w:pPr>
        <w:spacing w:line="578" w:lineRule="exact"/>
        <w:rPr>
          <w:rFonts w:eastAsia="黑体"/>
          <w:kern w:val="0"/>
          <w:sz w:val="32"/>
          <w:szCs w:val="32"/>
          <w:shd w:val="clear" w:color="auto" w:fill="FFFFFF"/>
        </w:rPr>
      </w:pPr>
      <w:r>
        <w:rPr>
          <w:rFonts w:eastAsia="黑体"/>
          <w:kern w:val="0"/>
          <w:sz w:val="32"/>
          <w:szCs w:val="32"/>
          <w:shd w:val="clear" w:color="auto" w:fill="FFFFFF"/>
          <w:lang w:val="zh-CN"/>
        </w:rPr>
        <w:t>附表</w:t>
      </w:r>
      <w:r>
        <w:rPr>
          <w:rFonts w:hint="eastAsia" w:eastAsia="黑体"/>
          <w:kern w:val="0"/>
          <w:sz w:val="32"/>
          <w:szCs w:val="32"/>
          <w:shd w:val="clear" w:color="auto" w:fill="FFFFFF"/>
        </w:rPr>
        <w:t>3</w:t>
      </w:r>
    </w:p>
    <w:tbl>
      <w:tblPr>
        <w:tblStyle w:val="11"/>
        <w:tblW w:w="1028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1"/>
        <w:gridCol w:w="1131"/>
        <w:gridCol w:w="1154"/>
        <w:gridCol w:w="1408"/>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82" w:type="dxa"/>
            <w:gridSpan w:val="9"/>
            <w:tcBorders>
              <w:top w:val="nil"/>
              <w:left w:val="nil"/>
              <w:bottom w:val="nil"/>
              <w:right w:val="nil"/>
              <w:tl2br w:val="nil"/>
              <w:tr2bl w:val="nil"/>
            </w:tcBorders>
            <w:noWrap/>
            <w:vAlign w:val="center"/>
          </w:tcPr>
          <w:p>
            <w:pPr>
              <w:widowControl/>
              <w:spacing w:line="600" w:lineRule="exact"/>
              <w:jc w:val="center"/>
              <w:textAlignment w:val="center"/>
              <w:rPr>
                <w:rFonts w:ascii="黑体" w:eastAsia="黑体" w:cs="黑体"/>
                <w:color w:val="000000"/>
                <w:sz w:val="30"/>
                <w:szCs w:val="30"/>
              </w:rPr>
            </w:pPr>
            <w:r>
              <w:rPr>
                <w:rFonts w:hint="eastAsia" w:ascii="方正小标宋简体" w:eastAsia="方正小标宋简体" w:cs="方正小标宋简体"/>
                <w:color w:val="000000"/>
                <w:kern w:val="0"/>
                <w:sz w:val="40"/>
                <w:szCs w:val="40"/>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4344"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项目名称</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黑水县石碉楼乡瓦洛村避险搬迁安置点三通一坪建设项目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344"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预算单位</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黑水县石碉楼乡人民政府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4344"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项目类型</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eastAsia="仿宋_GB2312"/>
                <w:szCs w:val="28"/>
              </w:rPr>
            </w:pPr>
            <w:r>
              <w:rPr>
                <w:rFonts w:hint="eastAsia" w:ascii="宋体" w:cs="宋体"/>
                <w:color w:val="000000"/>
                <w:kern w:val="0"/>
                <w:sz w:val="24"/>
              </w:rPr>
              <w:t>专项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 w:hRule="atLeast"/>
          <w:jc w:val="center"/>
        </w:trPr>
        <w:tc>
          <w:tcPr>
            <w:tcW w:w="651" w:type="dxa"/>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项目 概况</w:t>
            </w:r>
          </w:p>
        </w:tc>
        <w:tc>
          <w:tcPr>
            <w:tcW w:w="3693"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中长期规划（名称、文号，仅指</w:t>
            </w:r>
          </w:p>
          <w:p>
            <w:pPr>
              <w:widowControl/>
              <w:spacing w:line="300" w:lineRule="exact"/>
              <w:jc w:val="left"/>
              <w:textAlignment w:val="center"/>
              <w:rPr>
                <w:rFonts w:ascii="宋体" w:cs="宋体"/>
                <w:color w:val="000000"/>
                <w:sz w:val="24"/>
              </w:rPr>
            </w:pPr>
            <w:r>
              <w:rPr>
                <w:rFonts w:ascii="宋体" w:cs="宋体"/>
                <w:color w:val="000000"/>
                <w:kern w:val="0"/>
                <w:sz w:val="24"/>
              </w:rPr>
              <w:t>常年项目）</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2" w:hRule="atLeast"/>
          <w:jc w:val="center"/>
        </w:trPr>
        <w:tc>
          <w:tcPr>
            <w:tcW w:w="651"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93"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 w:hRule="atLeast"/>
          <w:jc w:val="center"/>
        </w:trPr>
        <w:tc>
          <w:tcPr>
            <w:tcW w:w="651"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93"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绩效分配方式</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ascii="宋体" w:cs="宋体"/>
                <w:color w:val="000000"/>
                <w:kern w:val="0"/>
                <w:sz w:val="24"/>
              </w:rPr>
              <w:t>因素法</w:t>
            </w:r>
          </w:p>
        </w:tc>
        <w:tc>
          <w:tcPr>
            <w:tcW w:w="2032"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项目法</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ascii="宋体" w:cs="宋体"/>
                <w:color w:val="000000"/>
                <w:kern w:val="0"/>
                <w:sz w:val="24"/>
              </w:rPr>
              <w:t>据实据效</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Arial" w:hAnsi="Arial" w:cs="Arial"/>
                <w:color w:val="000000"/>
                <w:kern w:val="0"/>
                <w:sz w:val="24"/>
              </w:rPr>
              <w:t>√</w:t>
            </w:r>
            <w:r>
              <w:rPr>
                <w:rFonts w:ascii="宋体" w:cs="宋体"/>
                <w:color w:val="000000"/>
                <w:kern w:val="0"/>
                <w:sz w:val="24"/>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2" w:hRule="atLeast"/>
          <w:jc w:val="center"/>
        </w:trPr>
        <w:tc>
          <w:tcPr>
            <w:tcW w:w="651"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93"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立项依据</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项目预算资金为：347.33万元，建设规模及内容：石碉楼乡瓦洛村避险搬迁安置点道路、给排水、电气、照明及其他附属工程项目。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 w:hRule="atLeast"/>
          <w:jc w:val="center"/>
        </w:trPr>
        <w:tc>
          <w:tcPr>
            <w:tcW w:w="651"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93"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使用范围</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该项目资金主要用于石碉楼乡7.29泥石流避险场所应急改造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2" w:hRule="atLeast"/>
          <w:jc w:val="center"/>
        </w:trPr>
        <w:tc>
          <w:tcPr>
            <w:tcW w:w="651"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93"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申报（补助）条件</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1"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93"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sz w:val="24"/>
              </w:rPr>
            </w:pPr>
            <w:r>
              <w:rPr>
                <w:rFonts w:ascii="宋体" w:cs="宋体"/>
                <w:kern w:val="0"/>
                <w:sz w:val="24"/>
              </w:rPr>
              <w:t>项目起止年限</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kern w:val="0"/>
                <w:sz w:val="24"/>
              </w:rPr>
            </w:pPr>
            <w:r>
              <w:rPr>
                <w:rFonts w:hint="eastAsia"/>
                <w:kern w:val="0"/>
                <w:sz w:val="24"/>
              </w:rPr>
              <w:t>2025年9月至2026年11月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2" w:hRule="atLeast"/>
          <w:jc w:val="center"/>
        </w:trPr>
        <w:tc>
          <w:tcPr>
            <w:tcW w:w="1782" w:type="dxa"/>
            <w:gridSpan w:val="2"/>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项目资金</w:t>
            </w:r>
          </w:p>
          <w:p>
            <w:pPr>
              <w:widowControl/>
              <w:spacing w:line="300" w:lineRule="exact"/>
              <w:jc w:val="center"/>
              <w:textAlignment w:val="center"/>
              <w:rPr>
                <w:rFonts w:ascii="宋体" w:cs="宋体"/>
                <w:color w:val="000000"/>
                <w:sz w:val="24"/>
              </w:rPr>
            </w:pPr>
            <w:r>
              <w:rPr>
                <w:rFonts w:ascii="宋体" w:cs="宋体"/>
                <w:color w:val="000000"/>
                <w:kern w:val="0"/>
                <w:sz w:val="24"/>
              </w:rPr>
              <w:t>（万元）</w:t>
            </w:r>
          </w:p>
        </w:tc>
        <w:tc>
          <w:tcPr>
            <w:tcW w:w="2562"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347.33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 w:hRule="atLeast"/>
          <w:jc w:val="center"/>
        </w:trPr>
        <w:tc>
          <w:tcPr>
            <w:tcW w:w="1782"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2562"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其中：财政拨款</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347.33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782"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2562"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其他资金</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 w:hRule="atLeast"/>
          <w:jc w:val="center"/>
        </w:trPr>
        <w:tc>
          <w:tcPr>
            <w:tcW w:w="651" w:type="dxa"/>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总体 目标</w:t>
            </w:r>
          </w:p>
        </w:tc>
        <w:tc>
          <w:tcPr>
            <w:tcW w:w="9631" w:type="dxa"/>
            <w:gridSpan w:val="8"/>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1"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9631" w:type="dxa"/>
            <w:gridSpan w:val="8"/>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项目预算资金为：347.33万元，建设规模及内容：石碉楼乡瓦洛村避险搬迁安置点道路、给排水、电气、照明及其他附属工程项目。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9" w:hRule="atLeast"/>
          <w:jc w:val="center"/>
        </w:trPr>
        <w:tc>
          <w:tcPr>
            <w:tcW w:w="651" w:type="dxa"/>
            <w:vMerge w:val="restart"/>
            <w:tcBorders>
              <w:top w:val="single" w:color="000000" w:sz="4" w:space="0"/>
              <w:left w:val="single" w:color="000000" w:sz="4" w:space="0"/>
              <w:right w:val="nil"/>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绩效 指标</w:t>
            </w:r>
          </w:p>
          <w:p>
            <w:pPr>
              <w:widowControl/>
              <w:textAlignment w:val="center"/>
              <w:rPr>
                <w:rFonts w:ascii="宋体" w:cs="宋体"/>
                <w:color w:val="000000"/>
                <w:kern w:val="0"/>
                <w:sz w:val="18"/>
                <w:szCs w:val="18"/>
              </w:rPr>
            </w:pPr>
          </w:p>
        </w:tc>
        <w:tc>
          <w:tcPr>
            <w:tcW w:w="113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一级指标</w:t>
            </w:r>
          </w:p>
        </w:tc>
        <w:tc>
          <w:tcPr>
            <w:tcW w:w="1154" w:type="dxa"/>
            <w:tcBorders>
              <w:top w:val="single" w:color="000000" w:sz="4" w:space="0"/>
              <w:left w:val="single" w:color="000000" w:sz="4" w:space="0"/>
              <w:bottom w:val="single" w:color="auto"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二级指标</w:t>
            </w: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三级指标</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指标性质</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指标值</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度量单位</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权重</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13"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auto"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restart"/>
            <w:tcBorders>
              <w:top w:val="single" w:color="auto" w:sz="4" w:space="0"/>
              <w:left w:val="single" w:color="auto" w:sz="4" w:space="0"/>
              <w:bottom w:val="single" w:color="auto" w:sz="4" w:space="0"/>
              <w:right w:val="single" w:color="auto"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数量指标</w:t>
            </w:r>
          </w:p>
          <w:p>
            <w:pPr>
              <w:widowControl/>
              <w:jc w:val="center"/>
              <w:textAlignment w:val="center"/>
              <w:rPr>
                <w:rFonts w:ascii="宋体" w:cs="宋体"/>
                <w:color w:val="000000"/>
                <w:kern w:val="0"/>
                <w:sz w:val="18"/>
                <w:szCs w:val="18"/>
              </w:rPr>
            </w:pPr>
          </w:p>
        </w:tc>
        <w:tc>
          <w:tcPr>
            <w:tcW w:w="1408" w:type="dxa"/>
            <w:tcBorders>
              <w:top w:val="single" w:color="000000" w:sz="4" w:space="0"/>
              <w:left w:val="single" w:color="auto"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新建5m路基宽度道路</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347.462</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米</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347.462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auto"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08" w:type="dxa"/>
            <w:tcBorders>
              <w:top w:val="single" w:color="000000" w:sz="4" w:space="0"/>
              <w:left w:val="single" w:color="auto"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新建入户4m路基宽度道路</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168.75</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米</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168.75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1"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场地硬化</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500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新建输水管道</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1000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米</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1"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配套取水口</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座</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沉淀池</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座</w:t>
            </w:r>
          </w:p>
        </w:tc>
        <w:tc>
          <w:tcPr>
            <w:tcW w:w="938"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1"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清水池</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座</w:t>
            </w:r>
          </w:p>
        </w:tc>
        <w:tc>
          <w:tcPr>
            <w:tcW w:w="938"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新建太阳能路灯约50盏</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盏</w:t>
            </w:r>
          </w:p>
        </w:tc>
        <w:tc>
          <w:tcPr>
            <w:tcW w:w="938"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13"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continue"/>
            <w:tcBorders>
              <w:top w:val="single" w:color="auto" w:sz="4" w:space="0"/>
              <w:left w:val="single" w:color="auto" w:sz="4" w:space="0"/>
              <w:bottom w:val="single" w:color="000000" w:sz="4" w:space="0"/>
              <w:right w:val="single" w:color="auto" w:sz="4" w:space="0"/>
              <w:tl2br w:val="nil"/>
              <w:tr2bl w:val="nil"/>
            </w:tcBorders>
            <w:noWrap/>
          </w:tcP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新建主线排管约4200米</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4200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米</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4200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continue"/>
            <w:tcBorders>
              <w:top w:val="single" w:color="auto" w:sz="4" w:space="0"/>
              <w:left w:val="single" w:color="auto" w:sz="4" w:space="0"/>
              <w:bottom w:val="single" w:color="000000" w:sz="4" w:space="0"/>
              <w:right w:val="single" w:color="auto" w:sz="4" w:space="0"/>
              <w:tl2br w:val="nil"/>
              <w:tr2bl w:val="nil"/>
            </w:tcBorders>
            <w:noWrap/>
          </w:tcP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电表箱</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6</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台</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1"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时效指标</w:t>
            </w: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按工程进度支付</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90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9"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产出指标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质量指标</w:t>
            </w: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tbl>
            <w:tblPr>
              <w:tblStyle w:val="11"/>
              <w:tblW w:w="17670"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7622"/>
              <w:gridCol w:w="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tblCellSpacing w:w="0" w:type="dxa"/>
              </w:trPr>
              <w:tc>
                <w:tcPr>
                  <w:tcW w:w="17622" w:type="dxa"/>
                  <w:shd w:val="clear" w:color="auto" w:fill="FFFFFF"/>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项目验收结果合格以上</w:t>
                  </w:r>
                </w:p>
              </w:tc>
              <w:tc>
                <w:tcPr>
                  <w:tcW w:w="48" w:type="dxa"/>
                  <w:shd w:val="clear" w:color="auto" w:fill="FFFFFF"/>
                  <w:vAlign w:val="center"/>
                </w:tcPr>
                <w:p>
                  <w:pPr>
                    <w:widowControl/>
                    <w:jc w:val="center"/>
                    <w:textAlignment w:val="center"/>
                    <w:rPr>
                      <w:rFonts w:ascii="宋体" w:cs="宋体"/>
                      <w:color w:val="000000"/>
                      <w:kern w:val="0"/>
                      <w:sz w:val="18"/>
                      <w:szCs w:val="18"/>
                    </w:rPr>
                  </w:pPr>
                </w:p>
              </w:tc>
            </w:tr>
          </w:tbl>
          <w:p>
            <w:pPr>
              <w:widowControl/>
              <w:jc w:val="center"/>
              <w:textAlignment w:val="center"/>
              <w:rPr>
                <w:rFonts w:ascii="宋体" w:cs="宋体"/>
                <w:color w:val="000000"/>
                <w:kern w:val="0"/>
                <w:sz w:val="18"/>
                <w:szCs w:val="18"/>
              </w:rPr>
            </w:pP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90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49"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效益指标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社会效益指标</w:t>
            </w: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满足居住及施工店里需求，确保物资运输与居民出行畅通。</w:t>
            </w:r>
          </w:p>
          <w:p>
            <w:pPr>
              <w:widowControl/>
              <w:jc w:val="center"/>
              <w:textAlignment w:val="center"/>
              <w:rPr>
                <w:rFonts w:ascii="宋体" w:cs="宋体"/>
                <w:color w:val="000000"/>
                <w:kern w:val="0"/>
                <w:sz w:val="18"/>
                <w:szCs w:val="18"/>
              </w:rPr>
            </w:pP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90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20</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79"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tcPr>
          <w:tbl>
            <w:tblPr>
              <w:tblStyle w:val="11"/>
              <w:tblW w:w="81"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tblCellSpacing w:w="0" w:type="dxa"/>
              </w:trPr>
              <w:tc>
                <w:tcPr>
                  <w:tcW w:w="96" w:type="dxa"/>
                  <w:shd w:val="clear" w:color="auto" w:fill="FFFFFF"/>
                  <w:vAlign w:val="center"/>
                </w:tcPr>
                <w:p>
                  <w:pPr>
                    <w:widowControl/>
                    <w:jc w:val="center"/>
                    <w:textAlignment w:val="center"/>
                    <w:rPr>
                      <w:rFonts w:hint="eastAsia" w:ascii="宋体" w:cs="宋体"/>
                      <w:color w:val="000000"/>
                      <w:kern w:val="0"/>
                      <w:sz w:val="18"/>
                      <w:szCs w:val="18"/>
                    </w:rPr>
                  </w:pPr>
                </w:p>
              </w:tc>
            </w:tr>
          </w:tbl>
          <w:p>
            <w:pPr>
              <w:widowControl/>
              <w:jc w:val="center"/>
              <w:textAlignment w:val="center"/>
              <w:rPr>
                <w:rFonts w:hint="eastAsia" w:ascii="宋体" w:cs="宋体"/>
                <w:color w:val="000000"/>
                <w:kern w:val="0"/>
                <w:sz w:val="18"/>
                <w:szCs w:val="18"/>
              </w:rPr>
            </w:pPr>
            <w:r>
              <w:rPr>
                <w:rFonts w:hint="eastAsia" w:ascii="宋体" w:cs="宋体"/>
                <w:color w:val="000000"/>
                <w:kern w:val="0"/>
                <w:sz w:val="18"/>
                <w:szCs w:val="18"/>
              </w:rPr>
              <w:t>满意度指标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vAlign w:val="center"/>
          </w:tcPr>
          <w:tbl>
            <w:tblPr>
              <w:tblStyle w:val="11"/>
              <w:tblW w:w="38"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tblCellSpacing w:w="0" w:type="dxa"/>
              </w:trPr>
              <w:tc>
                <w:tcPr>
                  <w:tcW w:w="53" w:type="dxa"/>
                  <w:shd w:val="clear" w:color="auto" w:fill="FFFFFF"/>
                  <w:vAlign w:val="center"/>
                </w:tcPr>
                <w:p>
                  <w:pPr>
                    <w:widowControl/>
                    <w:jc w:val="center"/>
                    <w:textAlignment w:val="center"/>
                    <w:rPr>
                      <w:rFonts w:hint="eastAsia" w:ascii="宋体" w:cs="宋体"/>
                      <w:color w:val="000000"/>
                      <w:kern w:val="0"/>
                      <w:sz w:val="18"/>
                      <w:szCs w:val="18"/>
                    </w:rPr>
                  </w:pPr>
                </w:p>
              </w:tc>
            </w:tr>
          </w:tbl>
          <w:p>
            <w:pPr>
              <w:widowControl/>
              <w:jc w:val="center"/>
              <w:textAlignment w:val="center"/>
              <w:rPr>
                <w:rFonts w:hint="eastAsia" w:ascii="宋体" w:cs="宋体"/>
                <w:color w:val="000000"/>
                <w:kern w:val="0"/>
                <w:sz w:val="18"/>
                <w:szCs w:val="18"/>
              </w:rPr>
            </w:pPr>
            <w:r>
              <w:rPr>
                <w:rFonts w:hint="eastAsia" w:ascii="宋体" w:cs="宋体"/>
                <w:color w:val="000000"/>
                <w:kern w:val="0"/>
                <w:sz w:val="18"/>
                <w:szCs w:val="18"/>
              </w:rPr>
              <w:t>服务对象满意度指标</w:t>
            </w: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tbl>
            <w:tblPr>
              <w:tblStyle w:val="11"/>
              <w:tblW w:w="35"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tblCellSpacing w:w="0" w:type="dxa"/>
              </w:trPr>
              <w:tc>
                <w:tcPr>
                  <w:tcW w:w="50" w:type="dxa"/>
                  <w:shd w:val="clear" w:color="auto" w:fill="FFFFFF"/>
                  <w:vAlign w:val="center"/>
                </w:tcPr>
                <w:p>
                  <w:pPr>
                    <w:widowControl/>
                    <w:jc w:val="center"/>
                    <w:textAlignment w:val="center"/>
                    <w:rPr>
                      <w:rFonts w:hint="eastAsia" w:ascii="宋体" w:cs="宋体"/>
                      <w:color w:val="000000"/>
                      <w:kern w:val="0"/>
                      <w:sz w:val="18"/>
                      <w:szCs w:val="18"/>
                    </w:rPr>
                  </w:pPr>
                  <w:r>
                    <w:rPr>
                      <w:rFonts w:hint="eastAsia" w:ascii="宋体" w:cs="宋体"/>
                      <w:color w:val="000000"/>
                      <w:kern w:val="0"/>
                      <w:sz w:val="18"/>
                      <w:szCs w:val="18"/>
                    </w:rPr>
                    <w:t>瓦洛村</w:t>
                  </w:r>
                </w:p>
              </w:tc>
            </w:tr>
          </w:tbl>
          <w:p>
            <w:pPr>
              <w:widowControl/>
              <w:textAlignment w:val="center"/>
              <w:rPr>
                <w:rFonts w:hint="eastAsia" w:ascii="宋体" w:cs="宋体"/>
                <w:color w:val="000000"/>
                <w:kern w:val="0"/>
                <w:sz w:val="18"/>
                <w:szCs w:val="18"/>
              </w:rPr>
            </w:pPr>
            <w:r>
              <w:rPr>
                <w:rFonts w:ascii="宋体" w:cs="宋体"/>
                <w:color w:val="000000"/>
                <w:kern w:val="0"/>
                <w:sz w:val="18"/>
                <w:szCs w:val="18"/>
              </w:rPr>
              <w:t>瓦洛村村民满意度达90%以上</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90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成本指标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经济成本指标</w:t>
            </w: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项目总投资3474000元</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3474000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元</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3474000</w:t>
            </w:r>
          </w:p>
        </w:tc>
      </w:tr>
    </w:tbl>
    <w:p>
      <w:pPr>
        <w:widowControl/>
        <w:jc w:val="center"/>
        <w:textAlignment w:val="center"/>
        <w:rPr>
          <w:rFonts w:ascii="宋体" w:cs="宋体"/>
          <w:color w:val="000000"/>
          <w:kern w:val="0"/>
          <w:sz w:val="18"/>
          <w:szCs w:val="18"/>
        </w:rPr>
      </w:pPr>
    </w:p>
    <w:bookmarkEnd w:id="1"/>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Luxi Sans">
    <w:altName w:val="Times New Roman"/>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小标宋简体">
    <w:altName w:val="方正小标宋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53202F"/>
    <w:multiLevelType w:val="singleLevel"/>
    <w:tmpl w:val="EB53202F"/>
    <w:lvl w:ilvl="0" w:tentative="0">
      <w:start w:val="2"/>
      <w:numFmt w:val="decimal"/>
      <w:suff w:val="nothing"/>
      <w:lvlText w:val="（%1）"/>
      <w:lvlJc w:val="left"/>
      <w:pPr>
        <w:ind w:left="0" w:firstLine="0"/>
      </w:pPr>
    </w:lvl>
  </w:abstractNum>
  <w:abstractNum w:abstractNumId="1">
    <w:nsid w:val="4105E464"/>
    <w:multiLevelType w:val="singleLevel"/>
    <w:tmpl w:val="4105E464"/>
    <w:lvl w:ilvl="0" w:tentative="0">
      <w:start w:val="1"/>
      <w:numFmt w:val="chineseCounting"/>
      <w:suff w:val="nothing"/>
      <w:lvlText w:val="%1、"/>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1"/>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1MTIxMDc5N2FmMjMxN2QwNzY4OGZhNDdmY2QwYjMifQ=="/>
  </w:docVars>
  <w:rsids>
    <w:rsidRoot w:val="00000000"/>
    <w:rsid w:val="6ECB52AD"/>
    <w:rsid w:val="FE3FD2CC"/>
    <w:rsid w:val="FFFF182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5">
    <w:name w:val="heading 3"/>
    <w:basedOn w:val="1"/>
    <w:next w:val="1"/>
    <w:qFormat/>
    <w:uiPriority w:val="0"/>
    <w:pPr>
      <w:keepNext/>
      <w:keepLines/>
      <w:widowControl w:val="0"/>
      <w:spacing w:before="260" w:after="260" w:line="415" w:lineRule="auto"/>
      <w:outlineLvl w:val="2"/>
    </w:pPr>
    <w:rPr>
      <w:b/>
      <w:sz w:val="32"/>
    </w:rPr>
  </w:style>
  <w:style w:type="character" w:default="1" w:styleId="12">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Body Text"/>
    <w:next w:val="1"/>
    <w:qFormat/>
    <w:uiPriority w:val="0"/>
    <w:pPr>
      <w:tabs>
        <w:tab w:val="left" w:pos="2160"/>
      </w:tabs>
      <w:spacing w:line="480" w:lineRule="auto"/>
    </w:pPr>
    <w:rPr>
      <w:rFonts w:ascii="楷体_GB2312" w:hAnsi="楷体_GB2312" w:eastAsia="黑体" w:cs="Times New Roman"/>
      <w:position w:val="3"/>
      <w:sz w:val="20"/>
      <w:szCs w:val="20"/>
      <w:lang w:val="en-US" w:eastAsia="zh-CN" w:bidi="ar-SA"/>
    </w:rPr>
  </w:style>
  <w:style w:type="paragraph" w:styleId="7">
    <w:name w:val="footer"/>
    <w:basedOn w:val="1"/>
    <w:qFormat/>
    <w:uiPriority w:val="0"/>
    <w:pPr>
      <w:tabs>
        <w:tab w:val="center" w:pos="4153"/>
        <w:tab w:val="right" w:pos="8306"/>
      </w:tabs>
      <w:snapToGrid w:val="0"/>
      <w:jc w:val="left"/>
    </w:pPr>
    <w:rPr>
      <w:rFonts w:ascii="Calibri" w:hAnsi="Calibri" w:cs="Arial"/>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 w:type="paragraph" w:styleId="9">
    <w:name w:val="Normal (Web)"/>
    <w:qFormat/>
    <w:uiPriority w:val="0"/>
    <w:pPr>
      <w:widowControl w:val="0"/>
      <w:spacing w:before="100" w:beforeAutospacing="1" w:after="100" w:afterAutospacing="1"/>
    </w:pPr>
    <w:rPr>
      <w:rFonts w:ascii="Times New Roman" w:hAnsi="Times New Roman" w:eastAsia="宋体" w:cs="Times New Roman"/>
      <w:sz w:val="24"/>
      <w:szCs w:val="20"/>
      <w:lang w:val="en-US" w:eastAsia="zh-CN" w:bidi="ar-SA"/>
    </w:rPr>
  </w:style>
  <w:style w:type="paragraph" w:styleId="10">
    <w:name w:val="Body Text First Indent 2"/>
    <w:qFormat/>
    <w:uiPriority w:val="0"/>
    <w:pPr>
      <w:widowControl w:val="0"/>
      <w:spacing w:after="120"/>
      <w:ind w:left="200" w:leftChars="200" w:firstLine="200" w:firstLineChars="200"/>
      <w:jc w:val="both"/>
    </w:pPr>
    <w:rPr>
      <w:rFonts w:ascii="仿宋_GB2312" w:hAnsi="Times New Roman" w:eastAsia="仿宋_GB2312" w:cs="Times New Roman"/>
      <w:kern w:val="2"/>
      <w:sz w:val="32"/>
      <w:szCs w:val="32"/>
      <w:lang w:val="en-US" w:eastAsia="zh-CN" w:bidi="ar-SA"/>
    </w:rPr>
  </w:style>
  <w:style w:type="character" w:styleId="13">
    <w:name w:val="Strong"/>
    <w:basedOn w:val="12"/>
    <w:qFormat/>
    <w:uiPriority w:val="0"/>
    <w:rPr>
      <w:b/>
    </w:rPr>
  </w:style>
  <w:style w:type="paragraph" w:styleId="14">
    <w:name w:val="List Paragraph"/>
    <w:basedOn w:val="1"/>
    <w:qFormat/>
    <w:uiPriority w:val="0"/>
    <w:pPr>
      <w:ind w:firstLine="200" w:firstLineChars="200"/>
    </w:pPr>
  </w:style>
  <w:style w:type="paragraph" w:customStyle="1" w:styleId="15">
    <w:name w:val="正文2"/>
    <w:next w:val="1"/>
    <w:qFormat/>
    <w:uiPriority w:val="0"/>
    <w:pPr>
      <w:widowControl w:val="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Sky123.Org</Company>
  <Pages>12</Pages>
  <Words>5017</Words>
  <Characters>5229</Characters>
  <Lines>658</Lines>
  <Paragraphs>396</Paragraphs>
  <TotalTime>45</TotalTime>
  <ScaleCrop>false</ScaleCrop>
  <LinksUpToDate>false</LinksUpToDate>
  <CharactersWithSpaces>5292</CharactersWithSpaces>
  <Application>WPS Office_11.1.0.10702_F1E327BC-269C-435d-A152-05C5408002CA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2025-05-20T09:38:00Z</dcterms:created>
  <dc:creator>Sky123.Org</dc:creator>
  <cp:lastModifiedBy>user</cp:lastModifiedBy>
  <dcterms:modified xsi:type="dcterms:W3CDTF">2026-09-22T10:44:54Z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86C88CB53BD4BA80E1F5946A732EA814</vt:lpwstr>
  </property>
  <property fmtid="{D5CDD505-2E9C-101B-9397-08002B2CF9AE}" pid="4" name="KSOTemplateDocerSaveRecord">
    <vt:lpwstr>eyJoZGlkIjoiZTQ0NjgxNGZmMTFhZmQ2Yzk2ZTMyOTFmMjg3MThkM2YiLCJ1c2VySWQiOiIyMzYzNzMyOTYifQ==</vt:lpwstr>
  </property>
</Properties>
</file>