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ascii="宋体" w:cs="宋体"/>
          <w:b/>
          <w:bCs/>
          <w:color w:val="FF0000"/>
          <w:w w:val="60"/>
          <w:sz w:val="112"/>
          <w:szCs w:val="112"/>
        </w:rPr>
      </w:pPr>
      <w:bookmarkStart w:id="0" w:name="_GoBack"/>
    </w:p>
    <w:p>
      <w:pPr>
        <w:adjustRightInd w:val="0"/>
        <w:snapToGrid w:val="0"/>
        <w:spacing w:line="480" w:lineRule="atLeast"/>
        <w:jc w:val="distribute"/>
        <w:rPr>
          <w:rFonts w:ascii="宋体" w:cs="宋体"/>
          <w:b/>
          <w:bCs/>
          <w:color w:val="FF0000"/>
          <w:w w:val="60"/>
          <w:sz w:val="112"/>
          <w:szCs w:val="112"/>
        </w:rPr>
      </w:pPr>
      <w:r>
        <w:rPr>
          <w:rFonts w:hint="eastAsia" w:ascii="宋体" w:cs="宋体"/>
          <w:b/>
          <w:bCs/>
          <w:color w:val="FF0000"/>
          <w:w w:val="60"/>
          <w:sz w:val="112"/>
          <w:szCs w:val="112"/>
        </w:rPr>
        <w:t>黑水县石碉楼乡人民政府</w:t>
      </w:r>
    </w:p>
    <w:p>
      <w:pPr>
        <w:adjustRightInd w:val="0"/>
        <w:snapToGrid w:val="0"/>
        <w:spacing w:line="560" w:lineRule="exact"/>
        <w:ind w:firstLine="404" w:firstLineChars="200"/>
        <w:rPr>
          <w:rFonts w:ascii="仿宋_GB2312" w:eastAsia="仿宋_GB2312" w:cs="仿宋_GB2312"/>
          <w:sz w:val="32"/>
          <w:szCs w:val="32"/>
        </w:rPr>
      </w:pPr>
      <w: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349250</wp:posOffset>
                </wp:positionV>
                <wp:extent cx="5464810" cy="635"/>
                <wp:effectExtent l="0" t="13970" r="2540" b="23495"/>
                <wp:wrapNone/>
                <wp:docPr id="1" name="直线 2 2"/>
                <wp:cNvGraphicFramePr/>
                <a:graphic xmlns:a="http://schemas.openxmlformats.org/drawingml/2006/main">
                  <a:graphicData uri="http://schemas.microsoft.com/office/word/2010/wordprocessingShape">
                    <wps:wsp>
                      <wps:cNvCnPr/>
                      <wps:spPr>
                        <a:xfrm>
                          <a:off x="0" y="0"/>
                          <a:ext cx="5464810" cy="634"/>
                        </a:xfrm>
                        <a:prstGeom prst="line">
                          <a:avLst/>
                        </a:prstGeom>
                        <a:noFill/>
                        <a:ln w="28575" cap="flat" cmpd="sng">
                          <a:solidFill>
                            <a:srgbClr val="FF0000"/>
                          </a:solidFill>
                          <a:prstDash val="solid"/>
                          <a:miter/>
                        </a:ln>
                        <a:effectLst/>
                      </wps:spPr>
                      <wps:bodyPr vert="horz" wrap="square" lIns="91440" tIns="45720" rIns="91440" bIns="45720" anchor="t" anchorCtr="0" upright="1">
                        <a:noAutofit/>
                      </wps:bodyPr>
                    </wps:wsp>
                  </a:graphicData>
                </a:graphic>
              </wp:anchor>
            </w:drawing>
          </mc:Choice>
          <mc:Fallback>
            <w:pict>
              <v:line id="直线 2 2" o:spid="_x0000_s1026"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Mcj0uzYAAAABwEAAA8AAAAAAAAAAQAgAAAAOAAAAGRycy9kb3ducmV2&#10;LnhtbFBLAQIUABQAAAAIAIdO4kAlcNP0HwIAADAEAAAOAAAAAAAAAAEAIAAAAD0BAABkcnMvZTJv&#10;RG9jLnhtbFBLBQYAAAAABgAGAFkBAADOBQAAAAA=&#10;">
                <v:fill on="f" focussize="0,0"/>
                <v:stroke weight="2.25pt" color="#FF0000" joinstyle="miter"/>
                <v:imagedata o:title=""/>
                <o:lock v:ext="edit" aspectratio="f"/>
              </v:line>
            </w:pict>
          </mc:Fallback>
        </mc:AlternateContent>
      </w:r>
      <w:r>
        <w:rPr>
          <w:rFonts w:hint="eastAsia" w:ascii="仿宋_GB2312" w:eastAsia="仿宋_GB2312" w:cs="仿宋_GB2312"/>
          <w:sz w:val="32"/>
          <w:szCs w:val="32"/>
        </w:rPr>
        <w:t>黑</w:t>
      </w:r>
      <w:r>
        <w:rPr>
          <w:rFonts w:ascii="仿宋_GB2312" w:eastAsia="仿宋_GB2312" w:cs="仿宋_GB2312"/>
          <w:sz w:val="32"/>
          <w:szCs w:val="32"/>
        </w:rPr>
        <w:t>石</w:t>
      </w:r>
      <w:r>
        <w:rPr>
          <w:rFonts w:hint="eastAsia" w:ascii="仿宋_GB2312" w:eastAsia="仿宋_GB2312" w:cs="仿宋_GB2312"/>
          <w:sz w:val="32"/>
          <w:szCs w:val="32"/>
        </w:rPr>
        <w:t>府〔</w:t>
      </w:r>
      <w:r>
        <w:rPr>
          <w:rFonts w:ascii="仿宋_GB2312" w:eastAsia="仿宋_GB2312" w:cs="仿宋_GB2312"/>
          <w:sz w:val="32"/>
          <w:szCs w:val="32"/>
        </w:rPr>
        <w:t>20</w:t>
      </w:r>
      <w:r>
        <w:rPr>
          <w:rFonts w:hint="eastAsia" w:ascii="仿宋_GB2312" w:eastAsia="仿宋_GB2312" w:cs="仿宋_GB2312"/>
          <w:sz w:val="32"/>
          <w:szCs w:val="32"/>
        </w:rPr>
        <w:t>26〕9号             签发人：</w:t>
      </w:r>
      <w:r>
        <w:rPr>
          <w:rFonts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spacing w:line="640" w:lineRule="exact"/>
        <w:jc w:val="center"/>
        <w:rPr>
          <w:rFonts w:ascii="方正小标宋简体" w:eastAsia="方正小标宋简体" w:cs="方正小标宋简体"/>
          <w:kern w:val="0"/>
          <w:sz w:val="44"/>
          <w:szCs w:val="44"/>
        </w:rPr>
      </w:pPr>
      <w:r>
        <w:rPr>
          <w:rFonts w:hint="eastAsia" w:ascii="方正小标宋简体" w:eastAsia="方正小标宋简体" w:cs="方正小标宋简体"/>
          <w:kern w:val="0"/>
          <w:sz w:val="44"/>
          <w:szCs w:val="44"/>
        </w:rPr>
        <w:t>2025年度石碉楼乡人民政府</w:t>
      </w:r>
    </w:p>
    <w:p>
      <w:pPr>
        <w:spacing w:line="640" w:lineRule="exact"/>
        <w:jc w:val="center"/>
        <w:rPr>
          <w:rFonts w:ascii="方正小标宋简体" w:eastAsia="方正小标宋简体" w:cs="方正小标宋简体"/>
          <w:kern w:val="0"/>
          <w:sz w:val="44"/>
          <w:szCs w:val="44"/>
        </w:rPr>
      </w:pPr>
      <w:r>
        <w:rPr>
          <w:rFonts w:ascii="方正小标宋简体" w:eastAsia="方正小标宋简体" w:cs="方正小标宋简体"/>
          <w:kern w:val="0"/>
          <w:sz w:val="44"/>
          <w:szCs w:val="44"/>
        </w:rPr>
        <w:t>村级运行维护费</w:t>
      </w:r>
      <w:r>
        <w:rPr>
          <w:rFonts w:hint="eastAsia" w:ascii="方正小标宋简体" w:eastAsia="方正小标宋简体" w:cs="方正小标宋简体"/>
          <w:kern w:val="0"/>
          <w:sz w:val="44"/>
          <w:szCs w:val="44"/>
        </w:rPr>
        <w:t>项目支出绩效评价报告</w:t>
      </w:r>
    </w:p>
    <w:p>
      <w:pPr>
        <w:pStyle w:val="2"/>
        <w:ind w:left="804" w:hanging="402"/>
      </w:pPr>
    </w:p>
    <w:p>
      <w:pPr>
        <w:numPr>
          <w:ilvl w:val="0"/>
          <w:numId w:val="1"/>
        </w:numPr>
        <w:spacing w:line="576" w:lineRule="exact"/>
        <w:ind w:firstLine="624" w:firstLineChars="200"/>
        <w:rPr>
          <w:rFonts w:ascii="黑体" w:eastAsia="黑体" w:cs="黑体"/>
          <w:sz w:val="32"/>
          <w:szCs w:val="32"/>
        </w:rPr>
      </w:pPr>
      <w:r>
        <w:rPr>
          <w:rFonts w:hint="eastAsia" w:ascii="黑体" w:eastAsia="黑体" w:cs="黑体"/>
          <w:sz w:val="32"/>
          <w:szCs w:val="32"/>
        </w:rPr>
        <w:t>项目概况</w:t>
      </w:r>
    </w:p>
    <w:p>
      <w:pPr>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（一）设立背景及基本情况</w:t>
      </w:r>
      <w:r>
        <w:rPr>
          <w:rFonts w:hint="eastAsia" w:ascii="仿宋_GB2312" w:eastAsia="仿宋_GB2312" w:cs="仿宋_GB2312"/>
          <w:sz w:val="32"/>
          <w:szCs w:val="32"/>
          <w:lang w:val="zh-CN"/>
        </w:rPr>
        <w:t>。</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石碉楼乡2025年度村级运行维护费，项目支出632440元。资金申报后在规定的时间内下发给我们单位，本单位也在规定时间内及时进行了支出。该项目均符合资金管理办法等相关规定。</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（二）实施目的及支持方向。</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仿宋_GB2312" w:eastAsia="仿宋_GB2312" w:cs="仿宋_GB2312"/>
          <w:sz w:val="32"/>
          <w:szCs w:val="32"/>
        </w:rPr>
        <w:t>石碉楼乡2025年度村级运行维护费，主要用于</w:t>
      </w:r>
      <w:r>
        <w:rPr>
          <w:rFonts w:ascii="仿宋_GB2312" w:eastAsia="仿宋_GB2312" w:cs="仿宋_GB2312"/>
          <w:sz w:val="32"/>
          <w:szCs w:val="32"/>
        </w:rPr>
        <w:t>石碉楼乡9个行政村级公共运行维护费。</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（三）预算安排及分配管理。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该项目</w:t>
      </w:r>
      <w:r>
        <w:rPr>
          <w:rFonts w:ascii="仿宋_GB2312" w:eastAsia="仿宋_GB2312" w:cs="仿宋_GB2312"/>
          <w:sz w:val="32"/>
          <w:szCs w:val="32"/>
        </w:rPr>
        <w:t>预算安排石碉楼有9个涉及村共计</w:t>
      </w:r>
      <w:r>
        <w:rPr>
          <w:rFonts w:hint="eastAsia" w:ascii="仿宋_GB2312" w:eastAsia="仿宋_GB2312" w:cs="仿宋_GB2312"/>
          <w:sz w:val="32"/>
          <w:szCs w:val="32"/>
        </w:rPr>
        <w:t>632440</w:t>
      </w:r>
      <w:r>
        <w:rPr>
          <w:rFonts w:ascii="仿宋_GB2312" w:eastAsia="仿宋_GB2312" w:cs="仿宋_GB2312"/>
          <w:sz w:val="32"/>
          <w:szCs w:val="32"/>
        </w:rPr>
        <w:t>元,</w:t>
      </w:r>
      <w:r>
        <w:rPr>
          <w:rFonts w:hint="eastAsia" w:ascii="仿宋_GB2312" w:eastAsia="仿宋_GB2312" w:cs="仿宋_GB2312"/>
          <w:sz w:val="32"/>
          <w:szCs w:val="32"/>
        </w:rPr>
        <w:t>截止评价时点实际到位及时，资金到位情况与资金计划基本一致。</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(四)项目绩效目标设置</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石碉楼乡2025年度村级运行维护费支出，保障脱贫村巩固拓展脱贫攻坚成果同乡村振兴有效衔接工作顺利开展。</w:t>
      </w:r>
    </w:p>
    <w:p>
      <w:pPr>
        <w:adjustRightInd w:val="0"/>
        <w:snapToGrid w:val="0"/>
        <w:spacing w:line="576" w:lineRule="exact"/>
        <w:ind w:firstLine="624" w:firstLineChars="200"/>
        <w:rPr>
          <w:rFonts w:ascii="黑体" w:eastAsia="黑体" w:cs="黑体"/>
          <w:color w:val="000000"/>
          <w:sz w:val="32"/>
          <w:szCs w:val="32"/>
        </w:rPr>
      </w:pPr>
      <w:r>
        <w:rPr>
          <w:rFonts w:hint="eastAsia" w:ascii="黑体" w:eastAsia="黑体" w:cs="黑体"/>
          <w:color w:val="000000"/>
          <w:sz w:val="32"/>
          <w:szCs w:val="32"/>
        </w:rPr>
        <w:t>二、评价实施</w:t>
      </w:r>
    </w:p>
    <w:p>
      <w:pPr>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（一）评价目的。</w:t>
      </w:r>
      <w:r>
        <w:rPr>
          <w:rFonts w:hint="eastAsia" w:ascii="仿宋_GB2312" w:eastAsia="仿宋_GB2312" w:cs="仿宋_GB2312"/>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（二）预设问题及评价重点。</w:t>
      </w: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（三）评价选点。</w:t>
      </w:r>
      <w:r>
        <w:rPr>
          <w:rFonts w:hint="eastAsia" w:ascii="仿宋_GB2312" w:eastAsia="仿宋_GB2312" w:cs="仿宋_GB2312"/>
          <w:sz w:val="32"/>
          <w:szCs w:val="32"/>
        </w:rPr>
        <w:t>石碉楼乡2025年村级运行维护费项目主要开展工作地点为黑水县石碉楼乡，本次绩效评价主体为黑水县石碉楼乡人民政府，项目不涉及其他。</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（四）评价方法。</w:t>
      </w: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spacing w:line="576" w:lineRule="exact"/>
        <w:ind w:firstLine="624" w:firstLineChars="200"/>
        <w:rPr>
          <w:rFonts w:ascii="楷体_GB2312" w:eastAsia="楷体_GB2312"/>
          <w:b/>
          <w:sz w:val="32"/>
          <w:szCs w:val="32"/>
          <w:lang w:val="zh-CN"/>
        </w:rPr>
      </w:pPr>
      <w:r>
        <w:rPr>
          <w:rFonts w:hint="eastAsia" w:ascii="楷体_GB2312" w:eastAsia="楷体_GB2312"/>
          <w:b/>
          <w:sz w:val="32"/>
          <w:szCs w:val="32"/>
          <w:lang w:val="zh-CN"/>
        </w:rPr>
        <w:t>（五）评价组织。</w:t>
      </w:r>
    </w:p>
    <w:p>
      <w:pPr>
        <w:spacing w:line="576" w:lineRule="exact"/>
        <w:ind w:firstLine="624" w:firstLineChars="200"/>
        <w:rPr>
          <w:rFonts w:ascii="仿宋_GB2312" w:eastAsia="仿宋_GB2312" w:cs="仿宋_GB2312"/>
          <w:bCs/>
          <w:sz w:val="32"/>
          <w:szCs w:val="32"/>
        </w:rPr>
      </w:pPr>
      <w:r>
        <w:rPr>
          <w:rFonts w:hint="eastAsia" w:ascii="仿宋_GB2312" w:eastAsia="仿宋_GB2312" w:cs="仿宋_GB2312"/>
          <w:sz w:val="32"/>
          <w:szCs w:val="32"/>
        </w:rPr>
        <w:t>评价组人员构成和职责分工。</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1、领导小组职责：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（1）研究和决定</w:t>
      </w:r>
      <w:r>
        <w:rPr>
          <w:rFonts w:ascii="仿宋_GB2312" w:eastAsia="仿宋_GB2312" w:cs="仿宋_GB2312"/>
          <w:sz w:val="32"/>
          <w:szCs w:val="32"/>
        </w:rPr>
        <w:t>单位</w:t>
      </w:r>
      <w:r>
        <w:rPr>
          <w:rFonts w:hint="eastAsia" w:ascii="仿宋_GB2312" w:eastAsia="仿宋_GB2312" w:cs="仿宋_GB2312"/>
          <w:sz w:val="32"/>
          <w:szCs w:val="32"/>
        </w:rPr>
        <w:t>管理绩效评价中的重大问题。</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（3）对各</w:t>
      </w:r>
      <w:r>
        <w:rPr>
          <w:rFonts w:ascii="仿宋_GB2312" w:eastAsia="仿宋_GB2312" w:cs="仿宋_GB2312"/>
          <w:sz w:val="32"/>
          <w:szCs w:val="32"/>
        </w:rPr>
        <w:t>站、所</w:t>
      </w:r>
      <w:r>
        <w:rPr>
          <w:rFonts w:hint="eastAsia" w:ascii="仿宋_GB2312" w:eastAsia="仿宋_GB2312" w:cs="仿宋_GB2312"/>
          <w:sz w:val="32"/>
          <w:szCs w:val="32"/>
        </w:rPr>
        <w:t>的工作目标、绩效考核结果和等次、奖惩方案进行审核，并报</w:t>
      </w:r>
      <w:r>
        <w:rPr>
          <w:rFonts w:ascii="仿宋_GB2312" w:eastAsia="仿宋_GB2312" w:cs="仿宋_GB2312"/>
          <w:sz w:val="32"/>
          <w:szCs w:val="32"/>
        </w:rPr>
        <w:t>乡</w:t>
      </w:r>
      <w:r>
        <w:rPr>
          <w:rFonts w:hint="eastAsia" w:ascii="仿宋_GB2312" w:eastAsia="仿宋_GB2312" w:cs="仿宋_GB2312"/>
          <w:sz w:val="32"/>
          <w:szCs w:val="32"/>
        </w:rPr>
        <w:t>党委和政府审定。</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2、办公室职责：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（1）提出政府绩效评价的工作方案，并负责具体组织实施。</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（2）综合评价信息，提出评价结果等次认定方案及奖惩方案等。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3、具体执行人员职责：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spacing w:line="576" w:lineRule="exact"/>
        <w:ind w:firstLine="624" w:firstLineChars="200"/>
        <w:rPr>
          <w:rFonts w:ascii="黑体" w:eastAsia="黑体" w:cs="黑体"/>
          <w:color w:val="FFC000"/>
          <w:sz w:val="32"/>
          <w:szCs w:val="32"/>
        </w:rPr>
      </w:pPr>
      <w:r>
        <w:rPr>
          <w:rFonts w:hint="eastAsia" w:ascii="黑体" w:eastAsia="黑体"/>
          <w:sz w:val="32"/>
          <w:szCs w:val="32"/>
        </w:rPr>
        <w:t>三、绩效分析</w:t>
      </w:r>
    </w:p>
    <w:p>
      <w:pPr>
        <w:spacing w:line="576" w:lineRule="exact"/>
        <w:ind w:firstLine="624" w:firstLineChars="200"/>
        <w:rPr>
          <w:rFonts w:ascii="楷体_GB2312" w:eastAsia="楷体_GB2312"/>
          <w:b/>
          <w:sz w:val="32"/>
          <w:szCs w:val="32"/>
        </w:rPr>
      </w:pPr>
      <w:r>
        <w:rPr>
          <w:rFonts w:hint="eastAsia" w:ascii="楷体_GB2312" w:eastAsia="楷体_GB2312"/>
          <w:b/>
          <w:sz w:val="32"/>
          <w:szCs w:val="32"/>
          <w:lang w:val="zh-CN"/>
        </w:rPr>
        <w:t>（一）</w:t>
      </w:r>
      <w:r>
        <w:rPr>
          <w:rFonts w:hint="eastAsia" w:ascii="楷体_GB2312" w:eastAsia="楷体_GB2312"/>
          <w:b/>
          <w:sz w:val="32"/>
          <w:szCs w:val="32"/>
        </w:rPr>
        <w:t>通用指标</w:t>
      </w:r>
      <w:r>
        <w:rPr>
          <w:rFonts w:hint="eastAsia" w:ascii="楷体_GB2312" w:eastAsia="楷体_GB2312"/>
          <w:b/>
          <w:bCs/>
          <w:sz w:val="32"/>
          <w:szCs w:val="32"/>
        </w:rPr>
        <w:t>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（1）决策程序</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项目设立、调整延续等方面符合资金管理基本规范和决策程序要求，该项指标得分6分。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（2）规划论证</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（3）资金投向</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2.项目管理。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（1）制度办法</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项目未制定资金管理办法，管理制度体系有所欠缺，存在管理制度缺失、管理办法过期情况，该项指标得分</w:t>
      </w:r>
      <w:r>
        <w:rPr>
          <w:rFonts w:ascii="仿宋_GB2312" w:eastAsia="仿宋_GB2312" w:cs="仿宋_GB2312"/>
          <w:sz w:val="32"/>
          <w:szCs w:val="32"/>
        </w:rPr>
        <w:t>2</w:t>
      </w:r>
      <w:r>
        <w:rPr>
          <w:rFonts w:hint="eastAsia" w:ascii="仿宋_GB2312" w:eastAsia="仿宋_GB2312" w:cs="仿宋_GB2312"/>
          <w:sz w:val="32"/>
          <w:szCs w:val="32"/>
        </w:rPr>
        <w:t>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（2）分配管理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（3）绩效监管</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项目按</w:t>
      </w:r>
      <w:r>
        <w:rPr>
          <w:rFonts w:hint="default" w:ascii="仿宋_GB2312" w:eastAsia="仿宋_GB2312" w:cs="仿宋_GB2312"/>
          <w:sz w:val="32"/>
          <w:szCs w:val="32"/>
        </w:rPr>
        <w:t>中央、省委</w:t>
      </w:r>
      <w:r>
        <w:rPr>
          <w:rFonts w:hint="eastAsia" w:ascii="仿宋_GB2312" w:eastAsia="仿宋_GB2312" w:cs="仿宋_GB2312"/>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3.项目实施。围绕、进行绩效分析。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（1）预算执行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财政资金已按照要求拨付完毕，拨付率100%，该项指标得分=财政资金拨付率×100%×6=6分。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（2）资金使用</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4.项目结果。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（1）目标完成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项目完成预期目标，实施结果与绩效目标相匹配，该项指标得分6分。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（2）完成时效</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项目实际完成时间与计划完成时间相符，该项指标得分3分。</w:t>
      </w:r>
    </w:p>
    <w:p>
      <w:pPr>
        <w:spacing w:line="576" w:lineRule="exact"/>
        <w:ind w:firstLine="624" w:firstLineChars="200"/>
        <w:rPr>
          <w:rFonts w:ascii="楷体_GB2312" w:eastAsia="楷体_GB2312"/>
          <w:b/>
          <w:bCs/>
          <w:sz w:val="32"/>
          <w:szCs w:val="32"/>
          <w:lang w:val="zh-CN"/>
        </w:rPr>
      </w:pPr>
      <w:r>
        <w:rPr>
          <w:rFonts w:hint="eastAsia" w:ascii="楷体_GB2312" w:eastAsia="楷体_GB2312"/>
          <w:b/>
          <w:sz w:val="32"/>
          <w:szCs w:val="32"/>
          <w:lang w:val="zh-CN"/>
        </w:rPr>
        <w:t>（二）专用指标</w:t>
      </w:r>
      <w:r>
        <w:rPr>
          <w:rFonts w:hint="eastAsia" w:ascii="楷体_GB2312" w:eastAsia="楷体_GB2312"/>
          <w:b/>
          <w:bCs/>
          <w:sz w:val="32"/>
          <w:szCs w:val="32"/>
          <w:lang w:val="zh-CN"/>
        </w:rPr>
        <w:t>绩效分析。</w:t>
      </w:r>
    </w:p>
    <w:p>
      <w:pPr>
        <w:spacing w:line="576" w:lineRule="exact"/>
        <w:ind w:firstLine="624" w:firstLineChars="200"/>
        <w:rPr>
          <w:rFonts w:ascii="楷体_GB2312" w:eastAsia="楷体_GB2312"/>
          <w:b/>
          <w:bCs/>
          <w:sz w:val="32"/>
          <w:szCs w:val="32"/>
          <w:lang w:val="zh-CN"/>
        </w:rPr>
      </w:pPr>
      <w:r>
        <w:rPr>
          <w:rFonts w:ascii="楷体_GB2312" w:eastAsia="楷体_GB2312"/>
          <w:b/>
          <w:bCs/>
          <w:sz w:val="32"/>
          <w:szCs w:val="32"/>
          <w:lang w:val="zh-CN"/>
        </w:rPr>
        <w:t>民生保障</w:t>
      </w:r>
    </w:p>
    <w:p>
      <w:pPr>
        <w:adjustRightInd w:val="0"/>
        <w:snapToGrid w:val="0"/>
        <w:spacing w:line="576" w:lineRule="exact"/>
        <w:ind w:firstLine="624" w:firstLineChars="200"/>
        <w:rPr>
          <w:kern w:val="0"/>
          <w:szCs w:val="28"/>
        </w:rPr>
      </w:pPr>
      <w:r>
        <w:rPr>
          <w:rFonts w:hint="eastAsia" w:ascii="仿宋_GB2312" w:eastAsia="仿宋_GB2312" w:cs="仿宋_GB2312"/>
          <w:bCs/>
          <w:sz w:val="32"/>
          <w:szCs w:val="32"/>
          <w:lang w:val="zh-CN"/>
        </w:rPr>
        <w:t>按</w:t>
      </w:r>
      <w:r>
        <w:rPr>
          <w:rFonts w:ascii="仿宋_GB2312" w:eastAsia="仿宋_GB2312" w:cs="仿宋_GB2312"/>
          <w:bCs/>
          <w:sz w:val="32"/>
          <w:szCs w:val="32"/>
          <w:lang w:val="zh-CN"/>
        </w:rPr>
        <w:t>区域均衡性</w:t>
      </w:r>
      <w:r>
        <w:rPr>
          <w:rFonts w:hint="eastAsia" w:ascii="仿宋_GB2312" w:eastAsia="仿宋_GB2312" w:cs="仿宋_GB2312"/>
          <w:bCs/>
          <w:sz w:val="32"/>
          <w:szCs w:val="32"/>
          <w:lang w:val="zh-CN"/>
        </w:rPr>
        <w:t>规定用途、适用范围进行本地区专项资金分配</w:t>
      </w:r>
      <w:r>
        <w:rPr>
          <w:rFonts w:ascii="仿宋_GB2312" w:eastAsia="仿宋_GB2312" w:cs="仿宋_GB2312"/>
          <w:bCs/>
          <w:sz w:val="32"/>
          <w:szCs w:val="32"/>
          <w:lang w:val="zh-CN"/>
        </w:rPr>
        <w:t>得10分</w:t>
      </w:r>
      <w:r>
        <w:rPr>
          <w:rFonts w:hint="eastAsia" w:ascii="仿宋_GB2312" w:eastAsia="仿宋_GB2312" w:cs="仿宋_GB2312"/>
          <w:bCs/>
          <w:sz w:val="32"/>
          <w:szCs w:val="32"/>
          <w:lang w:val="zh-CN"/>
        </w:rPr>
        <w:t>；</w:t>
      </w:r>
      <w:r>
        <w:rPr>
          <w:rFonts w:ascii="仿宋_GB2312" w:eastAsia="仿宋_GB2312" w:cs="仿宋_GB2312"/>
          <w:bCs/>
          <w:sz w:val="32"/>
          <w:szCs w:val="32"/>
          <w:lang w:val="zh-CN"/>
        </w:rPr>
        <w:t>按对象精准性资金管理程序符合专项资金管理要求得10分；按标准合理性资金分配标准符合专项资金管理要求得5分；按群众满意度资金涉及相关受益群体满意度为优得5分，</w:t>
      </w:r>
      <w:r>
        <w:rPr>
          <w:rFonts w:hint="eastAsia" w:ascii="仿宋_GB2312" w:eastAsia="仿宋_GB2312" w:cs="仿宋_GB2312"/>
          <w:bCs/>
          <w:sz w:val="32"/>
          <w:szCs w:val="32"/>
          <w:lang w:val="zh-CN"/>
        </w:rPr>
        <w:t>该项指标</w:t>
      </w:r>
      <w:r>
        <w:rPr>
          <w:rFonts w:ascii="仿宋_GB2312" w:eastAsia="仿宋_GB2312" w:cs="仿宋_GB2312"/>
          <w:bCs/>
          <w:sz w:val="32"/>
          <w:szCs w:val="32"/>
          <w:lang w:val="zh-CN"/>
        </w:rPr>
        <w:t>总</w:t>
      </w:r>
      <w:r>
        <w:rPr>
          <w:rFonts w:hint="eastAsia" w:ascii="仿宋_GB2312" w:eastAsia="仿宋_GB2312" w:cs="仿宋_GB2312"/>
          <w:bCs/>
          <w:sz w:val="32"/>
          <w:szCs w:val="32"/>
          <w:lang w:val="zh-CN"/>
        </w:rPr>
        <w:t>得分30分。</w:t>
      </w:r>
    </w:p>
    <w:p>
      <w:pPr>
        <w:spacing w:line="576" w:lineRule="exact"/>
        <w:ind w:firstLine="624" w:firstLineChars="200"/>
        <w:rPr>
          <w:rFonts w:ascii="仿宋_GB2312" w:eastAsia="仿宋_GB2312" w:cs="仿宋_GB2312"/>
          <w:bCs/>
          <w:sz w:val="32"/>
          <w:szCs w:val="32"/>
          <w:lang w:val="zh-CN"/>
        </w:rPr>
      </w:pPr>
      <w:r>
        <w:rPr>
          <w:rFonts w:hint="eastAsia" w:ascii="楷体_GB2312" w:eastAsia="楷体_GB2312"/>
          <w:b/>
          <w:sz w:val="32"/>
          <w:szCs w:val="32"/>
          <w:lang w:val="zh-CN"/>
        </w:rPr>
        <w:t>（三）个性指标</w:t>
      </w:r>
      <w:r>
        <w:rPr>
          <w:rFonts w:hint="eastAsia" w:ascii="楷体_GB2312" w:eastAsia="楷体_GB2312"/>
          <w:b/>
          <w:bCs/>
          <w:sz w:val="32"/>
          <w:szCs w:val="32"/>
          <w:lang w:val="zh-CN"/>
        </w:rPr>
        <w:t>绩效分析。</w:t>
      </w:r>
      <w:r>
        <w:rPr>
          <w:rFonts w:hint="eastAsia" w:ascii="仿宋_GB2312" w:eastAsia="仿宋_GB2312" w:cs="仿宋_GB2312"/>
          <w:bCs/>
          <w:sz w:val="32"/>
          <w:szCs w:val="32"/>
          <w:lang w:val="zh-CN"/>
        </w:rPr>
        <w:t>项目已如期建成，资金已按期拨付，项目实施后已达到预期效果，该项指标得分</w:t>
      </w:r>
      <w:r>
        <w:rPr>
          <w:rFonts w:ascii="仿宋_GB2312" w:eastAsia="仿宋_GB2312" w:cs="仿宋_GB2312"/>
          <w:bCs/>
          <w:sz w:val="32"/>
          <w:szCs w:val="32"/>
          <w:lang w:val="zh-CN"/>
        </w:rPr>
        <w:t>16</w:t>
      </w:r>
      <w:r>
        <w:rPr>
          <w:rFonts w:hint="eastAsia" w:ascii="仿宋_GB2312" w:eastAsia="仿宋_GB2312" w:cs="仿宋_GB2312"/>
          <w:bCs/>
          <w:sz w:val="32"/>
          <w:szCs w:val="32"/>
          <w:lang w:val="zh-CN"/>
        </w:rPr>
        <w:t>分。</w:t>
      </w:r>
    </w:p>
    <w:p>
      <w:pPr>
        <w:ind w:firstLine="624" w:firstLineChars="200"/>
        <w:rPr>
          <w:rFonts w:ascii="方正黑体_GBK" w:eastAsia="方正黑体_GBK" w:cs="方正黑体_GBK"/>
          <w:sz w:val="32"/>
          <w:szCs w:val="32"/>
        </w:rPr>
      </w:pPr>
      <w:r>
        <w:rPr>
          <w:rFonts w:hint="eastAsia" w:ascii="方正黑体_GBK" w:eastAsia="方正黑体_GBK" w:cs="方正黑体_GBK"/>
          <w:sz w:val="32"/>
          <w:szCs w:val="32"/>
        </w:rPr>
        <w:t>四、评价结论</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hint="eastAsia" w:ascii="仿宋_GB2312" w:eastAsia="仿宋_GB2312" w:cs="仿宋_GB2312"/>
          <w:bCs/>
          <w:sz w:val="32"/>
          <w:szCs w:val="32"/>
          <w:lang w:val="zh-CN"/>
        </w:rPr>
        <w:t>石碉楼乡2025年</w:t>
      </w:r>
      <w:r>
        <w:rPr>
          <w:rFonts w:ascii="仿宋_GB2312" w:eastAsia="仿宋_GB2312" w:cs="仿宋_GB2312"/>
          <w:bCs/>
          <w:sz w:val="32"/>
          <w:szCs w:val="32"/>
          <w:lang w:val="zh-CN"/>
        </w:rPr>
        <w:t>村级运行维护费</w:t>
      </w:r>
      <w:r>
        <w:rPr>
          <w:rFonts w:hint="eastAsia" w:ascii="仿宋_GB2312" w:eastAsia="仿宋_GB2312" w:cs="仿宋_GB2312"/>
          <w:bCs/>
          <w:sz w:val="32"/>
          <w:szCs w:val="32"/>
          <w:lang w:val="zh-CN"/>
        </w:rPr>
        <w:t>项目</w:t>
      </w:r>
      <w:r>
        <w:rPr>
          <w:rFonts w:ascii="仿宋_GB2312" w:eastAsia="仿宋_GB2312" w:cs="仿宋_GB2312"/>
          <w:bCs/>
          <w:sz w:val="32"/>
          <w:szCs w:val="32"/>
          <w:lang w:val="zh-CN"/>
        </w:rPr>
        <w:t>支出绩效自评工作，经对各类指标进行评分和汇总分析，</w:t>
      </w:r>
      <w:r>
        <w:rPr>
          <w:rFonts w:hint="eastAsia" w:ascii="仿宋_GB2312" w:eastAsia="仿宋_GB2312" w:cs="仿宋_GB2312"/>
          <w:bCs/>
          <w:sz w:val="32"/>
          <w:szCs w:val="32"/>
          <w:lang w:val="zh-CN"/>
        </w:rPr>
        <w:t>石碉楼乡2025年</w:t>
      </w:r>
      <w:r>
        <w:rPr>
          <w:rFonts w:ascii="仿宋_GB2312" w:eastAsia="仿宋_GB2312" w:cs="仿宋_GB2312"/>
          <w:bCs/>
          <w:sz w:val="32"/>
          <w:szCs w:val="32"/>
          <w:lang w:val="zh-CN"/>
        </w:rPr>
        <w:t>村级运行维护费</w:t>
      </w:r>
      <w:r>
        <w:rPr>
          <w:rFonts w:hint="eastAsia" w:ascii="仿宋_GB2312" w:eastAsia="仿宋_GB2312" w:cs="仿宋_GB2312"/>
          <w:bCs/>
          <w:sz w:val="32"/>
          <w:szCs w:val="32"/>
          <w:lang w:val="zh-CN"/>
        </w:rPr>
        <w:t>项目</w:t>
      </w:r>
      <w:r>
        <w:rPr>
          <w:rFonts w:ascii="仿宋_GB2312" w:eastAsia="仿宋_GB2312" w:cs="仿宋_GB2312"/>
          <w:bCs/>
          <w:sz w:val="32"/>
          <w:szCs w:val="32"/>
          <w:lang w:val="zh-CN"/>
        </w:rPr>
        <w:t>支出绩效评价综合得分9</w:t>
      </w:r>
      <w:r>
        <w:rPr>
          <w:rFonts w:hint="eastAsia" w:ascii="仿宋_GB2312" w:eastAsia="仿宋_GB2312" w:cs="仿宋_GB2312"/>
          <w:bCs/>
          <w:sz w:val="32"/>
          <w:szCs w:val="32"/>
        </w:rPr>
        <w:t>7</w:t>
      </w:r>
      <w:r>
        <w:rPr>
          <w:rFonts w:ascii="仿宋_GB2312" w:eastAsia="仿宋_GB2312" w:cs="仿宋_GB2312"/>
          <w:bCs/>
          <w:sz w:val="32"/>
          <w:szCs w:val="32"/>
          <w:lang w:val="zh-CN"/>
        </w:rPr>
        <w:t>分。评价结果显示，</w:t>
      </w:r>
      <w:r>
        <w:rPr>
          <w:rFonts w:hint="eastAsia" w:ascii="仿宋_GB2312" w:eastAsia="仿宋_GB2312" w:cs="仿宋_GB2312"/>
          <w:bCs/>
          <w:sz w:val="32"/>
          <w:szCs w:val="32"/>
          <w:lang w:val="zh-CN"/>
        </w:rPr>
        <w:t>石碉楼乡2025年</w:t>
      </w:r>
      <w:r>
        <w:rPr>
          <w:rFonts w:ascii="仿宋_GB2312" w:eastAsia="仿宋_GB2312" w:cs="仿宋_GB2312"/>
          <w:bCs/>
          <w:sz w:val="32"/>
          <w:szCs w:val="32"/>
          <w:lang w:val="zh-CN"/>
        </w:rPr>
        <w:t>村级运行维护费</w:t>
      </w:r>
      <w:r>
        <w:rPr>
          <w:rFonts w:hint="eastAsia" w:ascii="仿宋_GB2312" w:eastAsia="仿宋_GB2312" w:cs="仿宋_GB2312"/>
          <w:bCs/>
          <w:sz w:val="32"/>
          <w:szCs w:val="32"/>
          <w:lang w:val="zh-CN"/>
        </w:rPr>
        <w:t>项目</w:t>
      </w:r>
      <w:r>
        <w:rPr>
          <w:rFonts w:ascii="仿宋_GB2312" w:eastAsia="仿宋_GB2312" w:cs="仿宋_GB2312"/>
          <w:bCs/>
          <w:sz w:val="32"/>
          <w:szCs w:val="32"/>
          <w:lang w:val="zh-CN"/>
        </w:rPr>
        <w:t>按照相关规定进行使用和管理，程序较为规范，项目支出使用效益达到预期。</w:t>
      </w:r>
    </w:p>
    <w:p>
      <w:pPr>
        <w:pStyle w:val="6"/>
        <w:spacing w:line="576" w:lineRule="exact"/>
        <w:ind w:firstLine="624" w:firstLineChars="200"/>
        <w:jc w:val="both"/>
        <w:rPr>
          <w:rFonts w:ascii="黑体"/>
          <w:sz w:val="32"/>
          <w:szCs w:val="32"/>
        </w:rPr>
      </w:pPr>
      <w:r>
        <w:rPr>
          <w:rFonts w:hint="eastAsia" w:ascii="黑体"/>
          <w:sz w:val="32"/>
          <w:szCs w:val="32"/>
        </w:rPr>
        <w:t>五、存在主要问题</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pStyle w:val="6"/>
        <w:spacing w:line="576" w:lineRule="exact"/>
        <w:ind w:firstLine="624" w:firstLineChars="200"/>
        <w:jc w:val="both"/>
        <w:rPr>
          <w:rFonts w:ascii="黑体"/>
          <w:sz w:val="32"/>
          <w:szCs w:val="32"/>
          <w:lang w:val="zh-CN"/>
        </w:rPr>
      </w:pPr>
      <w:r>
        <w:rPr>
          <w:rFonts w:hint="eastAsia" w:ascii="黑体"/>
          <w:sz w:val="32"/>
          <w:szCs w:val="32"/>
          <w:lang w:val="zh-CN"/>
        </w:rPr>
        <w:t>六、改进建议</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adjustRightInd w:val="0"/>
        <w:snapToGrid w:val="0"/>
        <w:spacing w:line="560" w:lineRule="exact"/>
        <w:ind w:firstLine="624" w:firstLineChars="200"/>
        <w:rPr>
          <w:rFonts w:ascii="仿宋_GB2312" w:eastAsia="仿宋_GB2312"/>
          <w:kern w:val="0"/>
          <w:sz w:val="32"/>
          <w:szCs w:val="32"/>
        </w:rPr>
      </w:pPr>
      <w:r>
        <w:rPr>
          <w:rFonts w:ascii="仿宋_GB2312" w:eastAsia="仿宋_GB2312" w:cs="仿宋_GB2312"/>
          <w:bCs/>
          <w:sz w:val="32"/>
          <w:szCs w:val="32"/>
          <w:lang w:val="zh-CN"/>
        </w:rPr>
        <w:t>附表：</w:t>
      </w:r>
      <w:r>
        <w:rPr>
          <w:rFonts w:ascii="仿宋_GB2312" w:eastAsia="仿宋_GB2312"/>
          <w:kern w:val="0"/>
          <w:sz w:val="32"/>
          <w:szCs w:val="32"/>
        </w:rPr>
        <w:t>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60" w:lineRule="exact"/>
        <w:ind w:firstLine="624"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60" w:lineRule="exact"/>
        <w:ind w:firstLine="624" w:firstLineChars="200"/>
        <w:rPr>
          <w:rFonts w:ascii="仿宋_GB2312" w:eastAsia="仿宋_GB2312"/>
          <w:color w:val="000000"/>
          <w:kern w:val="0"/>
          <w:sz w:val="32"/>
          <w:szCs w:val="32"/>
          <w:shd w:val="clear" w:color="auto" w:fill="FFFFFF"/>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adjustRightInd w:val="0"/>
        <w:snapToGrid w:val="0"/>
        <w:spacing w:line="576" w:lineRule="exact"/>
        <w:ind w:firstLine="1560" w:firstLineChars="500"/>
        <w:rPr>
          <w:rFonts w:ascii="仿宋_GB2312" w:eastAsia="仿宋_GB2312" w:cs="仿宋_GB2312"/>
          <w:bCs/>
          <w:sz w:val="32"/>
          <w:szCs w:val="32"/>
          <w:lang w:val="zh-CN"/>
        </w:rPr>
      </w:pPr>
    </w:p>
    <w:p>
      <w:pPr>
        <w:adjustRightInd w:val="0"/>
        <w:snapToGrid w:val="0"/>
        <w:spacing w:line="576" w:lineRule="exact"/>
        <w:ind w:firstLine="624" w:firstLineChars="200"/>
        <w:rPr>
          <w:rFonts w:ascii="仿宋_GB2312" w:eastAsia="仿宋_GB2312" w:cs="仿宋_GB2312"/>
          <w:bCs/>
          <w:sz w:val="32"/>
          <w:szCs w:val="32"/>
          <w:lang w:val="zh-CN"/>
        </w:rPr>
      </w:pPr>
    </w:p>
    <w:p>
      <w:pPr>
        <w:pStyle w:val="2"/>
        <w:ind w:left="1024" w:hanging="622"/>
        <w:rPr>
          <w:rFonts w:ascii="仿宋_GB2312" w:eastAsia="仿宋_GB2312" w:cs="仿宋_GB2312"/>
          <w:bCs/>
          <w:sz w:val="32"/>
          <w:szCs w:val="32"/>
          <w:lang w:val="zh-CN"/>
        </w:rPr>
      </w:pPr>
    </w:p>
    <w:p>
      <w:pPr>
        <w:rPr>
          <w:lang w:val="zh-CN"/>
        </w:rPr>
      </w:pPr>
    </w:p>
    <w:p>
      <w:pPr>
        <w:spacing w:line="576" w:lineRule="exact"/>
        <w:jc w:val="right"/>
        <w:rPr>
          <w:rFonts w:ascii="仿宋_GB2312" w:eastAsia="仿宋_GB2312" w:cs="仿宋_GB2312"/>
          <w:sz w:val="32"/>
          <w:szCs w:val="32"/>
        </w:rPr>
      </w:pPr>
      <w:r>
        <w:rPr>
          <w:rFonts w:hint="eastAsia" w:ascii="仿宋_GB2312" w:eastAsia="仿宋_GB2312" w:cs="仿宋_GB2312"/>
          <w:sz w:val="32"/>
          <w:szCs w:val="32"/>
        </w:rPr>
        <w:t>黑水县石碉楼乡人民政府</w:t>
      </w:r>
    </w:p>
    <w:p>
      <w:pPr>
        <w:spacing w:line="576" w:lineRule="exact"/>
        <w:ind w:firstLine="5616" w:firstLineChars="1800"/>
        <w:jc w:val="right"/>
        <w:rPr>
          <w:rFonts w:ascii="仿宋_GB2312" w:eastAsia="仿宋_GB2312" w:cs="仿宋_GB2312"/>
          <w:sz w:val="32"/>
          <w:szCs w:val="32"/>
        </w:rPr>
      </w:pPr>
      <w:r>
        <w:rPr>
          <w:rFonts w:hint="eastAsia" w:ascii="仿宋_GB2312" w:eastAsia="仿宋_GB2312" w:cs="仿宋_GB2312"/>
          <w:sz w:val="32"/>
          <w:szCs w:val="32"/>
        </w:rPr>
        <w:t>2026年3月27日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1024" w:hanging="622"/>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1024" w:hanging="622"/>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804" w:hanging="402"/>
        <w:rPr>
          <w:lang w:val="zh-CN"/>
        </w:rPr>
      </w:pPr>
    </w:p>
    <w:p>
      <w:pPr>
        <w:pStyle w:val="2"/>
        <w:ind w:left="804" w:hanging="402"/>
        <w:rPr>
          <w:lang w:val="zh-CN"/>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Pr>
        <w:snapToGrid w:val="0"/>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黑体" w:hAnsi="宋体" w:eastAsia="黑体" w:cs="黑体"/>
                <w:color w:val="000000"/>
                <w:sz w:val="24"/>
              </w:rPr>
            </w:pPr>
          </w:p>
        </w:tc>
        <w:tc>
          <w:tcPr>
            <w:tcW w:w="732"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rPr>
                <w:rFonts w:ascii="黑体" w:hAnsi="宋体" w:eastAsia="黑体" w:cs="黑体"/>
                <w:color w:val="000000"/>
                <w:sz w:val="24"/>
              </w:rPr>
            </w:pPr>
          </w:p>
        </w:tc>
        <w:tc>
          <w:tcPr>
            <w:tcW w:w="468"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通用指标</w:t>
            </w:r>
            <w:r>
              <w:rPr>
                <w:rFonts w:hint="eastAsia" w:ascii="宋体" w:hAnsi="宋体" w:cs="宋体"/>
                <w:b/>
                <w:color w:val="000000"/>
                <w:kern w:val="0"/>
                <w:sz w:val="24"/>
              </w:rPr>
              <w:br w:type="textWrapping"/>
            </w:r>
            <w:r>
              <w:rPr>
                <w:rFonts w:hint="eastAsia" w:ascii="宋体" w:hAns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项目决策</w:t>
            </w:r>
            <w:r>
              <w:rPr>
                <w:rFonts w:hint="eastAsia" w:ascii="宋体" w:hAnsi="宋体" w:cs="宋体"/>
                <w:b/>
                <w:color w:val="000000"/>
                <w:kern w:val="0"/>
                <w:sz w:val="24"/>
              </w:rPr>
              <w:br w:type="textWrapping"/>
            </w:r>
            <w:r>
              <w:rPr>
                <w:rFonts w:hint="eastAsia" w:ascii="宋体" w:hAns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项目规划论证是否符合</w:t>
            </w:r>
            <w:r>
              <w:rPr>
                <w:rFonts w:hint="default" w:ascii="宋体" w:hAnsi="宋体" w:cs="宋体"/>
                <w:color w:val="000000"/>
                <w:kern w:val="0"/>
                <w:sz w:val="24"/>
              </w:rPr>
              <w:t>中央、省委</w:t>
            </w:r>
            <w:r>
              <w:rPr>
                <w:rFonts w:hint="eastAsia" w:ascii="宋体" w:hAns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项目管理</w:t>
            </w:r>
            <w:r>
              <w:rPr>
                <w:rFonts w:hint="eastAsia" w:ascii="宋体" w:hAnsi="宋体" w:cs="宋体"/>
                <w:b/>
                <w:color w:val="000000"/>
                <w:kern w:val="0"/>
                <w:sz w:val="24"/>
              </w:rPr>
              <w:br w:type="textWrapping"/>
            </w:r>
            <w:r>
              <w:rPr>
                <w:rFonts w:hint="eastAsia" w:ascii="宋体" w:hAns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项目实施</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项目结果</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专用指标</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产业发展</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民生保障</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基础</w:t>
            </w:r>
            <w:r>
              <w:rPr>
                <w:rFonts w:hint="eastAsia" w:ascii="宋体" w:hAnsi="宋体" w:cs="宋体"/>
                <w:b/>
                <w:color w:val="000000"/>
                <w:kern w:val="0"/>
                <w:sz w:val="24"/>
              </w:rPr>
              <w:br w:type="textWrapping"/>
            </w:r>
            <w:r>
              <w:rPr>
                <w:rFonts w:hint="eastAsia" w:ascii="宋体" w:hAnsi="宋体" w:cs="宋体"/>
                <w:b/>
                <w:color w:val="000000"/>
                <w:kern w:val="0"/>
                <w:sz w:val="24"/>
              </w:rPr>
              <w:t>设施</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在建</w:t>
            </w:r>
            <w:r>
              <w:rPr>
                <w:rFonts w:hint="eastAsia" w:ascii="宋体" w:hAnsi="宋体" w:cs="宋体"/>
                <w:b/>
                <w:color w:val="000000"/>
                <w:kern w:val="0"/>
                <w:sz w:val="24"/>
              </w:rPr>
              <w:br w:type="textWrapping"/>
            </w:r>
            <w:r>
              <w:rPr>
                <w:rFonts w:hint="eastAsia" w:ascii="宋体" w:hAns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建成</w:t>
            </w:r>
            <w:r>
              <w:rPr>
                <w:rFonts w:hint="eastAsia" w:ascii="宋体" w:hAnsi="宋体" w:cs="宋体"/>
                <w:b/>
                <w:color w:val="000000"/>
                <w:kern w:val="0"/>
                <w:sz w:val="24"/>
              </w:rPr>
              <w:br w:type="textWrapping"/>
            </w:r>
            <w:r>
              <w:rPr>
                <w:rFonts w:hint="eastAsia" w:ascii="宋体" w:hAns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专用指标</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行政运转</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10</w:t>
            </w: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个性指标</w:t>
            </w:r>
            <w:r>
              <w:rPr>
                <w:rFonts w:hint="eastAsia" w:ascii="宋体" w:hAnsi="宋体" w:cs="宋体"/>
                <w:b/>
                <w:color w:val="000000"/>
                <w:kern w:val="0"/>
                <w:sz w:val="24"/>
              </w:rPr>
              <w:br w:type="textWrapping"/>
            </w:r>
            <w:r>
              <w:rPr>
                <w:rFonts w:hint="eastAsia" w:ascii="宋体" w:hAns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对日常工作开展满意情况</w:t>
            </w:r>
          </w:p>
          <w:p>
            <w:pPr>
              <w:widowControl/>
              <w:spacing w:line="240" w:lineRule="exact"/>
              <w:jc w:val="left"/>
              <w:textAlignment w:val="center"/>
            </w:pPr>
            <w:r>
              <w:rPr>
                <w:rFonts w:hint="eastAsia" w:ascii="宋体" w:hAns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hAnsi="宋体" w:cs="宋体"/>
                <w:color w:val="000000"/>
                <w:sz w:val="24"/>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hAnsi="宋体" w:cs="宋体"/>
                <w:color w:val="000000"/>
                <w:sz w:val="24"/>
              </w:rPr>
            </w:pPr>
            <w:r>
              <w:rPr>
                <w:rFonts w:hint="eastAsia" w:ascii="宋体" w:hAns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hAnsi="宋体" w:cs="宋体"/>
                <w:color w:val="000000"/>
                <w:sz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扣分项</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被评价</w:t>
            </w:r>
            <w:r>
              <w:rPr>
                <w:rFonts w:hint="eastAsia" w:ascii="宋体" w:hAnsi="宋体" w:cs="宋体"/>
                <w:color w:val="000000"/>
                <w:kern w:val="0"/>
                <w:sz w:val="24"/>
              </w:rPr>
              <w:br w:type="textWrapping"/>
            </w:r>
            <w:r>
              <w:rPr>
                <w:rFonts w:hint="eastAsia" w:ascii="宋体" w:hAns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hAnsi="楷体_GB2312" w:eastAsia="楷体_GB2312" w:cs="楷体_GB2312"/>
          <w:sz w:val="28"/>
          <w:szCs w:val="28"/>
        </w:rPr>
      </w:pPr>
      <w:r>
        <w:rPr>
          <w:rFonts w:eastAsia="方正小标宋_GBK"/>
          <w:sz w:val="40"/>
          <w:szCs w:val="40"/>
        </w:rPr>
        <w:t>专项预算绩效自评实地踏勘点位清单表</w:t>
      </w:r>
    </w:p>
    <w:tbl>
      <w:tblPr>
        <w:tblStyle w:val="11"/>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tbl>
      <w:tblPr>
        <w:tblStyle w:val="10"/>
        <w:tblW w:w="10232" w:type="dxa"/>
        <w:jc w:val="center"/>
        <w:tblLayout w:type="fixed"/>
        <w:tblCellMar>
          <w:top w:w="15" w:type="dxa"/>
          <w:left w:w="15" w:type="dxa"/>
          <w:bottom w:w="15" w:type="dxa"/>
          <w:right w:w="15" w:type="dxa"/>
        </w:tblCellMar>
      </w:tblPr>
      <w:tblGrid>
        <w:gridCol w:w="651"/>
        <w:gridCol w:w="1048"/>
        <w:gridCol w:w="1282"/>
        <w:gridCol w:w="1313"/>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eastAsia" w:ascii="仿宋_GB2312" w:eastAsia="仿宋_GB2312" w:cs="仿宋_GB2312"/>
                <w:bCs/>
                <w:sz w:val="32"/>
                <w:szCs w:val="32"/>
                <w:lang w:val="zh-CN"/>
              </w:rPr>
              <w:t>2025年</w:t>
            </w:r>
            <w:r>
              <w:rPr>
                <w:rFonts w:ascii="仿宋_GB2312" w:eastAsia="仿宋_GB2312" w:cs="仿宋_GB2312"/>
                <w:bCs/>
                <w:sz w:val="32"/>
                <w:szCs w:val="32"/>
                <w:lang w:val="zh-CN"/>
              </w:rPr>
              <w:t>村级运行维护费</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黑水县石碉楼乡人民政府</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经常性项目</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宋体" w:cs="宋体"/>
                <w:color w:val="000000"/>
                <w:kern w:val="0"/>
                <w:sz w:val="24"/>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sz w:val="24"/>
              </w:rPr>
              <w:t>阿州财预〔2025〕32号</w:t>
            </w:r>
            <w:r>
              <w:rPr>
                <w:rFonts w:ascii="宋体" w:cs="宋体"/>
                <w:color w:val="000000"/>
                <w:sz w:val="24"/>
              </w:rPr>
              <w:t>；</w:t>
            </w:r>
            <w:r>
              <w:rPr>
                <w:rFonts w:hint="eastAsia" w:ascii="宋体" w:cs="宋体"/>
                <w:color w:val="000000"/>
                <w:sz w:val="24"/>
              </w:rPr>
              <w:t>阿州财预{2025}23号；黑财预〔2025〕13-44号；黑财预〔2025〕3号</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石碉楼乡9个行政村</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sz w:val="24"/>
              </w:rPr>
              <w:t>村级公共运行维护</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eastAsia"/>
                <w:color w:val="000000"/>
                <w:kern w:val="0"/>
                <w:sz w:val="24"/>
              </w:rPr>
              <w:t>2025年1月至2025年12月</w:t>
            </w:r>
          </w:p>
        </w:tc>
      </w:tr>
      <w:tr>
        <w:tblPrEx>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（元）</w:t>
            </w: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      </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right"/>
              <w:rPr>
                <w:rFonts w:ascii="宋体" w:cs="宋体"/>
                <w:color w:val="000000"/>
                <w:sz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加强乡村级运行维护费保障，</w:t>
            </w:r>
            <w:r>
              <w:rPr>
                <w:rFonts w:ascii="宋体" w:cs="宋体"/>
                <w:color w:val="000000"/>
                <w:kern w:val="0"/>
                <w:sz w:val="24"/>
              </w:rPr>
              <w:t>保障各村工作开展和正常运行</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9</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9</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保障村级运行维护费按时发放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保障村级运行维护费足额发放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color w:val="000000"/>
                <w:sz w:val="24"/>
              </w:rPr>
            </w:pPr>
            <w:r>
              <w:rPr>
                <w:rFonts w:ascii="宋体" w:cs="宋体"/>
                <w:color w:val="000000"/>
                <w:kern w:val="0"/>
                <w:sz w:val="24"/>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经费预算</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r>
    </w:tbl>
    <w:p>
      <w:pPr>
        <w:spacing w:line="580" w:lineRule="exact"/>
        <w:rPr>
          <w:rStyle w:val="14"/>
          <w:rFonts w:ascii="仿宋_GB2312" w:eastAsia="仿宋_GB2312" w:cs="仿宋_GB2312"/>
          <w:b w:val="0"/>
          <w:bCs w:val="0"/>
          <w:color w:val="FFC000"/>
          <w:sz w:val="32"/>
          <w:szCs w:val="32"/>
        </w:rPr>
      </w:pPr>
    </w:p>
    <w:p/>
    <w:bookmarkEnd w:id="0"/>
    <w:sectPr>
      <w:pgSz w:w="11906" w:h="16838"/>
      <w:pgMar w:top="1440" w:right="1800" w:bottom="1440" w:left="1800" w:header="851" w:footer="1587" w:gutter="0"/>
      <w:cols w:space="720" w:num="1"/>
      <w:rtlGutter w:val="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AR PL UKai CN"/>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黑体_GBK">
    <w:panose1 w:val="02000000000000000000"/>
    <w:charset w:val="86"/>
    <w:family w:val="script"/>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4NDliYzVkNjM0YTUyZjVhYThjYjZkNjBhMDUwYjEifQ=="/>
  </w:docVars>
  <w:rsids>
    <w:rsidRoot w:val="008470BD"/>
    <w:rsid w:val="001D7801"/>
    <w:rsid w:val="008470BD"/>
    <w:rsid w:val="0FF3697D"/>
    <w:rsid w:val="3F9AE596"/>
    <w:rsid w:val="ACDBF473"/>
    <w:rsid w:val="DB5775BB"/>
    <w:rsid w:val="DF6D189E"/>
    <w:rsid w:val="EF7A4D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next w:val="7"/>
    <w:qFormat/>
    <w:uiPriority w:val="0"/>
    <w:pPr>
      <w:tabs>
        <w:tab w:val="left" w:pos="2160"/>
      </w:tabs>
      <w:spacing w:line="480" w:lineRule="auto"/>
    </w:pPr>
    <w:rPr>
      <w:rFonts w:ascii="楷体_GB2312" w:hAnsi="楷体_GB2312" w:eastAsia="黑体" w:cs="Times New Roman"/>
      <w:position w:val="3"/>
      <w:lang w:val="en-US" w:eastAsia="zh-CN" w:bidi="ar-SA"/>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footer"/>
    <w:basedOn w:val="1"/>
    <w:qFormat/>
    <w:uiPriority w:val="0"/>
    <w:pPr>
      <w:tabs>
        <w:tab w:val="center" w:pos="4153"/>
        <w:tab w:val="right" w:pos="8306"/>
      </w:tabs>
      <w:snapToGrid w:val="0"/>
      <w:jc w:val="left"/>
    </w:pPr>
    <w:rPr>
      <w:rFonts w:ascii="Calibri" w:hAnsi="Calibri" w:cs="Arial"/>
      <w:sz w:val="18"/>
      <w:szCs w:val="18"/>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customStyle="1" w:styleId="14">
    <w:name w:val="标题 1 Char"/>
    <w:basedOn w:val="12"/>
    <w:link w:val="3"/>
    <w:qFormat/>
    <w:uiPriority w:val="0"/>
    <w:rPr>
      <w:rFonts w:ascii="Times New Roman" w:hAnsi="Times New Roman" w:eastAsia="宋体" w:cs="Times New Roman"/>
      <w:b/>
      <w:bCs/>
      <w:kern w:val="44"/>
      <w:sz w:val="44"/>
      <w:szCs w:val="44"/>
      <w:lang w:val="en-US" w:eastAsia="zh-CN" w:bidi="ar-SA"/>
    </w:rPr>
  </w:style>
  <w:style w:type="paragraph" w:styleId="15">
    <w:name w:val="List Paragraph"/>
    <w:basedOn w:val="1"/>
    <w:qFormat/>
    <w:uiPriority w:val="0"/>
    <w:pPr>
      <w:ind w:firstLine="200" w:firstLineChars="200"/>
    </w:pPr>
  </w:style>
  <w:style w:type="paragraph" w:customStyle="1" w:styleId="16">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759</Words>
  <Characters>4330</Characters>
  <Lines>36</Lines>
  <Paragraphs>10</Paragraphs>
  <TotalTime>4</TotalTime>
  <ScaleCrop>false</ScaleCrop>
  <LinksUpToDate>false</LinksUpToDate>
  <CharactersWithSpaces>5079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2025-05-20T18:02:00Z</dcterms:created>
  <dc:creator>Sky123.Org</dc:creator>
  <cp:lastModifiedBy>user</cp:lastModifiedBy>
  <dcterms:modified xsi:type="dcterms:W3CDTF">2026-09-22T10:30:11Z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19031922F57719FD0BF5946A9E4BBDE6</vt:lpwstr>
  </property>
  <property fmtid="{D5CDD505-2E9C-101B-9397-08002B2CF9AE}" pid="4" name="KSOTemplateDocerSaveRecord">
    <vt:lpwstr>eyJoZGlkIjoiZTQ0NjgxNGZmMTFhZmQ2Yzk2ZTMyOTFmMjg3MThkM2YiLCJ1c2VySWQiOiIyMzYzNzMyOTYifQ==</vt:lpwstr>
  </property>
</Properties>
</file>