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方正小标宋_GBK"/>
          <w:color w:val="FF0000"/>
          <w:w w:val="44"/>
          <w:sz w:val="144"/>
          <w:szCs w:val="144"/>
        </w:rPr>
      </w:pPr>
      <w:r>
        <w:rPr>
          <w:rFonts w:hint="eastAsia" w:ascii="方正小标宋_GBK" w:eastAsia="方正小标宋_GBK" w:cs="方正小标宋_GBK"/>
          <w:color w:val="FF0000"/>
          <w:w w:val="44"/>
          <w:sz w:val="144"/>
          <w:szCs w:val="144"/>
        </w:rPr>
        <w:t>黑水县石碉楼乡人民政府文件</w:t>
      </w:r>
    </w:p>
    <w:p>
      <w:pPr>
        <w:ind w:firstLine="320" w:firstLineChars="10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3665" distR="113665" simplePos="0" relativeHeight="251659264" behindDoc="0" locked="0" layoutInCell="1" allowOverlap="1">
                <wp:simplePos x="0" y="0"/>
                <wp:positionH relativeFrom="column">
                  <wp:posOffset>37465</wp:posOffset>
                </wp:positionH>
                <wp:positionV relativeFrom="paragraph">
                  <wp:posOffset>386080</wp:posOffset>
                </wp:positionV>
                <wp:extent cx="5342255" cy="635"/>
                <wp:effectExtent l="0" t="0" r="0" b="0"/>
                <wp:wrapNone/>
                <wp:docPr id="1" name="直线 2"/>
                <wp:cNvGraphicFramePr/>
                <a:graphic xmlns:a="http://schemas.openxmlformats.org/drawingml/2006/main">
                  <a:graphicData uri="http://schemas.microsoft.com/office/word/2010/wordprocessingShape">
                    <wps:wsp>
                      <wps:cNvCnPr/>
                      <wps:spPr>
                        <a:xfrm>
                          <a:off x="0" y="0"/>
                          <a:ext cx="5342255" cy="635"/>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o:spid="_x0000_s1026" o:spt="20" style="position:absolute;left:0pt;margin-left:2.95pt;margin-top:30.4pt;height:0.05pt;width:420.65pt;z-index:251659264;mso-width-relative:page;mso-height-relative:page;" filled="f" stroked="t" coordsize="21600,21600" o:gfxdata="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z9fqR2AAAAAcBAAAPAAAAAAAAAAEAIAAAADgAAABkcnMvZG93bnJldi54bWxQSwEC&#10;FAAUAAAACACHTuJAepGuMRcCAAAgBAAADgAAAAAAAAABACAAAAA9AQAAZHJzL2Uyb0RvYy54bWxQ&#10;SwUGAAAAAAYABgBZAQAAxgUAAAAA&#10;">
                <v:fill on="f" focussize="0,0"/>
                <v:stroke weight="2.25pt" color="#FF0000" joinstyle="miter"/>
                <v:imagedata o:title=""/>
                <o:lock v:ext="edit" aspectratio="f"/>
              </v:line>
            </w:pict>
          </mc:Fallback>
        </mc:AlternateContent>
      </w:r>
      <w:r>
        <w:rPr>
          <w:rFonts w:ascii="楷体_GB2312" w:eastAsia="楷体_GB2312" w:cs="楷体_GB2312"/>
          <w:color w:val="000000"/>
          <w:sz w:val="32"/>
          <w:szCs w:val="32"/>
        </w:rPr>
        <w:t>黑石府</w:t>
      </w:r>
      <w:r>
        <w:rPr>
          <w:rFonts w:hint="eastAsia" w:ascii="楷体_GB2312" w:eastAsia="楷体_GB2312" w:cs="楷体_GB2312"/>
          <w:color w:val="000000"/>
          <w:sz w:val="32"/>
          <w:szCs w:val="32"/>
        </w:rPr>
        <w:t>[</w:t>
      </w:r>
      <w:r>
        <w:rPr>
          <w:rFonts w:ascii="楷体_GB2312" w:eastAsia="楷体_GB2312" w:cs="楷体_GB2312"/>
          <w:color w:val="000000"/>
          <w:sz w:val="32"/>
          <w:szCs w:val="32"/>
        </w:rPr>
        <w:t>202</w:t>
      </w:r>
      <w:r>
        <w:rPr>
          <w:rFonts w:hint="eastAsia" w:ascii="楷体_GB2312" w:eastAsia="楷体_GB2312" w:cs="楷体_GB2312"/>
          <w:color w:val="000000"/>
          <w:sz w:val="32"/>
          <w:szCs w:val="32"/>
        </w:rPr>
        <w:t>5]5号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hint="eastAsia" w:ascii="方正小标宋简体" w:eastAsia="方正小标宋简体" w:cs="方正小标宋简体"/>
          <w:kern w:val="0"/>
          <w:sz w:val="36"/>
          <w:szCs w:val="36"/>
        </w:rPr>
        <w:t>2025年度石碉楼乡人民政府</w:t>
      </w:r>
    </w:p>
    <w:p>
      <w:pPr>
        <w:spacing w:line="580" w:lineRule="exact"/>
        <w:jc w:val="center"/>
        <w:rPr>
          <w:rFonts w:ascii="仿宋_GB2312" w:eastAsia="仿宋_GB2312" w:cs="方正小标宋简体"/>
          <w:b/>
          <w:sz w:val="24"/>
        </w:rPr>
      </w:pPr>
      <w:r>
        <w:rPr>
          <w:rFonts w:hint="eastAsia" w:ascii="方正小标宋简体" w:eastAsia="方正小标宋简体" w:cs="方正小标宋简体"/>
          <w:kern w:val="0"/>
          <w:sz w:val="36"/>
          <w:szCs w:val="36"/>
        </w:rPr>
        <w:t>关于黑水县石碉楼乡办公居住条件提升改善项目支出绩效评价报告</w:t>
      </w:r>
    </w:p>
    <w:p>
      <w:pPr>
        <w:spacing w:line="580" w:lineRule="exact"/>
        <w:ind w:firstLine="640" w:firstLineChars="200"/>
        <w:rPr>
          <w:rFonts w:ascii="仿宋_GB2312" w:eastAsia="仿宋_GB2312" w:cs="仿宋_GB2312"/>
          <w:sz w:val="32"/>
          <w:szCs w:val="32"/>
        </w:rPr>
      </w:pPr>
    </w:p>
    <w:p>
      <w:pPr>
        <w:numPr>
          <w:ilvl w:val="0"/>
          <w:numId w:val="1"/>
        </w:numPr>
        <w:spacing w:line="580" w:lineRule="exact"/>
        <w:ind w:left="0" w:firstLine="640" w:firstLineChars="200"/>
        <w:rPr>
          <w:rFonts w:ascii="黑体" w:eastAsia="黑体" w:cs="黑体"/>
          <w:sz w:val="32"/>
          <w:szCs w:val="32"/>
        </w:rPr>
      </w:pPr>
      <w:r>
        <w:rPr>
          <w:rFonts w:hint="eastAsia" w:ascii="黑体" w:eastAsia="黑体" w:cs="黑体"/>
          <w:sz w:val="32"/>
          <w:szCs w:val="32"/>
        </w:rPr>
        <w:t>项目概况</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（一）设立背景及基本情况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黑水县石碉楼乡办公居住条件提升改善项目，支出1280600元。资金申报后在规定的时间内下发给我们单位，本单位也在规定时间内及时进行了支出。该项目均符合资金管理办法等相关规定。</w:t>
      </w:r>
    </w:p>
    <w:p>
      <w:pPr>
        <w:spacing w:line="580" w:lineRule="exact"/>
        <w:ind w:firstLine="642" w:firstLineChars="200"/>
        <w:rPr>
          <w:rFonts w:ascii="楷体_GB2312" w:eastAsia="楷体_GB2312"/>
          <w:b/>
          <w:sz w:val="32"/>
          <w:szCs w:val="32"/>
        </w:rPr>
      </w:pPr>
      <w:r>
        <w:rPr>
          <w:rFonts w:hint="eastAsia" w:ascii="楷体_GB2312" w:eastAsia="楷体_GB2312"/>
          <w:b/>
          <w:sz w:val="32"/>
          <w:szCs w:val="32"/>
          <w:lang w:val="zh-CN"/>
        </w:rPr>
        <w:t>（二）</w:t>
      </w:r>
      <w:r>
        <w:rPr>
          <w:rFonts w:ascii="楷体_GB2312" w:eastAsia="楷体_GB2312"/>
          <w:b/>
          <w:sz w:val="32"/>
          <w:szCs w:val="32"/>
        </w:rPr>
        <w:t>实施目的及支持方向</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为确保黑水县石碉楼乡办公居住条件提升改善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（三）</w:t>
      </w:r>
      <w:r>
        <w:rPr>
          <w:rFonts w:ascii="楷体_GB2312" w:eastAsia="楷体_GB2312"/>
          <w:b/>
          <w:sz w:val="32"/>
          <w:szCs w:val="32"/>
        </w:rPr>
        <w:t>预算安排及分配管理</w:t>
      </w:r>
    </w:p>
    <w:p>
      <w:pPr>
        <w:adjustRightInd w:val="0"/>
        <w:snapToGrid w:val="0"/>
        <w:spacing w:line="520" w:lineRule="exact"/>
        <w:ind w:left="420"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黑水县石碉楼乡办公居住条件提升改善项目</w:t>
      </w:r>
      <w:r>
        <w:rPr>
          <w:rFonts w:hint="eastAsia" w:ascii="仿宋_GB2312" w:eastAsia="仿宋_GB2312" w:cs="仿宋_GB2312"/>
          <w:sz w:val="32"/>
          <w:szCs w:val="32"/>
          <w:lang w:val="zh-CN"/>
        </w:rPr>
        <w:t>，重点</w:t>
      </w:r>
      <w:r>
        <w:rPr>
          <w:rFonts w:hint="eastAsia" w:ascii="仿宋_GB2312" w:eastAsia="仿宋_GB2312" w:cs="仿宋_GB2312"/>
          <w:sz w:val="32"/>
          <w:szCs w:val="32"/>
        </w:rPr>
        <w:t>用于石碉楼中心校维修改造工作。项目预算资金为：159万元，建设规模及内容：房屋防水改造2478.07平方米、外墙改造4959.73平方米、走道顶棚改造826.04平方米、室内公共卫生间改造74.54平方米、新建墙体132.32平方米、室外踏步改造321.63平方米、新建排水沟96.65米、大门改造等工程。</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（四）项目绩效目标设置</w:t>
      </w:r>
    </w:p>
    <w:p>
      <w:pPr>
        <w:adjustRightInd w:val="0"/>
        <w:snapToGrid w:val="0"/>
        <w:spacing w:line="520" w:lineRule="exact"/>
        <w:ind w:left="420" w:firstLine="640" w:firstLineChars="200"/>
        <w:rPr>
          <w:rFonts w:ascii="仿宋_GB2312" w:eastAsia="仿宋_GB2312"/>
          <w:sz w:val="32"/>
          <w:szCs w:val="32"/>
        </w:rPr>
      </w:pPr>
      <w:r>
        <w:rPr>
          <w:rFonts w:ascii="仿宋_GB2312" w:eastAsia="仿宋_GB2312"/>
          <w:sz w:val="32"/>
          <w:szCs w:val="32"/>
        </w:rPr>
        <w:t>此项经费</w:t>
      </w:r>
      <w:r>
        <w:rPr>
          <w:rFonts w:hint="eastAsia" w:ascii="仿宋_GB2312" w:eastAsia="仿宋_GB2312"/>
          <w:sz w:val="32"/>
          <w:szCs w:val="32"/>
        </w:rPr>
        <w:t>用于：</w:t>
      </w:r>
      <w:r>
        <w:rPr>
          <w:rFonts w:hint="eastAsia" w:ascii="仿宋_GB2312" w:eastAsia="仿宋_GB2312" w:cs="仿宋_GB2312"/>
          <w:sz w:val="32"/>
          <w:szCs w:val="32"/>
        </w:rPr>
        <w:t>房屋防水改造2478.07平方米、外墙改造4959.73平方米、走道顶棚改造826.04平方米、室内公共卫生间改造74.54平方米、新建墙体132.32平方米、室外踏步改造321.63平方米、新建排水沟96.65米、大门改造等工程。</w:t>
      </w:r>
    </w:p>
    <w:p>
      <w:pPr>
        <w:spacing w:line="580" w:lineRule="exact"/>
        <w:ind w:firstLine="640" w:firstLineChars="200"/>
        <w:rPr>
          <w:rFonts w:ascii="黑体" w:eastAsia="黑体" w:cs="黑体"/>
          <w:sz w:val="32"/>
          <w:szCs w:val="32"/>
        </w:rPr>
      </w:pPr>
      <w:r>
        <w:rPr>
          <w:rFonts w:hint="eastAsia" w:ascii="黑体" w:eastAsia="黑体" w:cs="黑体"/>
          <w:sz w:val="32"/>
          <w:szCs w:val="32"/>
        </w:rPr>
        <w:t>二、</w:t>
      </w:r>
      <w:r>
        <w:rPr>
          <w:rFonts w:ascii="黑体" w:eastAsia="黑体" w:cs="黑体"/>
          <w:sz w:val="32"/>
          <w:szCs w:val="32"/>
        </w:rPr>
        <w:t>评价实施</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（一）评价目的。</w:t>
      </w:r>
    </w:p>
    <w:p>
      <w:pPr>
        <w:spacing w:line="580" w:lineRule="exact"/>
        <w:ind w:firstLine="640" w:firstLineChars="20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sz w:val="32"/>
          <w:szCs w:val="32"/>
        </w:rPr>
        <w:t>黑水县财政局印发的《关于开展2026年县级部门绩效自评工作的通知》（黑财【2026】19号）的文件要求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（二）预设问题及评价重点。</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（三）评价选点。</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黑水县石碉楼乡办公居住条件提升改善项目</w:t>
      </w:r>
      <w:r>
        <w:rPr>
          <w:rFonts w:ascii="仿宋_GB2312" w:eastAsia="仿宋_GB2312" w:cs="仿宋_GB2312"/>
          <w:sz w:val="32"/>
          <w:szCs w:val="32"/>
        </w:rPr>
        <w:t>主要开展工作地点为黑水县石碉楼乡</w:t>
      </w:r>
      <w:r>
        <w:rPr>
          <w:rFonts w:hint="eastAsia" w:ascii="仿宋_GB2312" w:eastAsia="仿宋_GB2312" w:cs="仿宋_GB2312"/>
          <w:sz w:val="32"/>
          <w:szCs w:val="32"/>
        </w:rPr>
        <w:t>原中心校</w:t>
      </w:r>
      <w:r>
        <w:rPr>
          <w:rFonts w:ascii="仿宋_GB2312" w:eastAsia="仿宋_GB2312" w:cs="仿宋_GB2312"/>
          <w:sz w:val="32"/>
          <w:szCs w:val="32"/>
        </w:rPr>
        <w:t>，本次绩效评价主体为黑水县石碉楼乡人民政府，项目不涉及其他点位。</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（四）评价方法。</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481" w:firstLineChars="150"/>
        <w:rPr>
          <w:rFonts w:ascii="仿宋_GB2312" w:eastAsia="仿宋_GB2312" w:cs="仿宋_GB2312"/>
          <w:sz w:val="32"/>
          <w:szCs w:val="32"/>
        </w:rPr>
      </w:pPr>
      <w:r>
        <w:rPr>
          <w:rFonts w:hint="eastAsia" w:ascii="楷体_GB2312" w:eastAsia="楷体_GB2312"/>
          <w:b/>
          <w:sz w:val="32"/>
          <w:szCs w:val="32"/>
          <w:lang w:val="zh-CN"/>
        </w:rPr>
        <w:t>（五）评价组织。</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领导小组职责：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组织协调绩效评价工作，确保评价的顺利进行。</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办公室职责：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综合评价信息，提出评价结果</w:t>
      </w:r>
      <w:r>
        <w:rPr>
          <w:rFonts w:hint="eastAsia" w:ascii="仿宋_GB2312" w:eastAsia="仿宋_GB2312" w:cs="仿宋_GB2312"/>
          <w:sz w:val="32"/>
          <w:szCs w:val="32"/>
        </w:rPr>
        <w:t>等</w:t>
      </w:r>
      <w:r>
        <w:rPr>
          <w:rFonts w:ascii="仿宋_GB2312" w:eastAsia="仿宋_GB2312" w:cs="仿宋_GB2312"/>
          <w:sz w:val="32"/>
          <w:szCs w:val="32"/>
        </w:rPr>
        <w:t>次认定方案及奖惩方案等。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负责绩效评价的日常工作，包括宣传、沟通、协调等。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根据评价结果撰写绩效评价报告，并递交给领导小组。</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具体执行人员职责：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组长：审批绩效自评方案，监督、检查、核实绩效自评结果。</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640" w:firstLineChars="200"/>
        <w:rPr>
          <w:rFonts w:ascii="黑体" w:eastAsia="黑体"/>
          <w:sz w:val="32"/>
          <w:szCs w:val="32"/>
        </w:rPr>
      </w:pPr>
      <w:r>
        <w:rPr>
          <w:rFonts w:hint="eastAsia" w:ascii="黑体" w:eastAsia="黑体"/>
          <w:sz w:val="32"/>
          <w:szCs w:val="32"/>
        </w:rPr>
        <w:t>三、绩效分析</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1.项目决策。</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（1）决策程序</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项目设立、调整延续等方面符合资金管理基本规范和决策程序要求，该项指标得分6分。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（2）规划论证</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（3）资金投向</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2.项目管理。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（1）制度办法</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（2）分配管理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（3）绩效监管</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项目按</w:t>
      </w:r>
      <w:r>
        <w:rPr>
          <w:rFonts w:hint="default" w:ascii="仿宋_GB2312" w:eastAsia="仿宋_GB2312"/>
          <w:kern w:val="0"/>
          <w:sz w:val="32"/>
          <w:szCs w:val="32"/>
        </w:rPr>
        <w:t>中央、省委</w:t>
      </w:r>
      <w:r>
        <w:rPr>
          <w:rFonts w:hint="eastAsia" w:ascii="仿宋_GB2312" w:eastAsia="仿宋_GB2312"/>
          <w:kern w:val="0"/>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3.项目实施。</w:t>
      </w:r>
      <w:r>
        <w:rPr>
          <w:rFonts w:hint="eastAsia" w:ascii="仿宋_GB2312" w:eastAsia="仿宋_GB2312"/>
          <w:sz w:val="32"/>
          <w:szCs w:val="32"/>
        </w:rPr>
        <w:t>围绕、进行绩效分析。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（1）预算执行</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财政资金已按照要求拨付完毕，拨付率100%，该项指标得分=财政资金拨付率×100%×6得6分。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（2）资金使用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4.项目结果。</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（1）目标完成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项目完成预期目标，实施结果与绩效目标相匹配，该项指标得分6分。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（2）完成时效</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项目实际完成时间与计划完成时间相符，该项指标得分3分。</w:t>
      </w:r>
    </w:p>
    <w:p>
      <w:pPr>
        <w:spacing w:line="578" w:lineRule="exact"/>
        <w:ind w:firstLine="642" w:firstLineChars="200"/>
        <w:rPr>
          <w:rFonts w:ascii="仿宋_GB2312" w:eastAsia="仿宋_GB2312" w:cs="楷体_GB2312"/>
          <w:sz w:val="32"/>
          <w:szCs w:val="32"/>
        </w:rPr>
      </w:pPr>
      <w:r>
        <w:rPr>
          <w:rFonts w:hint="eastAsia" w:ascii="仿宋_GB2312" w:eastAsia="仿宋_GB2312"/>
          <w:b/>
          <w:sz w:val="32"/>
          <w:szCs w:val="32"/>
          <w:lang w:val="zh-CN"/>
        </w:rPr>
        <w:t>（二）</w:t>
      </w:r>
      <w:r>
        <w:rPr>
          <w:rFonts w:hint="eastAsia" w:ascii="仿宋_GB2312" w:eastAsia="仿宋_GB2312"/>
          <w:b/>
          <w:sz w:val="32"/>
          <w:szCs w:val="32"/>
        </w:rPr>
        <w:t>专用指标绩效分析，基础设施-建成项目。</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项目验收合格：项目经济社会功能实现预期；项目后续维护实现。搞项目指标得分26分。</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w:t>
      </w:r>
      <w:r>
        <w:rPr>
          <w:rFonts w:ascii="仿宋_GB2312" w:eastAsia="仿宋_GB2312"/>
          <w:kern w:val="0"/>
          <w:sz w:val="32"/>
          <w:szCs w:val="32"/>
        </w:rPr>
        <w:t>满意度高，成本控制合理性强，</w:t>
      </w:r>
      <w:r>
        <w:rPr>
          <w:rFonts w:hint="eastAsia" w:ascii="仿宋_GB2312" w:eastAsia="仿宋_GB2312"/>
          <w:kern w:val="0"/>
          <w:sz w:val="32"/>
          <w:szCs w:val="32"/>
        </w:rPr>
        <w:t>该项指标得分16分。</w:t>
      </w:r>
    </w:p>
    <w:p>
      <w:pPr>
        <w:spacing w:line="580" w:lineRule="exact"/>
        <w:ind w:firstLine="640" w:firstLineChars="200"/>
        <w:rPr>
          <w:rFonts w:ascii="黑体" w:eastAsia="黑体"/>
          <w:sz w:val="32"/>
          <w:szCs w:val="32"/>
        </w:rPr>
      </w:pPr>
      <w:r>
        <w:rPr>
          <w:rFonts w:hint="eastAsia" w:ascii="黑体" w:eastAsia="黑体"/>
          <w:sz w:val="32"/>
          <w:szCs w:val="32"/>
        </w:rPr>
        <w:t>四、评价结论</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我单位严格按照绩效自评工作要求，秉承客观公正、实事求是的原则开展了黑水县石碉楼乡办公居住条件提升改善项目支出绩效自评工作，经对各类指标进行评分和汇总分析，黑水县石碉楼乡办公居住条件提升改善项目支出绩效评价综合得分96分。评价结果显示，黑水县石碉楼乡办公居住条件提升改善项目按照相关规定进行使用和管理，程序较为规范，项目支出使用效益达到预期。</w:t>
      </w:r>
    </w:p>
    <w:p>
      <w:pPr>
        <w:spacing w:line="580" w:lineRule="exact"/>
        <w:ind w:firstLine="640" w:firstLineChars="200"/>
        <w:rPr>
          <w:rFonts w:ascii="黑体" w:eastAsia="黑体"/>
          <w:sz w:val="32"/>
          <w:szCs w:val="32"/>
        </w:rPr>
      </w:pPr>
      <w:r>
        <w:rPr>
          <w:rFonts w:hint="eastAsia" w:ascii="黑体" w:eastAsia="黑体"/>
          <w:sz w:val="32"/>
          <w:szCs w:val="32"/>
        </w:rPr>
        <w:t>五、存在主要问题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1.</w:t>
      </w:r>
      <w:r>
        <w:rPr>
          <w:rFonts w:hint="eastAsia" w:ascii="仿宋_GB2312" w:eastAsia="仿宋_GB2312"/>
          <w:kern w:val="0"/>
          <w:sz w:val="32"/>
          <w:szCs w:val="32"/>
        </w:rPr>
        <w:t>项目管理相关制度待完善</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14"/>
        <w:rPr>
          <w:rFonts w:ascii="仿宋_GB2312"/>
        </w:rPr>
      </w:pPr>
      <w:r>
        <w:rPr>
          <w:rFonts w:ascii="仿宋_GB2312"/>
          <w:kern w:val="0"/>
        </w:rPr>
        <w:t>2.</w:t>
      </w:r>
      <w:r>
        <w:rPr>
          <w:rFonts w:hint="eastAsia" w:ascii="仿宋_GB2312"/>
          <w:kern w:val="0"/>
        </w:rPr>
        <w:t>支出进度不达标，因天气原因需要停工，所以前期支付进度不达标。</w:t>
      </w:r>
    </w:p>
    <w:p>
      <w:pPr>
        <w:spacing w:line="580" w:lineRule="exact"/>
        <w:ind w:firstLine="640" w:firstLineChars="200"/>
        <w:rPr>
          <w:rFonts w:ascii="黑体" w:eastAsia="黑体"/>
          <w:sz w:val="32"/>
          <w:szCs w:val="32"/>
          <w:lang w:val="zh-CN"/>
        </w:rPr>
      </w:pPr>
      <w:r>
        <w:rPr>
          <w:rFonts w:hint="eastAsia" w:ascii="黑体" w:eastAsia="黑体"/>
          <w:sz w:val="32"/>
          <w:szCs w:val="32"/>
          <w:lang w:val="zh-CN"/>
        </w:rPr>
        <w:t>六、改进建议</w:t>
      </w:r>
    </w:p>
    <w:p>
      <w:pPr>
        <w:adjustRightInd w:val="0"/>
        <w:snapToGrid w:val="0"/>
        <w:spacing w:line="578" w:lineRule="exact"/>
        <w:ind w:firstLine="640" w:firstLineChars="200"/>
        <w:rPr>
          <w:rFonts w:ascii="仿宋_GB2312" w:eastAsia="仿宋_GB2312"/>
          <w:kern w:val="0"/>
          <w:sz w:val="32"/>
          <w:szCs w:val="32"/>
        </w:rPr>
      </w:pPr>
      <w:bookmarkStart w:id="0" w:name="_Hlk110546638"/>
      <w:r>
        <w:rPr>
          <w:rFonts w:hint="eastAsia" w:ascii="仿宋_GB2312" w:eastAsia="仿宋_GB2312"/>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附表：1.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78"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adjustRightInd w:val="0"/>
        <w:snapToGrid w:val="0"/>
        <w:spacing w:line="578" w:lineRule="exact"/>
        <w:ind w:firstLine="640" w:firstLineChars="20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640" w:firstLineChars="200"/>
        <w:jc w:val="right"/>
      </w:pPr>
      <w:r>
        <w:rPr>
          <w:rFonts w:hint="eastAsia" w:ascii="仿宋_GB2312" w:eastAsia="仿宋_GB2312"/>
          <w:kern w:val="0"/>
          <w:sz w:val="32"/>
          <w:szCs w:val="32"/>
        </w:rPr>
        <w:t>2026</w:t>
      </w:r>
      <w:r>
        <w:rPr>
          <w:rFonts w:ascii="仿宋_GB2312" w:eastAsia="仿宋_GB2312"/>
          <w:kern w:val="0"/>
          <w:sz w:val="32"/>
          <w:szCs w:val="32"/>
        </w:rPr>
        <w:t>年</w:t>
      </w:r>
      <w:r>
        <w:rPr>
          <w:rFonts w:hint="eastAsia" w:ascii="仿宋_GB2312" w:eastAsia="仿宋_GB2312"/>
          <w:kern w:val="0"/>
          <w:sz w:val="32"/>
          <w:szCs w:val="32"/>
        </w:rPr>
        <w:t>3</w:t>
      </w:r>
      <w:r>
        <w:rPr>
          <w:rFonts w:ascii="仿宋_GB2312" w:eastAsia="仿宋_GB2312"/>
          <w:kern w:val="0"/>
          <w:sz w:val="32"/>
          <w:szCs w:val="32"/>
        </w:rPr>
        <w:t>月</w:t>
      </w:r>
      <w:r>
        <w:rPr>
          <w:rFonts w:hint="eastAsia" w:ascii="仿宋_GB2312" w:eastAsia="仿宋_GB2312"/>
          <w:kern w:val="0"/>
          <w:sz w:val="32"/>
          <w:szCs w:val="32"/>
        </w:rPr>
        <w:t>27</w:t>
      </w:r>
      <w:r>
        <w:rPr>
          <w:rFonts w:ascii="仿宋_GB2312" w:eastAsia="仿宋_GB2312"/>
          <w:kern w:val="0"/>
          <w:sz w:val="32"/>
          <w:szCs w:val="32"/>
        </w:rPr>
        <w:t>日</w:t>
      </w:r>
    </w:p>
    <w:p>
      <w:pPr>
        <w:spacing w:line="576" w:lineRule="exact"/>
        <w:rPr>
          <w:rFonts w:ascii="仿宋_GB2312" w:eastAsia="仿宋_GB2312" w:cs="仿宋_GB2312"/>
          <w:bCs/>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
      <w:pPr>
        <w:snapToGrid w:val="0"/>
        <w:spacing w:line="578" w:lineRule="exact"/>
        <w:rPr>
          <w:rFonts w:eastAsia="黑体"/>
          <w:kern w:val="0"/>
          <w:sz w:val="32"/>
          <w:szCs w:val="32"/>
          <w:shd w:val="clear" w:color="auto" w:fill="FFFFFF"/>
        </w:rPr>
      </w:pPr>
      <w:r>
        <w:rPr>
          <w:rFonts w:hint="eastAsia"/>
          <w:color w:val="000000"/>
          <w:kern w:val="0"/>
          <w:shd w:val="clear" w:color="auto" w:fill="FFFFFF"/>
          <w:lang w:val="zh-CN"/>
        </w:rPr>
        <w:br w:type="page"/>
      </w: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left w:val="single" w:color="000000" w:sz="4" w:space="0"/>
              <w:bottom w:val="single" w:color="000000" w:sz="4" w:space="0"/>
              <w:right w:val="single" w:color="000000" w:sz="4" w:space="0"/>
            </w:tcBorders>
            <w:noWrap/>
            <w:vAlign w:val="center"/>
          </w:tcPr>
          <w:p/>
        </w:tc>
        <w:tc>
          <w:tcPr>
            <w:tcW w:w="468" w:type="dxa"/>
            <w:vMerge w:val="continue"/>
            <w:tcBorders>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通用指标</w:t>
            </w:r>
            <w:r>
              <w:rPr>
                <w:rFonts w:hint="eastAsia" w:ascii="宋体" w:cs="宋体"/>
                <w:b/>
                <w:color w:val="000000"/>
                <w:kern w:val="0"/>
                <w:sz w:val="24"/>
              </w:rPr>
              <w:br w:type="textWrapping"/>
            </w:r>
            <w:r>
              <w:rPr>
                <w:rFonts w:hint="eastAsia" w:asci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项目规划论证是否符合</w:t>
            </w:r>
            <w:r>
              <w:rPr>
                <w:rFonts w:hint="default" w:ascii="宋体" w:cs="宋体"/>
                <w:color w:val="000000"/>
                <w:kern w:val="0"/>
                <w:sz w:val="24"/>
              </w:rPr>
              <w:t>中央、省委</w:t>
            </w:r>
            <w:r>
              <w:rPr>
                <w:rFonts w:hint="eastAsia" w:asci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项目管理</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项目实施</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项目结果</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产业发展</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民生保障</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基础</w:t>
            </w:r>
            <w:r>
              <w:rPr>
                <w:rFonts w:hint="eastAsia" w:ascii="宋体" w:cs="宋体"/>
                <w:b/>
                <w:color w:val="000000"/>
                <w:kern w:val="0"/>
                <w:sz w:val="24"/>
              </w:rPr>
              <w:br w:type="textWrapping"/>
            </w:r>
            <w:r>
              <w:rPr>
                <w:rFonts w:hint="eastAsia" w:ascii="宋体" w:cs="宋体"/>
                <w:b/>
                <w:color w:val="000000"/>
                <w:kern w:val="0"/>
                <w:sz w:val="24"/>
              </w:rPr>
              <w:t>设施</w:t>
            </w:r>
            <w:r>
              <w:rPr>
                <w:rFonts w:hint="eastAsia" w:ascii="宋体" w:cs="宋体"/>
                <w:b/>
                <w:color w:val="000000"/>
                <w:kern w:val="0"/>
                <w:sz w:val="24"/>
              </w:rPr>
              <w:br w:type="textWrapping"/>
            </w:r>
            <w:r>
              <w:rPr>
                <w:rFonts w:hint="eastAsia" w:asci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在建</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建成</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行政运转</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个性指标</w:t>
            </w:r>
            <w:r>
              <w:rPr>
                <w:rFonts w:hint="eastAsia" w:ascii="宋体" w:cs="宋体"/>
                <w:b/>
                <w:color w:val="000000"/>
                <w:kern w:val="0"/>
                <w:sz w:val="24"/>
              </w:rPr>
              <w:br w:type="textWrapping"/>
            </w:r>
            <w:r>
              <w:rPr>
                <w:rFonts w:hint="eastAsia" w:asci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对日常工作开展满意情况</w:t>
            </w:r>
          </w:p>
          <w:p>
            <w:pPr>
              <w:widowControl/>
              <w:spacing w:line="240" w:lineRule="exact"/>
              <w:jc w:val="left"/>
              <w:textAlignment w:val="center"/>
            </w:pPr>
            <w:r>
              <w:rPr>
                <w:rFonts w:hint="eastAsia" w:asci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r>
              <w:rPr>
                <w:rFonts w:hint="eastAsia" w:asci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w:t>
            </w:r>
            <w:r>
              <w:rPr>
                <w:rFonts w:hint="eastAsia" w:ascii="宋体" w:cs="宋体"/>
                <w:color w:val="000000"/>
                <w:kern w:val="0"/>
                <w:sz w:val="24"/>
              </w:rPr>
              <w:br w:type="textWrapping"/>
            </w:r>
            <w:r>
              <w:rPr>
                <w:rFonts w:hint="eastAsia" w:asci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eastAsia="楷体_GB2312" w:cs="楷体_GB2312"/>
          <w:sz w:val="28"/>
          <w:szCs w:val="28"/>
        </w:rPr>
      </w:pPr>
      <w:r>
        <w:rPr>
          <w:rFonts w:eastAsia="方正小标宋_GBK"/>
          <w:sz w:val="40"/>
          <w:szCs w:val="40"/>
        </w:rPr>
        <w:t>专项预算绩效自评实地踏勘点位清单表</w:t>
      </w:r>
    </w:p>
    <w:tbl>
      <w:tblPr>
        <w:tblStyle w:val="10"/>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snapToGrid w:val="0"/>
        <w:spacing w:line="578" w:lineRule="exact"/>
        <w:rPr>
          <w:rFonts w:eastAsia="黑体"/>
          <w:kern w:val="0"/>
          <w:sz w:val="32"/>
          <w:szCs w:val="32"/>
          <w:shd w:val="clear" w:color="auto" w:fill="FFFFFF"/>
          <w:lang w:val="zh-CN"/>
        </w:rPr>
      </w:pPr>
    </w:p>
    <w:p>
      <w:pPr>
        <w:snapToGrid w:val="0"/>
        <w:spacing w:line="578" w:lineRule="exact"/>
        <w:rPr>
          <w:rFonts w:eastAsia="黑体"/>
          <w:kern w:val="0"/>
          <w:sz w:val="32"/>
          <w:szCs w:val="32"/>
          <w:shd w:val="clear" w:color="auto" w:fill="FFFFFF"/>
          <w:lang w:val="zh-CN"/>
        </w:rPr>
      </w:pPr>
    </w:p>
    <w:p>
      <w:pPr>
        <w:spacing w:line="400" w:lineRule="exact"/>
        <w:ind w:firstLine="630" w:firstLineChars="300"/>
        <w:jc w:val="left"/>
        <w:rPr>
          <w:rFonts w:ascii="宋体" w:cs="宋体"/>
          <w:szCs w:val="21"/>
        </w:rPr>
      </w:pPr>
    </w:p>
    <w:p>
      <w:pPr>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hint="eastAsia" w:eastAsia="黑体"/>
          <w:kern w:val="0"/>
          <w:sz w:val="32"/>
          <w:szCs w:val="32"/>
          <w:shd w:val="clear" w:color="auto" w:fill="FFFFFF"/>
        </w:rPr>
        <w:t>3</w:t>
      </w:r>
    </w:p>
    <w:tbl>
      <w:tblPr>
        <w:tblStyle w:val="10"/>
        <w:tblW w:w="103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1"/>
        <w:gridCol w:w="9"/>
        <w:gridCol w:w="1097"/>
        <w:gridCol w:w="25"/>
        <w:gridCol w:w="1154"/>
        <w:gridCol w:w="1362"/>
        <w:gridCol w:w="1173"/>
        <w:gridCol w:w="28"/>
        <w:gridCol w:w="943"/>
        <w:gridCol w:w="1061"/>
        <w:gridCol w:w="57"/>
        <w:gridCol w:w="881"/>
        <w:gridCol w:w="70"/>
        <w:gridCol w:w="1771"/>
        <w:gridCol w:w="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10379" w:type="dxa"/>
            <w:gridSpan w:val="15"/>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4298"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黑水县石碉楼乡办公居住条件提升改善项目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4298"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4298"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eastAsia="仿宋_GB2312"/>
                <w:szCs w:val="28"/>
              </w:rPr>
            </w:pPr>
            <w:r>
              <w:rPr>
                <w:rFonts w:hint="eastAsia" w:ascii="宋体" w:cs="宋体"/>
                <w:color w:val="000000"/>
                <w:kern w:val="0"/>
                <w:sz w:val="24"/>
              </w:rPr>
              <w:t>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0" w:hRule="atLeast"/>
          <w:jc w:val="center"/>
        </w:trPr>
        <w:tc>
          <w:tcPr>
            <w:tcW w:w="660"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0"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20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6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5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69"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84"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立项依据</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159万元，建设规模及内容：房屋防水改造2478.07平方米、外墙改造4959.73平方米、走道顶棚改造826.04平方米、室内公共卫生间改造74.54平方米、新建墙体132.32平方米、室外踏步改造321.63平方米、新建排水沟96.65米、大门改造等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该项目资金主要用于石碉楼乡办公居住条件提升改善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sz w:val="24"/>
              </w:rPr>
            </w:pPr>
            <w:r>
              <w:rPr>
                <w:rFonts w:ascii="宋体" w:cs="宋体"/>
                <w:kern w:val="0"/>
                <w:sz w:val="24"/>
              </w:rPr>
              <w:t>项目起止年限</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kern w:val="0"/>
                <w:sz w:val="24"/>
              </w:rPr>
            </w:pPr>
            <w:r>
              <w:rPr>
                <w:rFonts w:hint="eastAsia"/>
                <w:kern w:val="0"/>
                <w:sz w:val="24"/>
              </w:rPr>
              <w:t>2024年12月至2025年10月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1757" w:type="dxa"/>
            <w:gridSpan w:val="3"/>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4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1757" w:type="dxa"/>
            <w:gridSpan w:val="3"/>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4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1757" w:type="dxa"/>
            <w:gridSpan w:val="3"/>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4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719"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28"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9719"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159万元，建设规模及内容：房屋防水改造2478.07平方米、外墙改造4959.73平方米、走道顶棚改造826.04平方米、室内公共卫生间改造74.54平方米、新建墙体132.32平方米、室外踏步改造321.63平方米、新建排水沟96.65米、大门改造等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289" w:hRule="atLeast"/>
          <w:jc w:val="center"/>
        </w:trPr>
        <w:tc>
          <w:tcPr>
            <w:tcW w:w="651" w:type="dxa"/>
            <w:vMerge w:val="restart"/>
            <w:tcBorders>
              <w:top w:val="single" w:color="000000" w:sz="4" w:space="0"/>
              <w:left w:val="single" w:color="000000" w:sz="4" w:space="0"/>
              <w:right w:val="nil"/>
              <w:tl2br w:val="nil"/>
              <w:tr2bl w:val="nil"/>
            </w:tcBorders>
            <w:noWrap/>
            <w:vAlign w:val="center"/>
          </w:tcPr>
          <w:p>
            <w:pPr>
              <w:jc w:val="center"/>
              <w:textAlignment w:val="center"/>
              <w:rPr>
                <w:rFonts w:ascii="宋体" w:cs="宋体"/>
                <w:color w:val="000000"/>
                <w:sz w:val="24"/>
              </w:rPr>
            </w:pPr>
            <w:r>
              <w:rPr>
                <w:rFonts w:ascii="宋体" w:cs="宋体"/>
                <w:color w:val="000000"/>
                <w:kern w:val="0"/>
                <w:sz w:val="18"/>
                <w:szCs w:val="18"/>
              </w:rPr>
              <w:t>绩效 指标</w:t>
            </w:r>
          </w:p>
          <w:p>
            <w:pPr>
              <w:jc w:val="center"/>
              <w:textAlignment w:val="center"/>
              <w:rPr>
                <w:rFonts w:ascii="宋体" w:cs="宋体"/>
                <w:color w:val="000000"/>
                <w:kern w:val="0"/>
                <w:sz w:val="18"/>
                <w:szCs w:val="18"/>
              </w:rPr>
            </w:p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54" w:type="dxa"/>
            <w:tcBorders>
              <w:top w:val="single" w:color="000000" w:sz="4" w:space="0"/>
              <w:left w:val="single" w:color="000000" w:sz="4" w:space="0"/>
              <w:bottom w:val="single" w:color="auto"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995"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p>
            <w:pPr>
              <w:widowControl/>
              <w:jc w:val="center"/>
              <w:textAlignment w:val="center"/>
              <w:rPr>
                <w:rFonts w:ascii="宋体" w:cs="宋体"/>
                <w:color w:val="000000"/>
                <w:kern w:val="0"/>
                <w:sz w:val="18"/>
                <w:szCs w:val="18"/>
              </w:rPr>
            </w:pPr>
          </w:p>
        </w:tc>
        <w:tc>
          <w:tcPr>
            <w:tcW w:w="1362" w:type="dxa"/>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shd w:val="clear" w:color="auto" w:fill="FAFAFA"/>
              <w:jc w:val="left"/>
              <w:rPr>
                <w:rFonts w:ascii="Segoe UI" w:hAnsi="Segoe UI" w:cs="Segoe UI"/>
                <w:color w:val="000000"/>
                <w:kern w:val="0"/>
                <w:sz w:val="20"/>
                <w:szCs w:val="20"/>
              </w:rPr>
            </w:pPr>
            <w:r>
              <w:rPr>
                <w:rFonts w:ascii="Segoe UI" w:hAnsi="Segoe UI" w:cs="Segoe UI"/>
                <w:color w:val="000000"/>
                <w:kern w:val="0"/>
                <w:sz w:val="20"/>
                <w:szCs w:val="20"/>
              </w:rPr>
              <w:t>改造（屋面防水、外墙、顶棚、室外踏步）</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8793.31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8793.31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新建（墙体、排水沟）</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109.97</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时效指标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建设工期</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6</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月</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质量指标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项目验收合格率</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100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925"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可持续影响指标</w:t>
            </w:r>
          </w:p>
          <w:p>
            <w:pPr>
              <w:widowControl/>
              <w:jc w:val="center"/>
              <w:textAlignment w:val="center"/>
              <w:rPr>
                <w:rFonts w:hint="eastAsia" w:ascii="宋体" w:cs="宋体"/>
                <w:color w:val="000000"/>
                <w:kern w:val="0"/>
                <w:sz w:val="18"/>
                <w:szCs w:val="18"/>
              </w:rPr>
            </w:pP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使用年限不低于50年</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年</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1237"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社会效益指标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夯实石碉楼乡基层治理，能更好</w:t>
            </w:r>
            <w:r>
              <w:rPr>
                <w:rFonts w:hint="default" w:ascii="宋体" w:cs="宋体"/>
                <w:color w:val="000000"/>
                <w:kern w:val="0"/>
                <w:sz w:val="18"/>
                <w:szCs w:val="18"/>
              </w:rPr>
              <w:t>地</w:t>
            </w:r>
            <w:bookmarkStart w:id="1" w:name="_GoBack"/>
            <w:bookmarkEnd w:id="1"/>
            <w:r>
              <w:rPr>
                <w:rFonts w:hint="eastAsia" w:ascii="宋体" w:cs="宋体"/>
                <w:color w:val="000000"/>
                <w:kern w:val="0"/>
                <w:sz w:val="18"/>
                <w:szCs w:val="18"/>
              </w:rPr>
              <w:t>为当地群众服务</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生态效益指标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提高石碉楼乡生活环境质量</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满意度指标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服务对象满意度指标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使区域群众满意度达95以上</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成本指标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经济成本指标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项目总投资259万元</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259</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万元</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259</w:t>
            </w:r>
          </w:p>
        </w:tc>
      </w:tr>
    </w:tbl>
    <w:p>
      <w:pPr>
        <w:spacing w:line="400" w:lineRule="exact"/>
        <w:ind w:firstLine="630" w:firstLineChars="300"/>
        <w:jc w:val="left"/>
        <w:rPr>
          <w:rFonts w:ascii="宋体" w:cs="宋体"/>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w:altName w:val="DejaVu Sans"/>
    <w:panose1 w:val="020B0502040204020203"/>
    <w:charset w:val="00"/>
    <w:family w:val="swiss"/>
    <w:pitch w:val="default"/>
    <w:sig w:usb0="00000000" w:usb1="00000000" w:usb2="00000029" w:usb3="00000000" w:csb0="000001DF"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61EF03E3"/>
    <w:rsid w:val="757B064D"/>
    <w:rsid w:val="7F3F14CD"/>
    <w:rsid w:val="F2DD4030"/>
    <w:rsid w:val="FD724D59"/>
    <w:rsid w:val="FFFE74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next w:val="1"/>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6">
    <w:name w:val="footer"/>
    <w:basedOn w:val="1"/>
    <w:qFormat/>
    <w:uiPriority w:val="0"/>
    <w:pPr>
      <w:tabs>
        <w:tab w:val="center" w:pos="4153"/>
        <w:tab w:val="right" w:pos="8306"/>
      </w:tabs>
      <w:snapToGrid w:val="0"/>
      <w:jc w:val="left"/>
    </w:pPr>
    <w:rPr>
      <w:rFonts w:ascii="Calibri" w:hAnsi="Calibri" w:cs="Arial"/>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Normal (Web)"/>
    <w:qFormat/>
    <w:uiPriority w:val="0"/>
    <w:pPr>
      <w:widowControl w:val="0"/>
      <w:spacing w:before="100" w:beforeAutospacing="1" w:after="100" w:afterAutospacing="1"/>
    </w:pPr>
    <w:rPr>
      <w:rFonts w:ascii="Times New Roman" w:hAnsi="Times New Roman" w:eastAsia="宋体" w:cs="Times New Roman"/>
      <w:sz w:val="24"/>
      <w:szCs w:val="20"/>
      <w:lang w:val="en-US" w:eastAsia="zh-CN" w:bidi="ar-SA"/>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character" w:styleId="12">
    <w:name w:val="Strong"/>
    <w:basedOn w:val="11"/>
    <w:qFormat/>
    <w:uiPriority w:val="0"/>
    <w:rPr>
      <w:b/>
    </w:rPr>
  </w:style>
  <w:style w:type="paragraph" w:styleId="13">
    <w:name w:val="List Paragraph"/>
    <w:basedOn w:val="1"/>
    <w:qFormat/>
    <w:uiPriority w:val="0"/>
    <w:pPr>
      <w:ind w:firstLine="200" w:firstLineChars="200"/>
    </w:pPr>
  </w:style>
  <w:style w:type="paragraph" w:customStyle="1" w:styleId="14">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15">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5113</Words>
  <Characters>5424</Characters>
  <Lines>616</Lines>
  <Paragraphs>353</Paragraphs>
  <TotalTime>29</TotalTime>
  <ScaleCrop>false</ScaleCrop>
  <LinksUpToDate>false</LinksUpToDate>
  <CharactersWithSpaces>5499</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2025-05-20T09:38:00Z</dcterms:created>
  <dc:creator>Sky123.Org</dc:creator>
  <cp:lastModifiedBy>user</cp:lastModifiedBy>
  <dcterms:modified xsi:type="dcterms:W3CDTF">2026-09-22T10:36:29Z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872EF4D18179254CC3F5946AA19C4790</vt:lpwstr>
  </property>
  <property fmtid="{D5CDD505-2E9C-101B-9397-08002B2CF9AE}" pid="4" name="KSOTemplateDocerSaveRecord">
    <vt:lpwstr>eyJoZGlkIjoiZTQ0NjgxNGZmMTFhZmQ2Yzk2ZTMyOTFmMjg3MThkM2YiLCJ1c2VySWQiOiIyMzYzNzMyOTYifQ==</vt:lpwstr>
  </property>
</Properties>
</file>