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80" w:lineRule="atLeast"/>
        <w:jc w:val="distribute"/>
        <w:rPr>
          <w:rFonts w:hint="eastAsia" w:ascii="宋体" w:cs="宋体"/>
          <w:b/>
          <w:bCs/>
          <w:color w:val="FF0000"/>
          <w:w w:val="60"/>
          <w:sz w:val="112"/>
          <w:szCs w:val="112"/>
        </w:rPr>
      </w:pPr>
      <w:bookmarkStart w:id="1" w:name="_GoBack"/>
    </w:p>
    <w:p>
      <w:pPr>
        <w:adjustRightInd w:val="0"/>
        <w:snapToGrid w:val="0"/>
        <w:spacing w:line="480" w:lineRule="atLeast"/>
        <w:jc w:val="distribute"/>
        <w:rPr>
          <w:rFonts w:ascii="宋体" w:cs="宋体"/>
          <w:b/>
          <w:bCs/>
          <w:color w:val="FF0000"/>
          <w:w w:val="60"/>
          <w:sz w:val="112"/>
          <w:szCs w:val="112"/>
        </w:rPr>
      </w:pPr>
      <w:r>
        <w:rPr>
          <w:rFonts w:hint="eastAsia" w:ascii="宋体" w:cs="宋体"/>
          <w:b/>
          <w:bCs/>
          <w:color w:val="FF0000"/>
          <w:w w:val="60"/>
          <w:sz w:val="112"/>
          <w:szCs w:val="112"/>
        </w:rPr>
        <w:t>黑水县石碉楼乡人民政府</w:t>
      </w:r>
    </w:p>
    <w:p>
      <w:pPr>
        <w:adjustRightInd w:val="0"/>
        <w:snapToGrid w:val="0"/>
        <w:spacing w:line="560" w:lineRule="exact"/>
        <w:ind w:firstLine="404" w:firstLineChars="200"/>
        <w:rPr>
          <w:rFonts w:ascii="仿宋_GB2312" w:eastAsia="仿宋_GB2312" w:cs="仿宋_GB2312"/>
          <w:sz w:val="32"/>
          <w:szCs w:val="32"/>
        </w:rPr>
      </w:pPr>
      <w:r>
        <mc:AlternateContent>
          <mc:Choice Requires="wps">
            <w:drawing>
              <wp:anchor distT="0" distB="0" distL="113665" distR="113665" simplePos="0" relativeHeight="251659264" behindDoc="0" locked="0" layoutInCell="1" allowOverlap="1">
                <wp:simplePos x="0" y="0"/>
                <wp:positionH relativeFrom="column">
                  <wp:posOffset>28575</wp:posOffset>
                </wp:positionH>
                <wp:positionV relativeFrom="paragraph">
                  <wp:posOffset>349250</wp:posOffset>
                </wp:positionV>
                <wp:extent cx="5464810" cy="635"/>
                <wp:effectExtent l="0" t="0" r="0" b="0"/>
                <wp:wrapNone/>
                <wp:docPr id="1" name="直线 2 2"/>
                <wp:cNvGraphicFramePr/>
                <a:graphic xmlns:a="http://schemas.openxmlformats.org/drawingml/2006/main">
                  <a:graphicData uri="http://schemas.microsoft.com/office/word/2010/wordprocessingShape">
                    <wps:wsp>
                      <wps:cNvCnPr/>
                      <wps:spPr>
                        <a:xfrm>
                          <a:off x="0" y="0"/>
                          <a:ext cx="5464810" cy="634"/>
                        </a:xfrm>
                        <a:prstGeom prst="line">
                          <a:avLst/>
                        </a:prstGeom>
                        <a:noFill/>
                        <a:ln w="28575" cap="flat" cmpd="sng">
                          <a:solidFill>
                            <a:srgbClr val="FF0000"/>
                          </a:solidFill>
                          <a:prstDash val="solid"/>
                          <a:miter/>
                        </a:ln>
                      </wps:spPr>
                      <wps:bodyPr vert="horz" wrap="square" lIns="91440" tIns="45720" rIns="91440" bIns="45720" anchor="t" anchorCtr="0" upright="1">
                        <a:noAutofit/>
                      </wps:bodyPr>
                    </wps:wsp>
                  </a:graphicData>
                </a:graphic>
              </wp:anchor>
            </w:drawing>
          </mc:Choice>
          <mc:Fallback>
            <w:pict>
              <v:line id="直线 2 2" o:spid="_x0000_s1026" o:spt="20" style="position:absolute;left:0pt;margin-left:2.25pt;margin-top:27.5pt;height:0.05pt;width:430.3pt;z-index:251659264;mso-width-relative:page;mso-height-relative:page;" filled="f" stroked="t" coordsize="21600,21600" o:gfxdata="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Mcj0uzYAAAABwEAAA8AAAAAAAAAAQAgAAAAOAAAAGRycy9kb3ducmV2LnhtbFBL&#10;AQIUABQAAAAIAIdO4kB3wV6XGQIAACIEAAAOAAAAAAAAAAEAIAAAAD0BAABkcnMvZTJvRG9jLnht&#10;bFBLBQYAAAAABgAGAFkBAADIBQAAAAA=&#10;">
                <v:fill on="f" focussize="0,0"/>
                <v:stroke weight="2.25pt" color="#FF0000" joinstyle="miter"/>
                <v:imagedata o:title=""/>
                <o:lock v:ext="edit" aspectratio="f"/>
              </v:line>
            </w:pict>
          </mc:Fallback>
        </mc:AlternateContent>
      </w:r>
      <w:r>
        <w:rPr>
          <w:rFonts w:hint="eastAsia" w:ascii="仿宋_GB2312" w:eastAsia="仿宋_GB2312" w:cs="仿宋_GB2312"/>
          <w:sz w:val="32"/>
          <w:szCs w:val="32"/>
        </w:rPr>
        <w:t>黑石府〔</w:t>
      </w:r>
      <w:r>
        <w:rPr>
          <w:rFonts w:ascii="仿宋_GB2312" w:eastAsia="仿宋_GB2312" w:cs="仿宋_GB2312"/>
          <w:sz w:val="32"/>
          <w:szCs w:val="32"/>
        </w:rPr>
        <w:t>20</w:t>
      </w:r>
      <w:r>
        <w:rPr>
          <w:rFonts w:hint="eastAsia" w:ascii="仿宋_GB2312" w:eastAsia="仿宋_GB2312" w:cs="仿宋_GB2312"/>
          <w:sz w:val="32"/>
          <w:szCs w:val="32"/>
        </w:rPr>
        <w:t>2</w:t>
      </w:r>
      <w:r>
        <w:rPr>
          <w:rFonts w:hint="eastAsia" w:ascii="仿宋_GB2312" w:eastAsia="仿宋_GB2312" w:cs="仿宋_GB2312"/>
          <w:sz w:val="32"/>
          <w:szCs w:val="32"/>
          <w:lang w:val="en-US" w:eastAsia="zh-CN"/>
        </w:rPr>
        <w:t>6</w:t>
      </w:r>
      <w:r>
        <w:rPr>
          <w:rFonts w:hint="eastAsia" w:ascii="仿宋_GB2312" w:eastAsia="仿宋_GB2312" w:cs="仿宋_GB2312"/>
          <w:sz w:val="32"/>
          <w:szCs w:val="32"/>
        </w:rPr>
        <w:t>〕号</w:t>
      </w:r>
      <w:r>
        <w:rPr>
          <w:rFonts w:hint="eastAsia" w:ascii="仿宋_GB2312" w:eastAsia="仿宋_GB2312" w:cs="仿宋_GB2312"/>
          <w:sz w:val="32"/>
          <w:szCs w:val="32"/>
          <w:lang w:val="en-US" w:eastAsia="zh-CN"/>
        </w:rPr>
        <w:t>11</w:t>
      </w:r>
      <w:r>
        <w:rPr>
          <w:rFonts w:ascii="仿宋_GB2312" w:eastAsia="仿宋_GB2312" w:cs="仿宋_GB2312"/>
          <w:sz w:val="32"/>
          <w:szCs w:val="32"/>
        </w:rPr>
        <w:t xml:space="preserve">号       </w:t>
      </w:r>
      <w:r>
        <w:rPr>
          <w:rFonts w:hint="eastAsia" w:ascii="仿宋_GB2312" w:eastAsia="仿宋_GB2312" w:cs="仿宋_GB2312"/>
          <w:sz w:val="32"/>
          <w:szCs w:val="32"/>
        </w:rPr>
        <w:t>签发人：</w:t>
      </w:r>
      <w:r>
        <w:rPr>
          <w:rFonts w:hint="eastAsia" w:ascii="楷体" w:eastAsia="楷体" w:cs="楷体"/>
          <w:sz w:val="32"/>
          <w:szCs w:val="32"/>
        </w:rPr>
        <w:t>银忠扎西</w:t>
      </w:r>
    </w:p>
    <w:p>
      <w:pPr>
        <w:spacing w:line="580" w:lineRule="exact"/>
        <w:jc w:val="center"/>
        <w:rPr>
          <w:rFonts w:ascii="方正小标宋简体" w:eastAsia="方正小标宋简体" w:cs="方正小标宋简体"/>
          <w:kern w:val="0"/>
          <w:sz w:val="44"/>
          <w:szCs w:val="44"/>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ascii="方正小标宋简体" w:eastAsia="方正小标宋简体" w:cs="方正小标宋简体"/>
          <w:kern w:val="0"/>
          <w:sz w:val="40"/>
          <w:szCs w:val="40"/>
        </w:rPr>
      </w:pPr>
      <w:r>
        <w:rPr>
          <w:rFonts w:hint="eastAsia" w:ascii="方正小标宋简体" w:eastAsia="方正小标宋简体" w:cs="方正小标宋简体"/>
          <w:kern w:val="0"/>
          <w:sz w:val="40"/>
          <w:szCs w:val="40"/>
        </w:rPr>
        <w:t>石碉楼乡人民政府</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ascii="仿宋_GB2312" w:eastAsia="仿宋_GB2312" w:cs="仿宋_GB2312"/>
          <w:sz w:val="32"/>
          <w:szCs w:val="32"/>
        </w:rPr>
      </w:pPr>
      <w:r>
        <w:rPr>
          <w:rFonts w:hint="eastAsia" w:ascii="方正小标宋简体" w:eastAsia="方正小标宋简体" w:cs="方正小标宋简体"/>
          <w:kern w:val="0"/>
          <w:sz w:val="40"/>
          <w:szCs w:val="40"/>
          <w:lang w:eastAsia="zh-CN"/>
        </w:rPr>
        <w:t>2025</w:t>
      </w:r>
      <w:r>
        <w:rPr>
          <w:rFonts w:hint="eastAsia" w:ascii="方正小标宋简体" w:eastAsia="方正小标宋简体" w:cs="方正小标宋简体"/>
          <w:kern w:val="0"/>
          <w:sz w:val="40"/>
          <w:szCs w:val="40"/>
        </w:rPr>
        <w:t>年捐赠资金项目支出绩效评价报告</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黑体" w:eastAsia="黑体"/>
          <w:sz w:val="32"/>
          <w:szCs w:val="32"/>
          <w:lang w:val="zh-CN"/>
        </w:rPr>
      </w:pPr>
      <w:r>
        <w:rPr>
          <w:rFonts w:hint="eastAsia" w:ascii="黑体" w:eastAsia="黑体"/>
          <w:sz w:val="32"/>
          <w:szCs w:val="32"/>
        </w:rPr>
        <w:t>一、</w:t>
      </w:r>
      <w:r>
        <w:rPr>
          <w:rFonts w:hint="eastAsia" w:ascii="黑体" w:eastAsia="黑体"/>
          <w:sz w:val="32"/>
          <w:szCs w:val="32"/>
          <w:lang w:val="zh-CN"/>
        </w:rPr>
        <w:t>项目概况</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楷体_GB2312" w:eastAsia="楷体_GB2312"/>
          <w:b/>
          <w:sz w:val="32"/>
          <w:szCs w:val="32"/>
          <w:lang w:val="zh-CN"/>
        </w:rPr>
      </w:pPr>
      <w:r>
        <w:rPr>
          <w:rFonts w:hint="eastAsia" w:ascii="楷体_GB2312" w:eastAsia="楷体_GB2312"/>
          <w:b/>
          <w:sz w:val="32"/>
          <w:szCs w:val="32"/>
          <w:lang w:val="zh-CN"/>
        </w:rPr>
        <w:t>（一）设立背景及基本情况。</w:t>
      </w:r>
    </w:p>
    <w:p>
      <w:pPr>
        <w:keepNext w:val="0"/>
        <w:keepLines w:val="0"/>
        <w:pageBreakBefore w:val="0"/>
        <w:kinsoku/>
        <w:wordWrap/>
        <w:overflowPunct/>
        <w:topLinePunct w:val="0"/>
        <w:autoSpaceDE/>
        <w:autoSpaceDN/>
        <w:bidi w:val="0"/>
        <w:spacing w:line="560" w:lineRule="exact"/>
        <w:ind w:firstLine="624" w:firstLineChars="200"/>
        <w:textAlignment w:val="auto"/>
        <w:rPr>
          <w:rFonts w:eastAsia="仿宋_GB2312"/>
          <w:kern w:val="0"/>
          <w:sz w:val="32"/>
          <w:szCs w:val="28"/>
        </w:rPr>
      </w:pPr>
      <w:r>
        <w:rPr>
          <w:rFonts w:hint="eastAsia" w:eastAsia="仿宋_GB2312"/>
          <w:kern w:val="0"/>
          <w:sz w:val="32"/>
          <w:szCs w:val="28"/>
        </w:rPr>
        <w:t>1.项目设立原因及背景</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石碉楼乡</w:t>
      </w:r>
      <w:r>
        <w:rPr>
          <w:rFonts w:hint="eastAsia" w:ascii="仿宋_GB2312" w:eastAsia="仿宋_GB2312" w:cs="仿宋_GB2312"/>
          <w:sz w:val="32"/>
          <w:szCs w:val="32"/>
          <w:lang w:eastAsia="zh-CN"/>
        </w:rPr>
        <w:t>2025</w:t>
      </w:r>
      <w:r>
        <w:rPr>
          <w:rFonts w:hint="eastAsia" w:ascii="仿宋_GB2312" w:eastAsia="仿宋_GB2312" w:cs="仿宋_GB2312"/>
          <w:sz w:val="32"/>
          <w:szCs w:val="32"/>
        </w:rPr>
        <w:t>年华润捐赠资金项目，</w:t>
      </w:r>
      <w:r>
        <w:rPr>
          <w:rFonts w:hint="eastAsia" w:ascii="仿宋_GB2312" w:eastAsia="仿宋_GB2312"/>
          <w:sz w:val="32"/>
          <w:szCs w:val="32"/>
          <w:lang w:val="zh-CN"/>
        </w:rPr>
        <w:t>华润捐赠资金分红，</w:t>
      </w:r>
      <w:r>
        <w:rPr>
          <w:rFonts w:hint="eastAsia" w:ascii="仿宋_GB2312" w:eastAsia="仿宋_GB2312"/>
          <w:sz w:val="32"/>
          <w:szCs w:val="32"/>
        </w:rPr>
        <w:t>主要用于公益性岗位，村级基础设施建设，村级专项资金等。</w:t>
      </w:r>
      <w:r>
        <w:rPr>
          <w:rFonts w:hint="eastAsia" w:ascii="仿宋_GB2312" w:eastAsia="仿宋_GB2312" w:cs="仿宋_GB2312"/>
          <w:sz w:val="32"/>
          <w:szCs w:val="32"/>
        </w:rPr>
        <w:t>资金申报后在规定的时间内下发给我们单位，本单位也在规定时间内及时进行了支出。该项目均符合资金管理办法等相关规定。</w:t>
      </w:r>
    </w:p>
    <w:p>
      <w:pPr>
        <w:keepNext w:val="0"/>
        <w:keepLines w:val="0"/>
        <w:pageBreakBefore w:val="0"/>
        <w:numPr>
          <w:ilvl w:val="0"/>
          <w:numId w:val="1"/>
        </w:numPr>
        <w:kinsoku/>
        <w:wordWrap/>
        <w:overflowPunct/>
        <w:topLinePunct w:val="0"/>
        <w:autoSpaceDE/>
        <w:autoSpaceDN/>
        <w:bidi w:val="0"/>
        <w:spacing w:line="560" w:lineRule="exact"/>
        <w:ind w:left="0" w:firstLine="624" w:firstLineChars="200"/>
        <w:textAlignment w:val="auto"/>
        <w:rPr>
          <w:rFonts w:eastAsia="仿宋_GB2312"/>
          <w:kern w:val="0"/>
          <w:sz w:val="32"/>
          <w:szCs w:val="28"/>
        </w:rPr>
      </w:pPr>
      <w:r>
        <w:rPr>
          <w:rFonts w:hint="eastAsia" w:eastAsia="仿宋_GB2312"/>
          <w:kern w:val="0"/>
          <w:sz w:val="32"/>
          <w:szCs w:val="28"/>
        </w:rPr>
        <w:t>项目立项、资金申报的依据</w:t>
      </w:r>
    </w:p>
    <w:p>
      <w:pPr>
        <w:keepNext w:val="0"/>
        <w:keepLines w:val="0"/>
        <w:pageBreakBefore w:val="0"/>
        <w:kinsoku/>
        <w:wordWrap/>
        <w:overflowPunct/>
        <w:topLinePunct w:val="0"/>
        <w:autoSpaceDE/>
        <w:autoSpaceDN/>
        <w:bidi w:val="0"/>
        <w:adjustRightInd w:val="0"/>
        <w:snapToGrid w:val="0"/>
        <w:spacing w:line="560" w:lineRule="exact"/>
        <w:ind w:firstLine="642"/>
        <w:textAlignment w:val="auto"/>
        <w:rPr>
          <w:rFonts w:eastAsia="仿宋_GB2312"/>
        </w:rPr>
      </w:pPr>
      <w:r>
        <w:rPr>
          <w:rFonts w:hint="eastAsia" w:ascii="仿宋_GB2312" w:eastAsia="仿宋_GB2312"/>
          <w:sz w:val="32"/>
          <w:szCs w:val="32"/>
        </w:rPr>
        <w:t>经费按照黑水县财政局关于下达黑水县黑水县华润捐赠资金帮扶资金的通知的分配方案，具有现实需求，依法依规认真履行。</w:t>
      </w:r>
    </w:p>
    <w:p>
      <w:pPr>
        <w:keepNext w:val="0"/>
        <w:keepLines w:val="0"/>
        <w:pageBreakBefore w:val="0"/>
        <w:numPr>
          <w:ilvl w:val="0"/>
          <w:numId w:val="1"/>
        </w:numPr>
        <w:kinsoku/>
        <w:wordWrap/>
        <w:overflowPunct/>
        <w:topLinePunct w:val="0"/>
        <w:autoSpaceDE/>
        <w:autoSpaceDN/>
        <w:bidi w:val="0"/>
        <w:spacing w:line="560" w:lineRule="exact"/>
        <w:ind w:left="0" w:firstLine="624" w:firstLineChars="200"/>
        <w:textAlignment w:val="auto"/>
        <w:rPr>
          <w:rFonts w:eastAsia="仿宋_GB2312"/>
          <w:kern w:val="0"/>
          <w:sz w:val="32"/>
          <w:szCs w:val="28"/>
        </w:rPr>
      </w:pPr>
      <w:r>
        <w:rPr>
          <w:rFonts w:hint="eastAsia" w:eastAsia="仿宋_GB2312"/>
          <w:kern w:val="0"/>
          <w:sz w:val="32"/>
          <w:szCs w:val="28"/>
        </w:rPr>
        <w:t>项目主要内容</w:t>
      </w:r>
    </w:p>
    <w:p>
      <w:pPr>
        <w:keepNext w:val="0"/>
        <w:keepLines w:val="0"/>
        <w:pageBreakBefore w:val="0"/>
        <w:kinsoku/>
        <w:wordWrap/>
        <w:overflowPunct/>
        <w:topLinePunct w:val="0"/>
        <w:autoSpaceDE/>
        <w:autoSpaceDN/>
        <w:bidi w:val="0"/>
        <w:adjustRightInd w:val="0"/>
        <w:snapToGrid w:val="0"/>
        <w:spacing w:line="560" w:lineRule="exact"/>
        <w:ind w:firstLine="642"/>
        <w:textAlignment w:val="auto"/>
        <w:rPr>
          <w:rFonts w:ascii="仿宋_GB2312" w:eastAsia="仿宋_GB2312"/>
          <w:sz w:val="32"/>
          <w:szCs w:val="32"/>
        </w:rPr>
      </w:pPr>
      <w:r>
        <w:rPr>
          <w:rFonts w:hint="eastAsia" w:ascii="仿宋_GB2312" w:eastAsia="仿宋_GB2312"/>
          <w:sz w:val="32"/>
          <w:szCs w:val="32"/>
        </w:rPr>
        <w:t>此次捐赠资金发放对象为辖区扎基村、丁寨村、木须村、俄尔村、瓦洛村、苦瓜村6个村，具体分配金额为：扎基村：</w:t>
      </w:r>
      <w:r>
        <w:rPr>
          <w:rFonts w:hint="eastAsia" w:ascii="仿宋_GB2312" w:eastAsia="仿宋_GB2312"/>
          <w:sz w:val="32"/>
          <w:szCs w:val="32"/>
          <w:lang w:val="en-US" w:eastAsia="zh-CN"/>
        </w:rPr>
        <w:t>8747.24</w:t>
      </w:r>
      <w:r>
        <w:rPr>
          <w:rFonts w:hint="eastAsia" w:ascii="仿宋_GB2312" w:eastAsia="仿宋_GB2312"/>
          <w:sz w:val="32"/>
          <w:szCs w:val="32"/>
        </w:rPr>
        <w:t xml:space="preserve">元 ；丁寨村: </w:t>
      </w:r>
      <w:r>
        <w:rPr>
          <w:rFonts w:hint="eastAsia" w:ascii="仿宋_GB2312" w:eastAsia="仿宋_GB2312"/>
          <w:sz w:val="32"/>
          <w:szCs w:val="32"/>
          <w:lang w:eastAsia="zh-CN"/>
        </w:rPr>
        <w:t>8747.24</w:t>
      </w:r>
      <w:r>
        <w:rPr>
          <w:rFonts w:hint="eastAsia" w:ascii="仿宋_GB2312" w:eastAsia="仿宋_GB2312"/>
          <w:sz w:val="32"/>
          <w:szCs w:val="32"/>
        </w:rPr>
        <w:t>元；木须村：</w:t>
      </w:r>
      <w:r>
        <w:rPr>
          <w:rFonts w:hint="eastAsia" w:ascii="仿宋_GB2312" w:eastAsia="仿宋_GB2312"/>
          <w:sz w:val="32"/>
          <w:szCs w:val="32"/>
          <w:lang w:eastAsia="zh-CN"/>
        </w:rPr>
        <w:t>8747.24</w:t>
      </w:r>
      <w:r>
        <w:rPr>
          <w:rFonts w:hint="eastAsia" w:ascii="仿宋_GB2312" w:eastAsia="仿宋_GB2312"/>
          <w:sz w:val="32"/>
          <w:szCs w:val="32"/>
        </w:rPr>
        <w:t>元；俄尔村：</w:t>
      </w:r>
      <w:r>
        <w:rPr>
          <w:rFonts w:hint="eastAsia" w:ascii="仿宋_GB2312" w:eastAsia="仿宋_GB2312"/>
          <w:sz w:val="32"/>
          <w:szCs w:val="32"/>
          <w:lang w:eastAsia="zh-CN"/>
        </w:rPr>
        <w:t>8747.24</w:t>
      </w:r>
      <w:r>
        <w:rPr>
          <w:rFonts w:hint="eastAsia" w:ascii="仿宋_GB2312" w:eastAsia="仿宋_GB2312"/>
          <w:sz w:val="32"/>
          <w:szCs w:val="32"/>
        </w:rPr>
        <w:t>元；瓦洛村：3</w:t>
      </w:r>
      <w:r>
        <w:rPr>
          <w:rFonts w:hint="eastAsia" w:ascii="仿宋_GB2312" w:eastAsia="仿宋_GB2312"/>
          <w:sz w:val="32"/>
          <w:szCs w:val="32"/>
          <w:lang w:eastAsia="zh-CN"/>
        </w:rPr>
        <w:t>8747.24</w:t>
      </w:r>
      <w:r>
        <w:rPr>
          <w:rFonts w:hint="eastAsia" w:ascii="仿宋_GB2312" w:eastAsia="仿宋_GB2312"/>
          <w:sz w:val="32"/>
          <w:szCs w:val="32"/>
        </w:rPr>
        <w:t>元；苦瓜村：</w:t>
      </w:r>
      <w:r>
        <w:rPr>
          <w:rFonts w:hint="eastAsia" w:ascii="仿宋_GB2312" w:eastAsia="仿宋_GB2312"/>
          <w:sz w:val="32"/>
          <w:szCs w:val="32"/>
          <w:lang w:eastAsia="zh-CN"/>
        </w:rPr>
        <w:t>8747.24</w:t>
      </w:r>
      <w:r>
        <w:rPr>
          <w:rFonts w:hint="eastAsia" w:ascii="仿宋_GB2312" w:eastAsia="仿宋_GB2312"/>
          <w:sz w:val="32"/>
          <w:szCs w:val="32"/>
        </w:rPr>
        <w:t>元。合计：</w:t>
      </w:r>
      <w:r>
        <w:rPr>
          <w:rFonts w:hint="eastAsia" w:ascii="仿宋_GB2312" w:eastAsia="仿宋_GB2312"/>
          <w:sz w:val="32"/>
          <w:szCs w:val="32"/>
          <w:lang w:eastAsia="zh-CN"/>
        </w:rPr>
        <w:t>52483.44</w:t>
      </w:r>
      <w:r>
        <w:rPr>
          <w:rFonts w:hint="eastAsia" w:ascii="仿宋_GB2312" w:eastAsia="仿宋_GB2312"/>
          <w:sz w:val="32"/>
          <w:szCs w:val="32"/>
        </w:rPr>
        <w:t>元。</w:t>
      </w:r>
    </w:p>
    <w:p>
      <w:pPr>
        <w:keepNext w:val="0"/>
        <w:keepLines w:val="0"/>
        <w:pageBreakBefore w:val="0"/>
        <w:kinsoku/>
        <w:wordWrap/>
        <w:overflowPunct/>
        <w:topLinePunct w:val="0"/>
        <w:autoSpaceDE/>
        <w:autoSpaceDN/>
        <w:bidi w:val="0"/>
        <w:spacing w:line="560" w:lineRule="exact"/>
        <w:ind w:firstLine="624" w:firstLineChars="200"/>
        <w:textAlignment w:val="auto"/>
        <w:rPr>
          <w:kern w:val="0"/>
          <w:szCs w:val="28"/>
        </w:rPr>
      </w:pPr>
      <w:r>
        <w:rPr>
          <w:rFonts w:hint="eastAsia" w:eastAsia="仿宋_GB2312"/>
          <w:kern w:val="0"/>
          <w:sz w:val="32"/>
          <w:szCs w:val="28"/>
        </w:rPr>
        <w:t>4.主管部门职能</w:t>
      </w:r>
    </w:p>
    <w:p>
      <w:pPr>
        <w:keepNext w:val="0"/>
        <w:keepLines w:val="0"/>
        <w:pageBreakBefore w:val="0"/>
        <w:kinsoku/>
        <w:wordWrap/>
        <w:overflowPunct/>
        <w:topLinePunct w:val="0"/>
        <w:autoSpaceDE/>
        <w:autoSpaceDN/>
        <w:bidi w:val="0"/>
        <w:spacing w:line="560" w:lineRule="exact"/>
        <w:ind w:firstLine="624" w:firstLineChars="200"/>
        <w:textAlignment w:val="auto"/>
        <w:rPr>
          <w:rFonts w:eastAsia="仿宋_GB2312"/>
          <w:kern w:val="0"/>
          <w:sz w:val="32"/>
          <w:szCs w:val="28"/>
        </w:rPr>
      </w:pPr>
      <w:r>
        <w:rPr>
          <w:rFonts w:hint="eastAsia" w:eastAsia="仿宋_GB2312"/>
          <w:kern w:val="0"/>
          <w:sz w:val="32"/>
          <w:szCs w:val="28"/>
        </w:rPr>
        <w:t>我单位承担专项资金绩效管理的主体责任，主要负责提出专项资金分配方案，制定项目管理制度，组织项目评审和实施，开展项目验收、绩效评价和监督检查等工作。</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楷体_GB2312" w:eastAsia="楷体_GB2312"/>
          <w:b/>
          <w:sz w:val="32"/>
          <w:szCs w:val="32"/>
          <w:lang w:val="zh-CN"/>
        </w:rPr>
      </w:pPr>
      <w:r>
        <w:rPr>
          <w:rFonts w:hint="eastAsia" w:ascii="楷体_GB2312" w:eastAsia="楷体_GB2312"/>
          <w:b/>
          <w:sz w:val="32"/>
          <w:szCs w:val="32"/>
          <w:lang w:val="zh-CN"/>
        </w:rPr>
        <w:t>（二）实施目的及支持方向。</w:t>
      </w:r>
    </w:p>
    <w:p>
      <w:pPr>
        <w:keepNext w:val="0"/>
        <w:keepLines w:val="0"/>
        <w:pageBreakBefore w:val="0"/>
        <w:kinsoku/>
        <w:wordWrap/>
        <w:overflowPunct/>
        <w:topLinePunct w:val="0"/>
        <w:autoSpaceDE/>
        <w:autoSpaceDN/>
        <w:bidi w:val="0"/>
        <w:spacing w:line="560" w:lineRule="exact"/>
        <w:ind w:firstLine="624" w:firstLineChars="200"/>
        <w:textAlignment w:val="auto"/>
        <w:rPr>
          <w:rFonts w:eastAsia="仿宋_GB2312"/>
          <w:kern w:val="0"/>
          <w:sz w:val="32"/>
          <w:szCs w:val="28"/>
        </w:rPr>
      </w:pPr>
      <w:r>
        <w:rPr>
          <w:rFonts w:hint="eastAsia" w:eastAsia="仿宋_GB2312"/>
          <w:kern w:val="0"/>
          <w:sz w:val="32"/>
          <w:szCs w:val="28"/>
        </w:rPr>
        <w:t>1.项目资金管理办法制定情况</w:t>
      </w:r>
    </w:p>
    <w:p>
      <w:pPr>
        <w:keepNext w:val="0"/>
        <w:keepLines w:val="0"/>
        <w:pageBreakBefore w:val="0"/>
        <w:kinsoku/>
        <w:wordWrap/>
        <w:overflowPunct/>
        <w:topLinePunct w:val="0"/>
        <w:autoSpaceDE/>
        <w:autoSpaceDN/>
        <w:bidi w:val="0"/>
        <w:spacing w:line="560" w:lineRule="exact"/>
        <w:ind w:firstLine="624" w:firstLineChars="200"/>
        <w:textAlignment w:val="auto"/>
        <w:rPr>
          <w:rFonts w:eastAsia="仿宋_GB2312"/>
          <w:kern w:val="0"/>
          <w:sz w:val="32"/>
          <w:szCs w:val="28"/>
        </w:rPr>
      </w:pPr>
      <w:r>
        <w:rPr>
          <w:rFonts w:hint="eastAsia" w:eastAsia="仿宋_GB2312"/>
          <w:kern w:val="0"/>
          <w:sz w:val="32"/>
          <w:szCs w:val="28"/>
        </w:rPr>
        <w:t>我单位结合实际制定和完善了项目资金管理办法，项目管理办法有效执行。</w:t>
      </w:r>
    </w:p>
    <w:p>
      <w:pPr>
        <w:keepNext w:val="0"/>
        <w:keepLines w:val="0"/>
        <w:pageBreakBefore w:val="0"/>
        <w:kinsoku/>
        <w:wordWrap/>
        <w:overflowPunct/>
        <w:topLinePunct w:val="0"/>
        <w:autoSpaceDE/>
        <w:autoSpaceDN/>
        <w:bidi w:val="0"/>
        <w:spacing w:line="560" w:lineRule="exact"/>
        <w:ind w:firstLine="624" w:firstLineChars="200"/>
        <w:textAlignment w:val="auto"/>
        <w:rPr>
          <w:rFonts w:eastAsia="仿宋_GB2312"/>
          <w:kern w:val="0"/>
          <w:sz w:val="32"/>
          <w:szCs w:val="28"/>
        </w:rPr>
      </w:pPr>
      <w:r>
        <w:rPr>
          <w:rFonts w:hint="eastAsia" w:eastAsia="仿宋_GB2312"/>
          <w:kern w:val="0"/>
          <w:sz w:val="32"/>
          <w:szCs w:val="28"/>
        </w:rPr>
        <w:t>2.项目实施目的和主要工作任务</w:t>
      </w:r>
    </w:p>
    <w:p>
      <w:pPr>
        <w:keepNext w:val="0"/>
        <w:keepLines w:val="0"/>
        <w:pageBreakBefore w:val="0"/>
        <w:kinsoku/>
        <w:wordWrap/>
        <w:overflowPunct/>
        <w:topLinePunct w:val="0"/>
        <w:autoSpaceDE/>
        <w:autoSpaceDN/>
        <w:bidi w:val="0"/>
        <w:spacing w:line="560" w:lineRule="exact"/>
        <w:ind w:firstLine="624" w:firstLineChars="200"/>
        <w:textAlignment w:val="auto"/>
        <w:rPr>
          <w:rFonts w:eastAsia="仿宋_GB2312"/>
          <w:kern w:val="0"/>
          <w:sz w:val="32"/>
          <w:szCs w:val="28"/>
        </w:rPr>
      </w:pPr>
      <w:r>
        <w:rPr>
          <w:rFonts w:hint="eastAsia" w:ascii="仿宋_GB2312" w:eastAsia="仿宋_GB2312"/>
          <w:sz w:val="32"/>
          <w:szCs w:val="32"/>
        </w:rPr>
        <w:t>保障两个村华润</w:t>
      </w:r>
      <w:r>
        <w:rPr>
          <w:rFonts w:hint="eastAsia" w:ascii="仿宋_GB2312" w:eastAsia="仿宋_GB2312"/>
          <w:sz w:val="32"/>
          <w:szCs w:val="32"/>
          <w:lang w:val="zh-CN"/>
        </w:rPr>
        <w:t>捐赠资金分红，</w:t>
      </w:r>
      <w:r>
        <w:rPr>
          <w:rFonts w:hint="eastAsia" w:ascii="仿宋_GB2312" w:eastAsia="仿宋_GB2312"/>
          <w:sz w:val="32"/>
          <w:szCs w:val="32"/>
        </w:rPr>
        <w:t>主要用于公益性岗位，村级基础设施建设，村级专项资金等。</w:t>
      </w:r>
    </w:p>
    <w:p>
      <w:pPr>
        <w:keepNext w:val="0"/>
        <w:keepLines w:val="0"/>
        <w:pageBreakBefore w:val="0"/>
        <w:kinsoku/>
        <w:wordWrap/>
        <w:overflowPunct/>
        <w:topLinePunct w:val="0"/>
        <w:autoSpaceDE/>
        <w:autoSpaceDN/>
        <w:bidi w:val="0"/>
        <w:spacing w:line="560" w:lineRule="exact"/>
        <w:ind w:firstLine="624" w:firstLineChars="200"/>
        <w:textAlignment w:val="auto"/>
        <w:rPr>
          <w:rFonts w:eastAsia="仿宋_GB2312"/>
          <w:kern w:val="0"/>
          <w:sz w:val="32"/>
          <w:szCs w:val="28"/>
        </w:rPr>
      </w:pPr>
      <w:r>
        <w:rPr>
          <w:rFonts w:hint="eastAsia" w:eastAsia="仿宋_GB2312"/>
          <w:kern w:val="0"/>
          <w:sz w:val="32"/>
          <w:szCs w:val="28"/>
        </w:rPr>
        <w:t>3.项目支持方向</w:t>
      </w:r>
    </w:p>
    <w:p>
      <w:pPr>
        <w:keepNext w:val="0"/>
        <w:keepLines w:val="0"/>
        <w:pageBreakBefore w:val="0"/>
        <w:kinsoku/>
        <w:wordWrap/>
        <w:overflowPunct/>
        <w:topLinePunct w:val="0"/>
        <w:autoSpaceDE/>
        <w:autoSpaceDN/>
        <w:bidi w:val="0"/>
        <w:spacing w:line="560" w:lineRule="exact"/>
        <w:ind w:firstLine="624" w:firstLineChars="200"/>
        <w:textAlignment w:val="auto"/>
        <w:rPr>
          <w:rFonts w:eastAsia="仿宋_GB2312"/>
          <w:kern w:val="0"/>
          <w:sz w:val="32"/>
          <w:szCs w:val="28"/>
        </w:rPr>
      </w:pPr>
      <w:r>
        <w:rPr>
          <w:rFonts w:hint="eastAsia" w:eastAsia="仿宋_GB2312"/>
          <w:kern w:val="0"/>
          <w:sz w:val="32"/>
          <w:szCs w:val="28"/>
        </w:rPr>
        <w:t>保障基层村级运行正常。</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楷体_GB2312" w:eastAsia="楷体_GB2312"/>
          <w:b/>
          <w:sz w:val="32"/>
          <w:szCs w:val="32"/>
          <w:lang w:val="zh-CN"/>
        </w:rPr>
      </w:pPr>
      <w:r>
        <w:rPr>
          <w:rFonts w:hint="eastAsia" w:ascii="楷体_GB2312" w:eastAsia="楷体_GB2312"/>
          <w:b/>
          <w:sz w:val="32"/>
          <w:szCs w:val="32"/>
          <w:lang w:val="zh-CN"/>
        </w:rPr>
        <w:t>（三）预算安排及分配管理。</w:t>
      </w:r>
    </w:p>
    <w:p>
      <w:pPr>
        <w:keepNext w:val="0"/>
        <w:keepLines w:val="0"/>
        <w:pageBreakBefore w:val="0"/>
        <w:kinsoku/>
        <w:wordWrap/>
        <w:overflowPunct/>
        <w:topLinePunct w:val="0"/>
        <w:autoSpaceDE/>
        <w:autoSpaceDN/>
        <w:bidi w:val="0"/>
        <w:spacing w:line="560" w:lineRule="exact"/>
        <w:ind w:firstLine="624" w:firstLineChars="200"/>
        <w:textAlignment w:val="auto"/>
        <w:rPr>
          <w:rFonts w:eastAsia="仿宋_GB2312"/>
          <w:kern w:val="0"/>
          <w:sz w:val="32"/>
          <w:szCs w:val="28"/>
        </w:rPr>
      </w:pPr>
      <w:r>
        <w:rPr>
          <w:rFonts w:hint="eastAsia" w:eastAsia="仿宋_GB2312"/>
          <w:kern w:val="0"/>
          <w:sz w:val="32"/>
          <w:szCs w:val="28"/>
        </w:rPr>
        <w:t>1.项目预算安排情况</w:t>
      </w:r>
    </w:p>
    <w:p>
      <w:pPr>
        <w:keepNext w:val="0"/>
        <w:keepLines w:val="0"/>
        <w:pageBreakBefore w:val="0"/>
        <w:kinsoku/>
        <w:wordWrap/>
        <w:overflowPunct/>
        <w:topLinePunct w:val="0"/>
        <w:autoSpaceDE/>
        <w:autoSpaceDN/>
        <w:bidi w:val="0"/>
        <w:spacing w:line="560" w:lineRule="exact"/>
        <w:ind w:firstLine="624" w:firstLineChars="200"/>
        <w:textAlignment w:val="auto"/>
        <w:rPr>
          <w:rFonts w:eastAsia="仿宋_GB2312"/>
          <w:kern w:val="0"/>
          <w:sz w:val="32"/>
          <w:szCs w:val="28"/>
        </w:rPr>
      </w:pPr>
      <w:r>
        <w:rPr>
          <w:rFonts w:hint="eastAsia" w:eastAsia="仿宋_GB2312"/>
          <w:kern w:val="0"/>
          <w:sz w:val="32"/>
          <w:szCs w:val="28"/>
        </w:rPr>
        <w:t>预算项目资金金额为</w:t>
      </w:r>
      <w:r>
        <w:rPr>
          <w:rFonts w:hint="eastAsia" w:ascii="仿宋_GB2312" w:eastAsia="仿宋_GB2312"/>
          <w:sz w:val="32"/>
          <w:szCs w:val="32"/>
          <w:lang w:val="en-US" w:eastAsia="zh-CN"/>
        </w:rPr>
        <w:t>52483.44</w:t>
      </w:r>
      <w:r>
        <w:rPr>
          <w:rFonts w:hint="eastAsia" w:ascii="仿宋_GB2312" w:eastAsia="仿宋_GB2312"/>
          <w:sz w:val="32"/>
          <w:szCs w:val="32"/>
        </w:rPr>
        <w:t>元</w:t>
      </w:r>
      <w:r>
        <w:rPr>
          <w:rFonts w:hint="eastAsia" w:eastAsia="仿宋_GB2312"/>
          <w:kern w:val="0"/>
          <w:sz w:val="32"/>
          <w:szCs w:val="28"/>
        </w:rPr>
        <w:t>，批复金额为</w:t>
      </w:r>
      <w:r>
        <w:rPr>
          <w:rFonts w:hint="eastAsia" w:ascii="仿宋_GB2312" w:eastAsia="仿宋_GB2312"/>
          <w:sz w:val="32"/>
          <w:szCs w:val="32"/>
          <w:lang w:eastAsia="zh-CN"/>
        </w:rPr>
        <w:t>52483.44</w:t>
      </w:r>
      <w:r>
        <w:rPr>
          <w:rFonts w:hint="eastAsia" w:ascii="仿宋_GB2312" w:eastAsia="仿宋_GB2312"/>
          <w:sz w:val="32"/>
          <w:szCs w:val="32"/>
        </w:rPr>
        <w:t>元</w:t>
      </w:r>
      <w:r>
        <w:rPr>
          <w:rFonts w:hint="eastAsia" w:eastAsia="仿宋_GB2312"/>
          <w:kern w:val="0"/>
          <w:sz w:val="32"/>
          <w:szCs w:val="28"/>
        </w:rPr>
        <w:t>，实际使用金额</w:t>
      </w:r>
      <w:r>
        <w:rPr>
          <w:rFonts w:hint="eastAsia" w:ascii="仿宋_GB2312" w:eastAsia="仿宋_GB2312"/>
          <w:sz w:val="32"/>
          <w:szCs w:val="32"/>
          <w:lang w:eastAsia="zh-CN"/>
        </w:rPr>
        <w:t>52483.44</w:t>
      </w:r>
      <w:r>
        <w:rPr>
          <w:rFonts w:hint="eastAsia" w:ascii="仿宋_GB2312" w:eastAsia="仿宋_GB2312"/>
          <w:sz w:val="32"/>
          <w:szCs w:val="32"/>
        </w:rPr>
        <w:t>元</w:t>
      </w:r>
      <w:r>
        <w:rPr>
          <w:rFonts w:hint="eastAsia" w:eastAsia="仿宋_GB2312"/>
          <w:kern w:val="0"/>
          <w:sz w:val="32"/>
          <w:szCs w:val="28"/>
        </w:rPr>
        <w:t>，项目资金符合资金管理办法等相关规定。资金按批复金额在项目实施前全部到位，与资金计划相契合，资金到位率、到位及时性均为100%，保障项目能够如期开展。</w:t>
      </w:r>
    </w:p>
    <w:p>
      <w:pPr>
        <w:keepNext w:val="0"/>
        <w:keepLines w:val="0"/>
        <w:pageBreakBefore w:val="0"/>
        <w:kinsoku/>
        <w:wordWrap/>
        <w:overflowPunct/>
        <w:topLinePunct w:val="0"/>
        <w:autoSpaceDE/>
        <w:autoSpaceDN/>
        <w:bidi w:val="0"/>
        <w:spacing w:line="560" w:lineRule="exact"/>
        <w:ind w:firstLine="624" w:firstLineChars="200"/>
        <w:textAlignment w:val="auto"/>
        <w:rPr>
          <w:rFonts w:eastAsia="仿宋_GB2312"/>
          <w:kern w:val="0"/>
          <w:sz w:val="32"/>
          <w:szCs w:val="28"/>
        </w:rPr>
      </w:pPr>
      <w:r>
        <w:rPr>
          <w:rFonts w:hint="eastAsia" w:eastAsia="仿宋_GB2312"/>
          <w:kern w:val="0"/>
          <w:sz w:val="32"/>
          <w:szCs w:val="28"/>
        </w:rPr>
        <w:t>2.项目资金分配原则及考虑因素</w:t>
      </w:r>
    </w:p>
    <w:p>
      <w:pPr>
        <w:keepNext w:val="0"/>
        <w:keepLines w:val="0"/>
        <w:pageBreakBefore w:val="0"/>
        <w:kinsoku/>
        <w:wordWrap/>
        <w:overflowPunct/>
        <w:topLinePunct w:val="0"/>
        <w:autoSpaceDE/>
        <w:autoSpaceDN/>
        <w:bidi w:val="0"/>
        <w:spacing w:line="560" w:lineRule="exact"/>
        <w:ind w:firstLine="624" w:firstLineChars="200"/>
        <w:textAlignment w:val="auto"/>
        <w:rPr>
          <w:rFonts w:eastAsia="仿宋_GB2312"/>
          <w:kern w:val="0"/>
          <w:sz w:val="32"/>
          <w:szCs w:val="28"/>
        </w:rPr>
      </w:pPr>
      <w:r>
        <w:rPr>
          <w:rFonts w:hint="eastAsia" w:eastAsia="仿宋_GB2312"/>
          <w:kern w:val="0"/>
          <w:sz w:val="32"/>
          <w:szCs w:val="28"/>
        </w:rPr>
        <w:t>项目采用因素法进行项目资金分配，因素法分配财政资金是指事先设定财政资金分配时考虑的主要因素以及不同因素各占的比重，将资金分配到部门或地方，由部门或地方政府按照特定的资金用途，确定具体支持的项目并组织实施。</w:t>
      </w:r>
    </w:p>
    <w:p>
      <w:pPr>
        <w:keepNext w:val="0"/>
        <w:keepLines w:val="0"/>
        <w:pageBreakBefore w:val="0"/>
        <w:kinsoku/>
        <w:wordWrap/>
        <w:overflowPunct/>
        <w:topLinePunct w:val="0"/>
        <w:autoSpaceDE/>
        <w:autoSpaceDN/>
        <w:bidi w:val="0"/>
        <w:spacing w:line="560" w:lineRule="exact"/>
        <w:ind w:firstLine="624" w:firstLineChars="200"/>
        <w:textAlignment w:val="auto"/>
        <w:rPr>
          <w:rFonts w:eastAsia="仿宋_GB2312"/>
          <w:kern w:val="0"/>
          <w:sz w:val="32"/>
          <w:szCs w:val="28"/>
        </w:rPr>
      </w:pPr>
      <w:r>
        <w:rPr>
          <w:rFonts w:hint="eastAsia" w:eastAsia="仿宋_GB2312"/>
          <w:kern w:val="0"/>
          <w:sz w:val="32"/>
          <w:szCs w:val="28"/>
        </w:rPr>
        <w:t>3.项目资金分配情况</w:t>
      </w:r>
    </w:p>
    <w:p>
      <w:pPr>
        <w:keepNext w:val="0"/>
        <w:keepLines w:val="0"/>
        <w:pageBreakBefore w:val="0"/>
        <w:kinsoku/>
        <w:wordWrap/>
        <w:overflowPunct/>
        <w:topLinePunct w:val="0"/>
        <w:autoSpaceDE/>
        <w:autoSpaceDN/>
        <w:bidi w:val="0"/>
        <w:spacing w:line="560" w:lineRule="exact"/>
        <w:ind w:firstLine="624" w:firstLineChars="200"/>
        <w:textAlignment w:val="auto"/>
        <w:rPr>
          <w:rFonts w:eastAsia="仿宋_GB2312"/>
          <w:kern w:val="0"/>
          <w:sz w:val="32"/>
          <w:szCs w:val="28"/>
        </w:rPr>
      </w:pPr>
      <w:r>
        <w:rPr>
          <w:rFonts w:hint="eastAsia" w:eastAsia="仿宋_GB2312"/>
          <w:kern w:val="0"/>
          <w:sz w:val="32"/>
          <w:szCs w:val="28"/>
        </w:rPr>
        <w:t>项目总预算资金</w:t>
      </w:r>
      <w:r>
        <w:rPr>
          <w:rFonts w:hint="eastAsia" w:ascii="仿宋_GB2312" w:eastAsia="仿宋_GB2312"/>
          <w:sz w:val="32"/>
          <w:szCs w:val="32"/>
          <w:lang w:eastAsia="zh-CN"/>
        </w:rPr>
        <w:t>52483.44</w:t>
      </w:r>
      <w:r>
        <w:rPr>
          <w:rFonts w:hint="eastAsia" w:ascii="仿宋_GB2312" w:eastAsia="仿宋_GB2312"/>
          <w:sz w:val="32"/>
          <w:szCs w:val="32"/>
        </w:rPr>
        <w:t>元</w:t>
      </w:r>
      <w:r>
        <w:rPr>
          <w:rFonts w:hint="eastAsia" w:eastAsia="仿宋_GB2312"/>
          <w:kern w:val="0"/>
          <w:sz w:val="32"/>
          <w:szCs w:val="28"/>
        </w:rPr>
        <w:t>，来源为华润捐赠资金，预算资金分配充分，资金分配额度合理，与项目单位实际相适应。目前项目资金已全部支出，支付范围为包含村</w:t>
      </w:r>
      <w:r>
        <w:rPr>
          <w:rFonts w:hint="eastAsia" w:ascii="仿宋_GB2312" w:eastAsia="仿宋_GB2312"/>
          <w:sz w:val="32"/>
          <w:szCs w:val="32"/>
        </w:rPr>
        <w:t>公益性岗位，村级基础设施建设，村级专项资金</w:t>
      </w:r>
      <w:r>
        <w:rPr>
          <w:rFonts w:hint="eastAsia" w:eastAsia="仿宋_GB2312"/>
          <w:kern w:val="0"/>
          <w:sz w:val="32"/>
          <w:szCs w:val="28"/>
        </w:rPr>
        <w:t>费，支付依据合规合法，与预算相符。</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eastAsia="仿宋_GB2312"/>
          <w:kern w:val="0"/>
          <w:sz w:val="32"/>
          <w:szCs w:val="28"/>
        </w:rPr>
      </w:pPr>
      <w:r>
        <w:rPr>
          <w:rFonts w:hint="eastAsia" w:ascii="楷体_GB2312" w:eastAsia="楷体_GB2312"/>
          <w:b/>
          <w:sz w:val="32"/>
          <w:szCs w:val="32"/>
          <w:lang w:val="zh-CN"/>
        </w:rPr>
        <w:t>（四）项目绩效目标设置。</w:t>
      </w:r>
    </w:p>
    <w:p>
      <w:pPr>
        <w:keepNext w:val="0"/>
        <w:keepLines w:val="0"/>
        <w:pageBreakBefore w:val="0"/>
        <w:kinsoku/>
        <w:wordWrap/>
        <w:overflowPunct/>
        <w:topLinePunct w:val="0"/>
        <w:autoSpaceDE/>
        <w:autoSpaceDN/>
        <w:bidi w:val="0"/>
        <w:spacing w:line="560" w:lineRule="exact"/>
        <w:ind w:firstLine="624" w:firstLineChars="200"/>
        <w:textAlignment w:val="auto"/>
        <w:rPr>
          <w:rFonts w:eastAsia="仿宋_GB2312"/>
          <w:kern w:val="0"/>
          <w:sz w:val="32"/>
          <w:szCs w:val="28"/>
        </w:rPr>
      </w:pPr>
      <w:r>
        <w:rPr>
          <w:rFonts w:hint="eastAsia" w:ascii="仿宋_GB2312" w:eastAsia="仿宋_GB2312" w:cs="仿宋_GB2312"/>
          <w:sz w:val="32"/>
          <w:szCs w:val="32"/>
        </w:rPr>
        <w:t>石碉楼乡华润捐赠资金实施范围为</w:t>
      </w:r>
      <w:r>
        <w:rPr>
          <w:rFonts w:hint="eastAsia" w:ascii="仿宋_GB2312" w:eastAsia="仿宋_GB2312"/>
          <w:sz w:val="32"/>
          <w:szCs w:val="32"/>
        </w:rPr>
        <w:t>扎基村、丁寨村、木须村、俄尔村、瓦洛村、苦瓜村6个村</w:t>
      </w:r>
      <w:r>
        <w:rPr>
          <w:rFonts w:hint="eastAsia" w:ascii="仿宋_GB2312" w:eastAsia="仿宋_GB2312" w:cs="仿宋_GB2312"/>
          <w:sz w:val="32"/>
          <w:szCs w:val="32"/>
        </w:rPr>
        <w:t>，主要用于公益性岗位、村级基础设施建设、村级专项资金等</w:t>
      </w:r>
      <w:r>
        <w:rPr>
          <w:rFonts w:ascii="仿宋_GB2312" w:eastAsia="仿宋_GB2312" w:cs="仿宋_GB2312"/>
          <w:sz w:val="32"/>
          <w:szCs w:val="32"/>
        </w:rPr>
        <w:t>。</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黑体" w:eastAsia="黑体"/>
          <w:sz w:val="32"/>
          <w:szCs w:val="32"/>
        </w:rPr>
      </w:pPr>
      <w:r>
        <w:rPr>
          <w:rFonts w:hint="eastAsia" w:ascii="黑体" w:eastAsia="黑体"/>
          <w:sz w:val="32"/>
          <w:szCs w:val="32"/>
        </w:rPr>
        <w:t>二、评价实施</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楷体_GB2312" w:eastAsia="楷体_GB2312"/>
          <w:b/>
          <w:sz w:val="32"/>
          <w:szCs w:val="32"/>
          <w:lang w:val="zh-CN"/>
        </w:rPr>
      </w:pPr>
      <w:r>
        <w:rPr>
          <w:rFonts w:hint="eastAsia" w:ascii="楷体_GB2312" w:eastAsia="楷体_GB2312"/>
          <w:b/>
          <w:sz w:val="32"/>
          <w:szCs w:val="32"/>
          <w:lang w:val="zh-CN"/>
        </w:rPr>
        <w:t>（一）评价目的。</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黑水县财政局印发的《关于开展2025年县级部门绩效自评工作的通知》要求，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楷体_GB2312" w:eastAsia="楷体_GB2312"/>
          <w:b/>
          <w:sz w:val="32"/>
          <w:szCs w:val="32"/>
          <w:lang w:val="zh-CN"/>
        </w:rPr>
      </w:pPr>
      <w:r>
        <w:rPr>
          <w:rFonts w:hint="eastAsia" w:ascii="楷体_GB2312" w:eastAsia="楷体_GB2312"/>
          <w:b/>
          <w:sz w:val="32"/>
          <w:szCs w:val="32"/>
          <w:lang w:val="zh-CN"/>
        </w:rPr>
        <w:t xml:space="preserve">（二）预设问题及评价重点。 </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rPr>
        <w:t>本次评价主要针对该项目的规划编制的内容完整性和项目实施工作的质量问题，结合该项目资金的使用情况来完整的体现。</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楷体_GB2312" w:eastAsia="楷体_GB2312"/>
          <w:b/>
          <w:sz w:val="32"/>
          <w:szCs w:val="32"/>
          <w:lang w:val="zh-CN"/>
        </w:rPr>
      </w:pPr>
      <w:r>
        <w:rPr>
          <w:rFonts w:hint="eastAsia" w:ascii="楷体_GB2312" w:eastAsia="楷体_GB2312"/>
          <w:b/>
          <w:sz w:val="32"/>
          <w:szCs w:val="32"/>
          <w:lang w:val="zh-CN"/>
        </w:rPr>
        <w:t>（三）评价选点。</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项目主要开展工作地点为黑水县石碉楼乡，本次绩效评价主体为黑水县石碉楼乡人民政府，项目不涉及其他单位。</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楷体_GB2312" w:eastAsia="楷体_GB2312"/>
          <w:b/>
          <w:sz w:val="32"/>
          <w:szCs w:val="32"/>
          <w:lang w:val="zh-CN"/>
        </w:rPr>
      </w:pPr>
      <w:r>
        <w:rPr>
          <w:rFonts w:hint="eastAsia" w:ascii="楷体_GB2312" w:eastAsia="楷体_GB2312"/>
          <w:b/>
          <w:sz w:val="32"/>
          <w:szCs w:val="32"/>
          <w:lang w:val="zh-CN"/>
        </w:rPr>
        <w:t>（四）评价方法。</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采用先进的绩效评价方法和科学的数据分析是取得正确客观评价结论的重要保障，评价组从采取以下几个方法对项目实施评价，通过定量和定性分析得出评价结论。</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1.比较分析法。是指通过对绩效目标与实施效果、历史与当期情况、不同部门和地区同类支出的比较，综合分析绩效目标实现程度。</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2.因素分析法。是指通过综合分析影响绩效目标实现、实施效果的内外因素，评价绩效目标实现程度。</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楷体_GB2312" w:eastAsia="楷体_GB2312"/>
          <w:b/>
          <w:sz w:val="32"/>
          <w:szCs w:val="32"/>
          <w:lang w:val="zh-CN"/>
        </w:rPr>
      </w:pPr>
      <w:r>
        <w:rPr>
          <w:rFonts w:hint="eastAsia" w:ascii="楷体_GB2312" w:eastAsia="楷体_GB2312"/>
          <w:b/>
          <w:sz w:val="32"/>
          <w:szCs w:val="32"/>
          <w:lang w:val="zh-CN"/>
        </w:rPr>
        <w:t>（五）评价组织。</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1.领导小组职责：</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（1）研究和决定同级政府公共事业管理绩效评价中的重大问题。</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（2）组织协调绩效评价工作，确保评价的顺利进行。</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（3）对各单位的工作目标、绩效考核结果和等次、奖惩方案进行审核，并报同级党委和政府审定。</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2.办公室职责：</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（1）提出全省（市、县）政府公共事业管理绩效评价的工作方案，并负责具体组织实施。</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（2）综合评价信息，提出评价结果等次认定方案及奖惩方案等。</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（3）负责绩效评价的日常工作，包括宣传、沟通、协调等。</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（4）根据评价结果撰写绩效评价报告，并递交给领导小组。</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3.具体执行人员职责：</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（1）组长：审批绩效自评方案，监督、检查、核实绩效自评结果。</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（2）副组长：审核修改拟定的绩效自评方案，并提交考评工作组会议讨论通过；监督、部署、确认绩效自评过程及反馈意见的处理。</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黑体" w:eastAsia="黑体"/>
          <w:sz w:val="32"/>
          <w:szCs w:val="32"/>
          <w:lang w:val="zh-CN"/>
        </w:rPr>
      </w:pPr>
      <w:r>
        <w:rPr>
          <w:rFonts w:hint="eastAsia" w:ascii="黑体" w:eastAsia="黑体"/>
          <w:sz w:val="32"/>
          <w:szCs w:val="32"/>
        </w:rPr>
        <w:t>三、绩效分析</w:t>
      </w:r>
      <w:r>
        <w:rPr>
          <w:rFonts w:hint="eastAsia" w:ascii="黑体" w:eastAsia="黑体"/>
          <w:sz w:val="32"/>
          <w:szCs w:val="32"/>
          <w:lang w:val="zh-CN"/>
        </w:rPr>
        <w:tab/>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楷体_GB2312" w:eastAsia="楷体_GB2312"/>
          <w:b/>
          <w:sz w:val="32"/>
          <w:szCs w:val="32"/>
          <w:lang w:val="zh-CN"/>
        </w:rPr>
      </w:pPr>
      <w:r>
        <w:rPr>
          <w:rFonts w:hint="eastAsia" w:ascii="楷体_GB2312" w:eastAsia="楷体_GB2312"/>
          <w:b/>
          <w:sz w:val="32"/>
          <w:szCs w:val="32"/>
          <w:lang w:val="zh-CN"/>
        </w:rPr>
        <w:t>（一）通用指标绩效分析。</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b/>
          <w:bCs/>
          <w:sz w:val="32"/>
          <w:szCs w:val="32"/>
          <w:lang w:val="zh-CN"/>
        </w:rPr>
      </w:pPr>
      <w:r>
        <w:rPr>
          <w:rFonts w:hint="eastAsia" w:ascii="仿宋_GB2312" w:eastAsia="仿宋_GB2312" w:cs="仿宋_GB2312"/>
          <w:b/>
          <w:bCs/>
          <w:sz w:val="32"/>
          <w:szCs w:val="32"/>
          <w:lang w:val="zh-CN"/>
        </w:rPr>
        <w:t>1.项目决策。</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（1）决策程序</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项目设立、调整延续等方面符合资金管理基本规范和决策程序要求，该项指标得分6分。</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（2）规划论证</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项目规划符合中央、省委省政府有关决策部署安排，项目充分评估论证了立项必要性、前瞻性、合理性和可行性。项目总体绩效目标设置合理性的偏离度≤15%，绩效目标科学合理、规范完整、量化细化、预算匹配，该项指标得分5分。</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（3）资金投向</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6分。</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b/>
          <w:bCs/>
          <w:sz w:val="32"/>
          <w:szCs w:val="32"/>
          <w:lang w:val="zh-CN"/>
        </w:rPr>
      </w:pPr>
      <w:r>
        <w:rPr>
          <w:rFonts w:hint="eastAsia" w:ascii="仿宋_GB2312" w:eastAsia="仿宋_GB2312" w:cs="仿宋_GB2312"/>
          <w:b/>
          <w:bCs/>
          <w:sz w:val="32"/>
          <w:szCs w:val="32"/>
          <w:lang w:val="zh-CN"/>
        </w:rPr>
        <w:t>2.项目管理。</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（1）制度办法</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资金管理办法等管理制度体系健全完善，不存在管理制度缺失、管理办法过期情况，</w:t>
      </w:r>
      <w:r>
        <w:rPr>
          <w:rFonts w:hint="eastAsia" w:ascii="仿宋_GB2312" w:eastAsia="仿宋_GB2312" w:cs="仿宋_GB2312"/>
          <w:sz w:val="32"/>
          <w:szCs w:val="32"/>
          <w:lang w:val="zh-CN"/>
        </w:rPr>
        <w:t>该项指标得分</w:t>
      </w:r>
      <w:r>
        <w:rPr>
          <w:rFonts w:hint="eastAsia" w:ascii="仿宋_GB2312" w:eastAsia="仿宋_GB2312" w:cs="仿宋_GB2312"/>
          <w:sz w:val="32"/>
          <w:szCs w:val="32"/>
        </w:rPr>
        <w:t>2</w:t>
      </w:r>
      <w:r>
        <w:rPr>
          <w:rFonts w:hint="eastAsia" w:ascii="仿宋_GB2312" w:eastAsia="仿宋_GB2312" w:cs="仿宋_GB2312"/>
          <w:sz w:val="32"/>
          <w:szCs w:val="32"/>
          <w:lang w:val="zh-CN"/>
        </w:rPr>
        <w:t>分。</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（2）分配管理</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8分。</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（3）绩效监管</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项目按</w:t>
      </w:r>
      <w:r>
        <w:rPr>
          <w:rFonts w:hint="default" w:ascii="仿宋_GB2312" w:eastAsia="仿宋_GB2312" w:cs="仿宋_GB2312"/>
          <w:sz w:val="32"/>
          <w:szCs w:val="32"/>
        </w:rPr>
        <w:t>中央、省委</w:t>
      </w:r>
      <w:r>
        <w:rPr>
          <w:rFonts w:hint="eastAsia" w:ascii="仿宋_GB2312" w:eastAsia="仿宋_GB2312" w:cs="仿宋_GB2312"/>
          <w:sz w:val="32"/>
          <w:szCs w:val="32"/>
          <w:lang w:val="zh-CN"/>
        </w:rPr>
        <w:t>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6分。</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b/>
          <w:bCs/>
          <w:sz w:val="32"/>
          <w:szCs w:val="32"/>
          <w:lang w:val="zh-CN"/>
        </w:rPr>
      </w:pPr>
      <w:r>
        <w:rPr>
          <w:rFonts w:hint="eastAsia" w:ascii="仿宋_GB2312" w:eastAsia="仿宋_GB2312" w:cs="仿宋_GB2312"/>
          <w:b/>
          <w:bCs/>
          <w:sz w:val="32"/>
          <w:szCs w:val="32"/>
          <w:lang w:val="zh-CN"/>
        </w:rPr>
        <w:t>3.项目实施。围绕、进行绩效分析。</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（1）预算执行</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财政资金已按照要求拨付完毕，拨付率100%，该项指标得分=财政资金拨付率×100%×6=6分。</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（2）资金使用</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b/>
          <w:bCs/>
          <w:sz w:val="32"/>
          <w:szCs w:val="32"/>
          <w:lang w:val="zh-CN"/>
        </w:rPr>
      </w:pPr>
      <w:r>
        <w:rPr>
          <w:rFonts w:hint="eastAsia" w:ascii="仿宋_GB2312" w:eastAsia="仿宋_GB2312" w:cs="仿宋_GB2312"/>
          <w:b/>
          <w:bCs/>
          <w:sz w:val="32"/>
          <w:szCs w:val="32"/>
          <w:lang w:val="zh-CN"/>
        </w:rPr>
        <w:t>4.项目结果。</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（1）目标完成</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项目完成预期目标，实施结果与绩效目标相匹配，该项指标得分6分。</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（2）完成时效</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项目实际完成时间与计划完成时间相符，该项指标得分3分。</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楷体_GB2312" w:eastAsia="楷体_GB2312"/>
          <w:b/>
          <w:sz w:val="32"/>
          <w:szCs w:val="32"/>
          <w:lang w:val="zh-CN"/>
        </w:rPr>
      </w:pPr>
      <w:r>
        <w:rPr>
          <w:rFonts w:hint="eastAsia" w:ascii="楷体_GB2312" w:eastAsia="楷体_GB2312"/>
          <w:b/>
          <w:sz w:val="32"/>
          <w:szCs w:val="32"/>
          <w:lang w:val="zh-CN"/>
        </w:rPr>
        <w:t>（二）专用指标绩效分析。</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行政运行</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ascii="仿宋_GB2312" w:eastAsia="仿宋_GB2312" w:cs="仿宋_GB2312"/>
          <w:sz w:val="32"/>
          <w:szCs w:val="32"/>
          <w:lang w:val="zh-CN"/>
        </w:rPr>
        <w:t>按</w:t>
      </w:r>
      <w:r>
        <w:rPr>
          <w:rFonts w:hint="eastAsia" w:ascii="仿宋_GB2312" w:eastAsia="仿宋_GB2312" w:cs="仿宋_GB2312"/>
          <w:sz w:val="32"/>
          <w:szCs w:val="32"/>
          <w:lang w:val="zh-CN"/>
        </w:rPr>
        <w:t>按规定用途、适用范围进行本地区专项资金分配</w:t>
      </w:r>
      <w:r>
        <w:rPr>
          <w:rFonts w:ascii="仿宋_GB2312" w:eastAsia="仿宋_GB2312" w:cs="仿宋_GB2312"/>
          <w:sz w:val="32"/>
          <w:szCs w:val="32"/>
          <w:lang w:val="zh-CN"/>
        </w:rPr>
        <w:t>得10分</w:t>
      </w:r>
      <w:r>
        <w:rPr>
          <w:rFonts w:hint="eastAsia" w:ascii="仿宋_GB2312" w:eastAsia="仿宋_GB2312" w:cs="仿宋_GB2312"/>
          <w:sz w:val="32"/>
          <w:szCs w:val="32"/>
          <w:lang w:val="zh-CN"/>
        </w:rPr>
        <w:t>；</w:t>
      </w:r>
      <w:r>
        <w:rPr>
          <w:rFonts w:ascii="仿宋_GB2312" w:eastAsia="仿宋_GB2312" w:cs="仿宋_GB2312"/>
          <w:sz w:val="32"/>
          <w:szCs w:val="32"/>
          <w:lang w:val="zh-CN"/>
        </w:rPr>
        <w:t>按</w:t>
      </w:r>
      <w:r>
        <w:rPr>
          <w:rFonts w:hint="eastAsia" w:ascii="仿宋_GB2312" w:eastAsia="仿宋_GB2312" w:cs="仿宋_GB2312"/>
          <w:sz w:val="32"/>
          <w:szCs w:val="32"/>
          <w:lang w:val="zh-CN"/>
        </w:rPr>
        <w:t>资金管理程序符合专项资金管理要求</w:t>
      </w:r>
      <w:r>
        <w:rPr>
          <w:rFonts w:ascii="仿宋_GB2312" w:eastAsia="仿宋_GB2312" w:cs="仿宋_GB2312"/>
          <w:sz w:val="32"/>
          <w:szCs w:val="32"/>
          <w:lang w:val="zh-CN"/>
        </w:rPr>
        <w:t>10分</w:t>
      </w:r>
      <w:r>
        <w:rPr>
          <w:rFonts w:hint="eastAsia" w:ascii="仿宋_GB2312" w:eastAsia="仿宋_GB2312" w:cs="仿宋_GB2312"/>
          <w:sz w:val="32"/>
          <w:szCs w:val="32"/>
          <w:lang w:val="zh-CN"/>
        </w:rPr>
        <w:t>；</w:t>
      </w:r>
      <w:r>
        <w:rPr>
          <w:rFonts w:ascii="仿宋_GB2312" w:eastAsia="仿宋_GB2312" w:cs="仿宋_GB2312"/>
          <w:sz w:val="32"/>
          <w:szCs w:val="32"/>
          <w:lang w:val="zh-CN"/>
        </w:rPr>
        <w:t>按</w:t>
      </w:r>
      <w:r>
        <w:rPr>
          <w:rFonts w:hint="eastAsia" w:ascii="仿宋_GB2312" w:eastAsia="仿宋_GB2312" w:cs="仿宋_GB2312"/>
          <w:sz w:val="32"/>
          <w:szCs w:val="32"/>
          <w:lang w:val="zh-CN"/>
        </w:rPr>
        <w:t>资金分配标准符合专项资金管理要求</w:t>
      </w:r>
      <w:r>
        <w:rPr>
          <w:rFonts w:ascii="仿宋_GB2312" w:eastAsia="仿宋_GB2312" w:cs="仿宋_GB2312"/>
          <w:sz w:val="32"/>
          <w:szCs w:val="32"/>
          <w:lang w:val="zh-CN"/>
        </w:rPr>
        <w:t>10分</w:t>
      </w:r>
      <w:r>
        <w:rPr>
          <w:rFonts w:hint="eastAsia" w:ascii="仿宋_GB2312" w:eastAsia="仿宋_GB2312" w:cs="仿宋_GB2312"/>
          <w:sz w:val="32"/>
          <w:szCs w:val="32"/>
          <w:lang w:val="zh-CN"/>
        </w:rPr>
        <w:t>，该项指标</w:t>
      </w:r>
      <w:r>
        <w:rPr>
          <w:rFonts w:ascii="仿宋_GB2312" w:eastAsia="仿宋_GB2312" w:cs="仿宋_GB2312"/>
          <w:sz w:val="32"/>
          <w:szCs w:val="32"/>
          <w:lang w:val="zh-CN"/>
        </w:rPr>
        <w:t>总</w:t>
      </w:r>
      <w:r>
        <w:rPr>
          <w:rFonts w:hint="eastAsia" w:ascii="仿宋_GB2312" w:eastAsia="仿宋_GB2312" w:cs="仿宋_GB2312"/>
          <w:sz w:val="32"/>
          <w:szCs w:val="32"/>
          <w:lang w:val="zh-CN"/>
        </w:rPr>
        <w:t>得分30分。</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楷体_GB2312" w:eastAsia="楷体_GB2312"/>
          <w:b/>
          <w:sz w:val="32"/>
          <w:szCs w:val="32"/>
          <w:lang w:val="zh-CN"/>
        </w:rPr>
      </w:pPr>
      <w:r>
        <w:rPr>
          <w:rFonts w:hint="eastAsia" w:ascii="楷体_GB2312" w:eastAsia="楷体_GB2312"/>
          <w:b/>
          <w:sz w:val="32"/>
          <w:szCs w:val="32"/>
          <w:lang w:val="zh-CN"/>
        </w:rPr>
        <w:t>（三）个性指标绩效分析。</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项目已如期建成，资金已按期拨付，项目实施后已达到预期效果，该项指标得分1</w:t>
      </w:r>
      <w:r>
        <w:rPr>
          <w:rFonts w:hint="eastAsia" w:ascii="仿宋_GB2312" w:eastAsia="仿宋_GB2312" w:cs="仿宋_GB2312"/>
          <w:sz w:val="32"/>
          <w:szCs w:val="32"/>
        </w:rPr>
        <w:t>6</w:t>
      </w:r>
      <w:r>
        <w:rPr>
          <w:rFonts w:hint="eastAsia" w:ascii="仿宋_GB2312" w:eastAsia="仿宋_GB2312" w:cs="仿宋_GB2312"/>
          <w:sz w:val="32"/>
          <w:szCs w:val="32"/>
          <w:lang w:val="zh-CN"/>
        </w:rPr>
        <w:t>分。</w:t>
      </w:r>
    </w:p>
    <w:p>
      <w:pPr>
        <w:pStyle w:val="5"/>
        <w:keepNext w:val="0"/>
        <w:keepLines w:val="0"/>
        <w:pageBreakBefore w:val="0"/>
        <w:kinsoku/>
        <w:wordWrap/>
        <w:overflowPunct/>
        <w:topLinePunct w:val="0"/>
        <w:autoSpaceDE/>
        <w:autoSpaceDN/>
        <w:bidi w:val="0"/>
        <w:spacing w:line="560" w:lineRule="exact"/>
        <w:ind w:firstLine="624" w:firstLineChars="200"/>
        <w:jc w:val="both"/>
        <w:textAlignment w:val="auto"/>
        <w:rPr>
          <w:rFonts w:ascii="黑体"/>
          <w:sz w:val="32"/>
          <w:szCs w:val="32"/>
        </w:rPr>
      </w:pPr>
      <w:r>
        <w:rPr>
          <w:rFonts w:hint="eastAsia" w:ascii="黑体"/>
          <w:sz w:val="32"/>
          <w:szCs w:val="32"/>
        </w:rPr>
        <w:t>四、评价结论</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我单位严格按照绩效自评工作要求，秉承客观公正、实事求是的原则开展了</w:t>
      </w:r>
      <w:r>
        <w:rPr>
          <w:rFonts w:hint="eastAsia" w:ascii="仿宋_GB2312" w:eastAsia="仿宋_GB2312" w:cs="仿宋_GB2312"/>
          <w:sz w:val="32"/>
          <w:szCs w:val="32"/>
        </w:rPr>
        <w:t>石碉楼乡</w:t>
      </w:r>
      <w:r>
        <w:rPr>
          <w:rFonts w:hint="eastAsia" w:ascii="仿宋_GB2312" w:eastAsia="仿宋_GB2312" w:cs="仿宋_GB2312"/>
          <w:sz w:val="32"/>
          <w:szCs w:val="32"/>
          <w:lang w:eastAsia="zh-CN"/>
        </w:rPr>
        <w:t>2025</w:t>
      </w:r>
      <w:r>
        <w:rPr>
          <w:rFonts w:hint="eastAsia" w:ascii="仿宋_GB2312" w:eastAsia="仿宋_GB2312" w:cs="仿宋_GB2312"/>
          <w:sz w:val="32"/>
          <w:szCs w:val="32"/>
        </w:rPr>
        <w:t>年捐赠资金—华润</w:t>
      </w:r>
      <w:r>
        <w:rPr>
          <w:rFonts w:hint="eastAsia" w:ascii="仿宋_GB2312" w:eastAsia="仿宋_GB2312" w:cs="仿宋_GB2312"/>
          <w:sz w:val="32"/>
          <w:szCs w:val="32"/>
          <w:lang w:val="zh-CN"/>
        </w:rPr>
        <w:t>项目支出绩效自评工作，经对各类指标进行评分和汇总分析，项目支出绩效评价综合得分</w:t>
      </w:r>
      <w:r>
        <w:rPr>
          <w:rFonts w:hint="eastAsia" w:ascii="仿宋_GB2312" w:eastAsia="仿宋_GB2312" w:cs="仿宋_GB2312"/>
          <w:sz w:val="32"/>
          <w:szCs w:val="32"/>
        </w:rPr>
        <w:t>9</w:t>
      </w:r>
      <w:r>
        <w:rPr>
          <w:rFonts w:ascii="仿宋_GB2312" w:eastAsia="仿宋_GB2312" w:cs="仿宋_GB2312"/>
          <w:sz w:val="32"/>
          <w:szCs w:val="32"/>
        </w:rPr>
        <w:t>7</w:t>
      </w:r>
      <w:r>
        <w:rPr>
          <w:rFonts w:hint="eastAsia" w:ascii="仿宋_GB2312" w:eastAsia="仿宋_GB2312" w:cs="仿宋_GB2312"/>
          <w:sz w:val="32"/>
          <w:szCs w:val="32"/>
          <w:lang w:val="zh-CN"/>
        </w:rPr>
        <w:t>分。评价结果显示，</w:t>
      </w:r>
      <w:r>
        <w:rPr>
          <w:rFonts w:hint="eastAsia" w:ascii="仿宋_GB2312" w:eastAsia="仿宋_GB2312" w:cs="仿宋_GB2312"/>
          <w:sz w:val="32"/>
          <w:szCs w:val="32"/>
        </w:rPr>
        <w:t>石碉楼乡</w:t>
      </w:r>
      <w:r>
        <w:rPr>
          <w:rFonts w:hint="eastAsia" w:ascii="仿宋_GB2312" w:eastAsia="仿宋_GB2312" w:cs="仿宋_GB2312"/>
          <w:sz w:val="32"/>
          <w:szCs w:val="32"/>
          <w:lang w:eastAsia="zh-CN"/>
        </w:rPr>
        <w:t>2025</w:t>
      </w:r>
      <w:r>
        <w:rPr>
          <w:rFonts w:hint="eastAsia" w:ascii="仿宋_GB2312" w:eastAsia="仿宋_GB2312" w:cs="仿宋_GB2312"/>
          <w:sz w:val="32"/>
          <w:szCs w:val="32"/>
        </w:rPr>
        <w:t>年捐赠资金—华润</w:t>
      </w:r>
      <w:r>
        <w:rPr>
          <w:rFonts w:hint="eastAsia" w:ascii="仿宋_GB2312" w:eastAsia="仿宋_GB2312" w:cs="仿宋_GB2312"/>
          <w:sz w:val="32"/>
          <w:szCs w:val="32"/>
          <w:lang w:val="zh-CN"/>
        </w:rPr>
        <w:t>项目按照相关规定进行使用和管理，程序较为规范，项目支出使用效益达到预期。</w:t>
      </w:r>
    </w:p>
    <w:p>
      <w:pPr>
        <w:pStyle w:val="5"/>
        <w:keepNext w:val="0"/>
        <w:keepLines w:val="0"/>
        <w:pageBreakBefore w:val="0"/>
        <w:kinsoku/>
        <w:wordWrap/>
        <w:overflowPunct/>
        <w:topLinePunct w:val="0"/>
        <w:autoSpaceDE/>
        <w:autoSpaceDN/>
        <w:bidi w:val="0"/>
        <w:spacing w:line="560" w:lineRule="exact"/>
        <w:ind w:firstLine="624" w:firstLineChars="200"/>
        <w:jc w:val="both"/>
        <w:textAlignment w:val="auto"/>
        <w:rPr>
          <w:rFonts w:ascii="黑体"/>
          <w:sz w:val="32"/>
          <w:szCs w:val="32"/>
        </w:rPr>
      </w:pPr>
      <w:r>
        <w:rPr>
          <w:rFonts w:hint="eastAsia" w:ascii="黑体"/>
          <w:sz w:val="32"/>
          <w:szCs w:val="32"/>
        </w:rPr>
        <w:t>五、存在主要问题</w:t>
      </w:r>
    </w:p>
    <w:p>
      <w:pPr>
        <w:pStyle w:val="5"/>
        <w:keepNext w:val="0"/>
        <w:keepLines w:val="0"/>
        <w:pageBreakBefore w:val="0"/>
        <w:kinsoku/>
        <w:wordWrap/>
        <w:overflowPunct/>
        <w:topLinePunct w:val="0"/>
        <w:autoSpaceDE/>
        <w:autoSpaceDN/>
        <w:bidi w:val="0"/>
        <w:spacing w:line="560" w:lineRule="exact"/>
        <w:ind w:firstLine="624" w:firstLineChars="200"/>
        <w:jc w:val="both"/>
        <w:textAlignment w:val="auto"/>
        <w:rPr>
          <w:rFonts w:ascii="仿宋_GB2312" w:eastAsia="仿宋_GB2312" w:cs="仿宋_GB2312"/>
          <w:kern w:val="2"/>
          <w:position w:val="0"/>
          <w:sz w:val="32"/>
          <w:szCs w:val="32"/>
        </w:rPr>
      </w:pPr>
      <w:r>
        <w:rPr>
          <w:rFonts w:hint="eastAsia" w:ascii="仿宋_GB2312" w:eastAsia="仿宋_GB2312" w:cs="仿宋_GB2312"/>
          <w:kern w:val="2"/>
          <w:position w:val="0"/>
          <w:sz w:val="32"/>
          <w:szCs w:val="32"/>
        </w:rPr>
        <w:t>无</w:t>
      </w:r>
    </w:p>
    <w:p>
      <w:pPr>
        <w:pStyle w:val="5"/>
        <w:keepNext w:val="0"/>
        <w:keepLines w:val="0"/>
        <w:pageBreakBefore w:val="0"/>
        <w:kinsoku/>
        <w:wordWrap/>
        <w:overflowPunct/>
        <w:topLinePunct w:val="0"/>
        <w:autoSpaceDE/>
        <w:autoSpaceDN/>
        <w:bidi w:val="0"/>
        <w:spacing w:line="560" w:lineRule="exact"/>
        <w:ind w:firstLine="624" w:firstLineChars="200"/>
        <w:jc w:val="both"/>
        <w:textAlignment w:val="auto"/>
        <w:rPr>
          <w:rFonts w:ascii="黑体"/>
          <w:sz w:val="32"/>
          <w:szCs w:val="32"/>
          <w:lang w:val="zh-CN"/>
        </w:rPr>
      </w:pPr>
      <w:r>
        <w:rPr>
          <w:rFonts w:hint="eastAsia" w:ascii="黑体"/>
          <w:sz w:val="32"/>
          <w:szCs w:val="32"/>
          <w:lang w:val="zh-CN"/>
        </w:rPr>
        <w:t>六、改进建议</w:t>
      </w:r>
    </w:p>
    <w:p>
      <w:pPr>
        <w:pStyle w:val="5"/>
        <w:keepNext w:val="0"/>
        <w:keepLines w:val="0"/>
        <w:pageBreakBefore w:val="0"/>
        <w:kinsoku/>
        <w:wordWrap/>
        <w:overflowPunct/>
        <w:topLinePunct w:val="0"/>
        <w:autoSpaceDE/>
        <w:autoSpaceDN/>
        <w:bidi w:val="0"/>
        <w:spacing w:line="560" w:lineRule="exact"/>
        <w:ind w:firstLine="624" w:firstLineChars="200"/>
        <w:jc w:val="both"/>
        <w:textAlignment w:val="auto"/>
        <w:rPr>
          <w:color w:val="000000"/>
          <w:shd w:val="clear" w:color="auto" w:fill="FFFFFF"/>
          <w:lang w:val="zh-CN"/>
        </w:rPr>
      </w:pPr>
      <w:bookmarkStart w:id="0" w:name="_Hlk110546638"/>
      <w:r>
        <w:rPr>
          <w:rFonts w:hint="eastAsia" w:ascii="仿宋_GB2312" w:eastAsia="仿宋_GB2312" w:cs="仿宋_GB2312"/>
          <w:kern w:val="2"/>
          <w:position w:val="0"/>
          <w:sz w:val="32"/>
          <w:szCs w:val="32"/>
        </w:rPr>
        <w:t>无</w:t>
      </w:r>
      <w:bookmarkEnd w:id="0"/>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hint="eastAsia" w:ascii="仿宋_GB2312" w:eastAsia="仿宋_GB2312" w:cs="仿宋_GB2312"/>
          <w:kern w:val="2"/>
          <w:position w:val="0"/>
          <w:sz w:val="32"/>
          <w:szCs w:val="32"/>
        </w:rPr>
      </w:pP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hint="eastAsia" w:ascii="仿宋_GB2312" w:eastAsia="仿宋_GB2312" w:cs="仿宋_GB2312"/>
          <w:kern w:val="2"/>
          <w:position w:val="0"/>
          <w:sz w:val="32"/>
          <w:szCs w:val="32"/>
        </w:rPr>
      </w:pP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hint="default" w:ascii="仿宋_GB2312" w:eastAsia="仿宋_GB2312"/>
          <w:kern w:val="0"/>
          <w:sz w:val="32"/>
          <w:szCs w:val="32"/>
          <w:lang w:val="en-US" w:eastAsia="zh-CN"/>
        </w:rPr>
      </w:pPr>
      <w:r>
        <w:rPr>
          <w:rFonts w:hint="eastAsia" w:ascii="仿宋_GB2312" w:eastAsia="仿宋_GB2312" w:cs="仿宋_GB2312"/>
          <w:kern w:val="2"/>
          <w:position w:val="0"/>
          <w:sz w:val="32"/>
          <w:szCs w:val="32"/>
        </w:rPr>
        <w:t>附表：</w:t>
      </w:r>
      <w:r>
        <w:rPr>
          <w:rFonts w:hint="default" w:ascii="仿宋_GB2312" w:eastAsia="仿宋_GB2312"/>
          <w:kern w:val="0"/>
          <w:sz w:val="32"/>
          <w:szCs w:val="32"/>
          <w:lang w:val="en-US" w:eastAsia="zh-CN"/>
        </w:rPr>
        <w:t>1.</w:t>
      </w:r>
      <w:r>
        <w:rPr>
          <w:rFonts w:hint="eastAsia" w:ascii="仿宋_GB2312" w:eastAsia="仿宋_GB2312"/>
          <w:kern w:val="0"/>
          <w:sz w:val="32"/>
          <w:szCs w:val="32"/>
          <w:lang w:val="en-US" w:eastAsia="zh-CN"/>
        </w:rPr>
        <w:t>专项</w:t>
      </w:r>
      <w:r>
        <w:rPr>
          <w:rFonts w:hint="default" w:ascii="仿宋_GB2312" w:eastAsia="仿宋_GB2312"/>
          <w:kern w:val="0"/>
          <w:sz w:val="32"/>
          <w:szCs w:val="32"/>
          <w:lang w:val="en-US" w:eastAsia="zh-CN"/>
        </w:rPr>
        <w:t>预算绩效自评打分表</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hint="default" w:ascii="仿宋_GB2312" w:eastAsia="仿宋_GB2312"/>
          <w:kern w:val="0"/>
          <w:sz w:val="32"/>
          <w:szCs w:val="32"/>
          <w:lang w:val="en-US" w:eastAsia="zh-CN"/>
        </w:rPr>
      </w:pPr>
      <w:r>
        <w:rPr>
          <w:rFonts w:hint="eastAsia" w:ascii="仿宋_GB2312" w:eastAsia="仿宋_GB2312"/>
          <w:kern w:val="0"/>
          <w:sz w:val="32"/>
          <w:szCs w:val="32"/>
          <w:lang w:val="en-US" w:eastAsia="zh-CN"/>
        </w:rPr>
        <w:t xml:space="preserve">      </w:t>
      </w:r>
      <w:r>
        <w:rPr>
          <w:rFonts w:hint="default" w:ascii="仿宋_GB2312" w:eastAsia="仿宋_GB2312"/>
          <w:kern w:val="0"/>
          <w:sz w:val="32"/>
          <w:szCs w:val="32"/>
          <w:lang w:val="en-US" w:eastAsia="zh-CN"/>
        </w:rPr>
        <w:t>2.专项预算绩效自评实地踏勘点位清单表</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仿宋_GB2312" w:eastAsia="仿宋_GB2312"/>
          <w:color w:val="000000"/>
          <w:kern w:val="0"/>
          <w:sz w:val="32"/>
          <w:szCs w:val="32"/>
          <w:shd w:val="clear" w:color="auto" w:fill="FFFFFF"/>
        </w:rPr>
      </w:pPr>
      <w:r>
        <w:rPr>
          <w:rFonts w:hint="eastAsia" w:ascii="仿宋_GB2312" w:eastAsia="仿宋_GB2312"/>
          <w:kern w:val="0"/>
          <w:sz w:val="32"/>
          <w:szCs w:val="32"/>
          <w:lang w:val="en-US" w:eastAsia="zh-CN"/>
        </w:rPr>
        <w:t xml:space="preserve">      3.</w:t>
      </w:r>
      <w:r>
        <w:rPr>
          <w:rFonts w:hint="default" w:ascii="仿宋_GB2312" w:eastAsia="仿宋_GB2312"/>
          <w:kern w:val="0"/>
          <w:sz w:val="32"/>
          <w:szCs w:val="32"/>
          <w:lang w:val="en-US" w:eastAsia="zh-CN"/>
        </w:rPr>
        <w:t>专项预算项目绩效目标完成情况自评表</w:t>
      </w:r>
    </w:p>
    <w:p>
      <w:pPr>
        <w:pStyle w:val="5"/>
        <w:keepNext w:val="0"/>
        <w:keepLines w:val="0"/>
        <w:pageBreakBefore w:val="0"/>
        <w:kinsoku/>
        <w:wordWrap/>
        <w:overflowPunct/>
        <w:topLinePunct w:val="0"/>
        <w:autoSpaceDE/>
        <w:autoSpaceDN/>
        <w:bidi w:val="0"/>
        <w:spacing w:line="560" w:lineRule="exact"/>
        <w:ind w:firstLine="1560" w:firstLineChars="500"/>
        <w:jc w:val="both"/>
        <w:textAlignment w:val="auto"/>
        <w:rPr>
          <w:rFonts w:ascii="仿宋_GB2312" w:eastAsia="仿宋_GB2312" w:cs="仿宋_GB2312"/>
          <w:kern w:val="2"/>
          <w:position w:val="0"/>
          <w:sz w:val="32"/>
          <w:szCs w:val="32"/>
        </w:rPr>
      </w:pPr>
    </w:p>
    <w:p>
      <w:pPr>
        <w:keepNext w:val="0"/>
        <w:keepLines w:val="0"/>
        <w:pageBreakBefore w:val="0"/>
        <w:kinsoku/>
        <w:wordWrap/>
        <w:overflowPunct/>
        <w:topLinePunct w:val="0"/>
        <w:autoSpaceDE/>
        <w:autoSpaceDN/>
        <w:bidi w:val="0"/>
        <w:spacing w:line="560" w:lineRule="exact"/>
        <w:ind w:firstLine="4056" w:firstLineChars="1300"/>
        <w:textAlignment w:val="auto"/>
        <w:rPr>
          <w:rFonts w:ascii="仿宋_GB2312" w:eastAsia="仿宋_GB2312" w:cs="仿宋_GB2312"/>
          <w:sz w:val="32"/>
          <w:szCs w:val="32"/>
        </w:rPr>
      </w:pPr>
    </w:p>
    <w:p>
      <w:pPr>
        <w:keepNext w:val="0"/>
        <w:keepLines w:val="0"/>
        <w:pageBreakBefore w:val="0"/>
        <w:kinsoku/>
        <w:wordWrap/>
        <w:overflowPunct/>
        <w:topLinePunct w:val="0"/>
        <w:autoSpaceDE/>
        <w:autoSpaceDN/>
        <w:bidi w:val="0"/>
        <w:spacing w:line="560" w:lineRule="exact"/>
        <w:ind w:firstLine="4056" w:firstLineChars="1300"/>
        <w:textAlignment w:val="auto"/>
        <w:rPr>
          <w:rFonts w:ascii="仿宋_GB2312" w:eastAsia="仿宋_GB2312" w:cs="仿宋_GB2312"/>
          <w:sz w:val="32"/>
          <w:szCs w:val="32"/>
        </w:rPr>
      </w:pPr>
    </w:p>
    <w:p>
      <w:pPr>
        <w:keepNext w:val="0"/>
        <w:keepLines w:val="0"/>
        <w:pageBreakBefore w:val="0"/>
        <w:kinsoku/>
        <w:wordWrap/>
        <w:overflowPunct/>
        <w:topLinePunct w:val="0"/>
        <w:autoSpaceDE/>
        <w:autoSpaceDN/>
        <w:bidi w:val="0"/>
        <w:spacing w:line="560" w:lineRule="exact"/>
        <w:ind w:firstLine="4056" w:firstLineChars="1300"/>
        <w:textAlignment w:val="auto"/>
        <w:rPr>
          <w:rFonts w:ascii="仿宋_GB2312" w:eastAsia="仿宋_GB2312" w:cs="仿宋_GB2312"/>
          <w:sz w:val="32"/>
          <w:szCs w:val="32"/>
        </w:rPr>
      </w:pPr>
    </w:p>
    <w:p>
      <w:pPr>
        <w:keepNext w:val="0"/>
        <w:keepLines w:val="0"/>
        <w:pageBreakBefore w:val="0"/>
        <w:kinsoku/>
        <w:wordWrap/>
        <w:overflowPunct/>
        <w:topLinePunct w:val="0"/>
        <w:autoSpaceDE/>
        <w:autoSpaceDN/>
        <w:bidi w:val="0"/>
        <w:spacing w:line="560" w:lineRule="exact"/>
        <w:ind w:firstLine="4056" w:firstLineChars="1300"/>
        <w:textAlignment w:val="auto"/>
        <w:rPr>
          <w:rFonts w:ascii="仿宋_GB2312" w:eastAsia="仿宋_GB2312" w:cs="仿宋_GB2312"/>
          <w:sz w:val="32"/>
          <w:szCs w:val="32"/>
        </w:rPr>
      </w:pPr>
    </w:p>
    <w:p>
      <w:pPr>
        <w:keepNext w:val="0"/>
        <w:keepLines w:val="0"/>
        <w:pageBreakBefore w:val="0"/>
        <w:kinsoku/>
        <w:wordWrap/>
        <w:overflowPunct/>
        <w:topLinePunct w:val="0"/>
        <w:autoSpaceDE/>
        <w:autoSpaceDN/>
        <w:bidi w:val="0"/>
        <w:spacing w:line="560" w:lineRule="exact"/>
        <w:ind w:firstLine="4056" w:firstLineChars="1300"/>
        <w:textAlignment w:val="auto"/>
        <w:rPr>
          <w:rFonts w:ascii="仿宋_GB2312" w:eastAsia="仿宋_GB2312" w:cs="仿宋_GB2312"/>
          <w:sz w:val="32"/>
          <w:szCs w:val="32"/>
        </w:rPr>
      </w:pPr>
      <w:r>
        <w:rPr>
          <w:rFonts w:ascii="仿宋_GB2312" w:eastAsia="仿宋_GB2312" w:cs="仿宋_GB2312"/>
          <w:sz w:val="32"/>
          <w:szCs w:val="32"/>
        </w:rPr>
        <w:drawing>
          <wp:anchor distT="0" distB="0" distL="114300" distR="114300" simplePos="0" relativeHeight="251659264" behindDoc="0" locked="0" layoutInCell="1" allowOverlap="1">
            <wp:simplePos x="0" y="0"/>
            <wp:positionH relativeFrom="column">
              <wp:posOffset>3459480</wp:posOffset>
            </wp:positionH>
            <wp:positionV relativeFrom="paragraph">
              <wp:posOffset>26035</wp:posOffset>
            </wp:positionV>
            <wp:extent cx="1638300" cy="1619250"/>
            <wp:effectExtent l="0" t="0" r="0" b="0"/>
            <wp:wrapNone/>
            <wp:docPr id="3" name="图片 2" descr="公章电子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公章电子章"/>
                    <pic:cNvPicPr>
                      <a:picLocks noChangeAspect="1"/>
                    </pic:cNvPicPr>
                  </pic:nvPicPr>
                  <pic:blipFill>
                    <a:blip r:embed="rId4"/>
                    <a:stretch>
                      <a:fillRect/>
                    </a:stretch>
                  </pic:blipFill>
                  <pic:spPr>
                    <a:xfrm>
                      <a:off x="0" y="0"/>
                      <a:ext cx="1638299" cy="1619250"/>
                    </a:xfrm>
                    <a:prstGeom prst="rect">
                      <a:avLst/>
                    </a:prstGeom>
                    <a:noFill/>
                    <a:ln w="9525" cap="flat" cmpd="sng">
                      <a:noFill/>
                      <a:prstDash val="solid"/>
                      <a:round/>
                    </a:ln>
                  </pic:spPr>
                </pic:pic>
              </a:graphicData>
            </a:graphic>
          </wp:anchor>
        </w:drawing>
      </w:r>
    </w:p>
    <w:p>
      <w:pPr>
        <w:keepNext w:val="0"/>
        <w:keepLines w:val="0"/>
        <w:pageBreakBefore w:val="0"/>
        <w:kinsoku/>
        <w:wordWrap/>
        <w:overflowPunct/>
        <w:topLinePunct w:val="0"/>
        <w:autoSpaceDE/>
        <w:autoSpaceDN/>
        <w:bidi w:val="0"/>
        <w:spacing w:line="560" w:lineRule="exact"/>
        <w:textAlignment w:val="auto"/>
        <w:rPr>
          <w:rFonts w:ascii="仿宋_GB2312" w:eastAsia="仿宋_GB2312" w:cs="仿宋_GB2312"/>
          <w:sz w:val="32"/>
          <w:szCs w:val="32"/>
        </w:rPr>
      </w:pPr>
    </w:p>
    <w:p>
      <w:pPr>
        <w:keepNext w:val="0"/>
        <w:keepLines w:val="0"/>
        <w:pageBreakBefore w:val="0"/>
        <w:kinsoku/>
        <w:wordWrap/>
        <w:overflowPunct/>
        <w:topLinePunct w:val="0"/>
        <w:autoSpaceDE/>
        <w:autoSpaceDN/>
        <w:bidi w:val="0"/>
        <w:spacing w:line="560" w:lineRule="exact"/>
        <w:jc w:val="right"/>
        <w:textAlignment w:val="auto"/>
        <w:rPr>
          <w:rFonts w:ascii="仿宋_GB2312" w:eastAsia="仿宋_GB2312" w:cs="仿宋_GB2312"/>
          <w:sz w:val="32"/>
          <w:szCs w:val="32"/>
        </w:rPr>
      </w:pPr>
      <w:r>
        <w:rPr>
          <w:rFonts w:hint="eastAsia" w:ascii="仿宋_GB2312" w:eastAsia="仿宋_GB2312" w:cs="仿宋_GB2312"/>
          <w:sz w:val="32"/>
          <w:szCs w:val="32"/>
        </w:rPr>
        <w:t>黑水县石碉楼乡人民政府</w:t>
      </w:r>
    </w:p>
    <w:p>
      <w:pPr>
        <w:keepNext w:val="0"/>
        <w:keepLines w:val="0"/>
        <w:pageBreakBefore w:val="0"/>
        <w:kinsoku/>
        <w:wordWrap/>
        <w:overflowPunct/>
        <w:topLinePunct w:val="0"/>
        <w:autoSpaceDE/>
        <w:autoSpaceDN/>
        <w:bidi w:val="0"/>
        <w:spacing w:line="560" w:lineRule="exact"/>
        <w:ind w:firstLine="5304" w:firstLineChars="1700"/>
        <w:jc w:val="right"/>
        <w:textAlignment w:val="auto"/>
        <w:rPr>
          <w:rFonts w:ascii="仿宋_GB2312" w:eastAsia="仿宋_GB2312" w:cs="仿宋_GB2312"/>
          <w:sz w:val="32"/>
          <w:szCs w:val="32"/>
        </w:rPr>
      </w:pPr>
      <w:r>
        <w:rPr>
          <w:rFonts w:hint="eastAsia" w:ascii="仿宋_GB2312" w:eastAsia="仿宋_GB2312" w:cs="仿宋_GB2312"/>
          <w:sz w:val="32"/>
          <w:szCs w:val="32"/>
        </w:rPr>
        <w:t>202</w:t>
      </w:r>
      <w:r>
        <w:rPr>
          <w:rFonts w:hint="eastAsia" w:ascii="仿宋_GB2312" w:eastAsia="仿宋_GB2312" w:cs="仿宋_GB2312"/>
          <w:sz w:val="32"/>
          <w:szCs w:val="32"/>
          <w:lang w:val="en-US" w:eastAsia="zh-CN"/>
        </w:rPr>
        <w:t>6</w:t>
      </w:r>
      <w:r>
        <w:rPr>
          <w:rFonts w:hint="eastAsia" w:ascii="仿宋_GB2312" w:eastAsia="仿宋_GB2312" w:cs="仿宋_GB2312"/>
          <w:sz w:val="32"/>
          <w:szCs w:val="32"/>
        </w:rPr>
        <w:t>年</w:t>
      </w:r>
      <w:r>
        <w:rPr>
          <w:rFonts w:hint="eastAsia" w:ascii="仿宋_GB2312" w:eastAsia="仿宋_GB2312" w:cs="仿宋_GB2312"/>
          <w:sz w:val="32"/>
          <w:szCs w:val="32"/>
          <w:lang w:val="en-US" w:eastAsia="zh-CN"/>
        </w:rPr>
        <w:t>3</w:t>
      </w:r>
      <w:r>
        <w:rPr>
          <w:rFonts w:hint="eastAsia" w:ascii="仿宋_GB2312" w:eastAsia="仿宋_GB2312" w:cs="仿宋_GB2312"/>
          <w:sz w:val="32"/>
          <w:szCs w:val="32"/>
        </w:rPr>
        <w:t>月2</w:t>
      </w:r>
      <w:r>
        <w:rPr>
          <w:rFonts w:hint="eastAsia" w:ascii="仿宋_GB2312" w:eastAsia="仿宋_GB2312" w:cs="仿宋_GB2312"/>
          <w:sz w:val="32"/>
          <w:szCs w:val="32"/>
          <w:lang w:val="en-US" w:eastAsia="zh-CN"/>
        </w:rPr>
        <w:t>7</w:t>
      </w:r>
      <w:r>
        <w:rPr>
          <w:rFonts w:hint="eastAsia" w:ascii="仿宋_GB2312" w:eastAsia="仿宋_GB2312" w:cs="仿宋_GB2312"/>
          <w:sz w:val="32"/>
          <w:szCs w:val="32"/>
        </w:rPr>
        <w:t>日</w:t>
      </w:r>
    </w:p>
    <w:p>
      <w:pPr>
        <w:ind w:firstLine="4368" w:firstLineChars="1400"/>
        <w:jc w:val="right"/>
        <w:rPr>
          <w:rFonts w:ascii="仿宋_GB2312" w:eastAsia="仿宋_GB2312" w:cs="仿宋_GB2312"/>
          <w:color w:val="FFC000"/>
          <w:sz w:val="32"/>
          <w:szCs w:val="32"/>
        </w:rPr>
      </w:pPr>
    </w:p>
    <w:p>
      <w:pPr>
        <w:pStyle w:val="14"/>
        <w:jc w:val="right"/>
        <w:rPr>
          <w:rFonts w:ascii="仿宋_GB2312" w:eastAsia="仿宋_GB2312" w:cs="仿宋_GB2312"/>
          <w:color w:val="FFC000"/>
          <w:sz w:val="32"/>
          <w:szCs w:val="32"/>
        </w:rPr>
      </w:pPr>
    </w:p>
    <w:p>
      <w:pPr>
        <w:rPr>
          <w:rFonts w:ascii="仿宋_GB2312" w:eastAsia="仿宋_GB2312" w:cs="仿宋_GB2312"/>
          <w:color w:val="FFC000"/>
          <w:sz w:val="32"/>
          <w:szCs w:val="32"/>
        </w:rPr>
      </w:pPr>
    </w:p>
    <w:p>
      <w:pPr>
        <w:pStyle w:val="14"/>
        <w:rPr>
          <w:rFonts w:ascii="仿宋_GB2312" w:eastAsia="仿宋_GB2312" w:cs="仿宋_GB2312"/>
          <w:color w:val="FFC000"/>
          <w:sz w:val="32"/>
          <w:szCs w:val="32"/>
        </w:rPr>
      </w:pPr>
    </w:p>
    <w:p>
      <w:pPr>
        <w:rPr>
          <w:rFonts w:ascii="仿宋_GB2312" w:eastAsia="仿宋_GB2312" w:cs="仿宋_GB2312"/>
          <w:color w:val="FFC000"/>
          <w:sz w:val="32"/>
          <w:szCs w:val="32"/>
        </w:rPr>
      </w:pPr>
    </w:p>
    <w:p>
      <w:pPr>
        <w:pStyle w:val="14"/>
        <w:rPr>
          <w:rFonts w:ascii="仿宋_GB2312" w:eastAsia="仿宋_GB2312" w:cs="仿宋_GB2312"/>
          <w:color w:val="FFC000"/>
          <w:sz w:val="32"/>
          <w:szCs w:val="32"/>
        </w:rPr>
      </w:pPr>
    </w:p>
    <w:p>
      <w:pPr>
        <w:rPr>
          <w:rFonts w:ascii="仿宋_GB2312" w:eastAsia="仿宋_GB2312" w:cs="仿宋_GB2312"/>
          <w:color w:val="FFC000"/>
          <w:sz w:val="32"/>
          <w:szCs w:val="32"/>
        </w:rPr>
      </w:pPr>
    </w:p>
    <w:p>
      <w:pPr>
        <w:rPr>
          <w:rFonts w:ascii="仿宋_GB2312" w:eastAsia="仿宋_GB2312" w:cs="仿宋_GB2312"/>
          <w:color w:val="FFC000"/>
          <w:sz w:val="32"/>
          <w:szCs w:val="32"/>
        </w:rPr>
      </w:pPr>
    </w:p>
    <w:p>
      <w:pPr>
        <w:pBdr>
          <w:top w:val="single" w:color="auto" w:sz="6" w:space="1"/>
          <w:bottom w:val="single" w:color="auto" w:sz="6" w:space="1"/>
        </w:pBdr>
        <w:rPr>
          <w:rFonts w:ascii="黑体" w:eastAsia="黑体" w:cs="黑体"/>
          <w:kern w:val="0"/>
          <w:sz w:val="32"/>
          <w:szCs w:val="32"/>
          <w:shd w:val="clear" w:color="auto" w:fill="FFFFFF"/>
          <w:lang w:val="zh-CN"/>
        </w:rPr>
      </w:pPr>
      <w:r>
        <w:rPr>
          <w:rFonts w:hint="eastAsia" w:ascii="仿宋" w:eastAsia="仿宋" w:cs="仿宋"/>
          <w:sz w:val="32"/>
          <w:szCs w:val="32"/>
        </w:rPr>
        <w:t>石碉楼乡人民政府                    202</w:t>
      </w:r>
      <w:r>
        <w:rPr>
          <w:rFonts w:hint="eastAsia" w:ascii="仿宋" w:eastAsia="仿宋" w:cs="仿宋"/>
          <w:sz w:val="32"/>
          <w:szCs w:val="32"/>
          <w:lang w:val="en-US" w:eastAsia="zh-CN"/>
        </w:rPr>
        <w:t>6</w:t>
      </w:r>
      <w:r>
        <w:rPr>
          <w:rFonts w:hint="eastAsia" w:ascii="仿宋" w:eastAsia="仿宋" w:cs="仿宋"/>
          <w:sz w:val="32"/>
          <w:szCs w:val="32"/>
        </w:rPr>
        <w:t>年</w:t>
      </w:r>
      <w:r>
        <w:rPr>
          <w:rFonts w:hint="eastAsia" w:ascii="仿宋" w:eastAsia="仿宋" w:cs="仿宋"/>
          <w:sz w:val="32"/>
          <w:szCs w:val="32"/>
          <w:lang w:val="en-US" w:eastAsia="zh-CN"/>
        </w:rPr>
        <w:t>3</w:t>
      </w:r>
      <w:r>
        <w:rPr>
          <w:rFonts w:hint="eastAsia" w:ascii="仿宋" w:eastAsia="仿宋" w:cs="仿宋"/>
          <w:sz w:val="32"/>
          <w:szCs w:val="32"/>
        </w:rPr>
        <w:t>月2</w:t>
      </w:r>
      <w:r>
        <w:rPr>
          <w:rFonts w:hint="eastAsia" w:ascii="仿宋" w:eastAsia="仿宋" w:cs="仿宋"/>
          <w:sz w:val="32"/>
          <w:szCs w:val="32"/>
          <w:lang w:val="en-US" w:eastAsia="zh-CN"/>
        </w:rPr>
        <w:t>7</w:t>
      </w:r>
      <w:r>
        <w:rPr>
          <w:rFonts w:hint="eastAsia" w:ascii="仿宋" w:eastAsia="仿宋" w:cs="仿宋"/>
          <w:sz w:val="32"/>
          <w:szCs w:val="32"/>
        </w:rPr>
        <w:t>日</w:t>
      </w:r>
    </w:p>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11"/>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w:t>
            </w:r>
            <w:r>
              <w:rPr>
                <w:rFonts w:hint="default" w:ascii="宋体" w:hAnsi="宋体" w:cs="宋体"/>
                <w:i w:val="0"/>
                <w:color w:val="000000"/>
                <w:kern w:val="0"/>
                <w:sz w:val="24"/>
                <w:szCs w:val="24"/>
                <w:u w:val="none"/>
                <w:lang w:eastAsia="zh-CN" w:bidi="ar"/>
              </w:rPr>
              <w:t>中央、省委</w:t>
            </w:r>
            <w:r>
              <w:rPr>
                <w:rFonts w:hint="eastAsia" w:ascii="宋体" w:hAnsi="宋体" w:eastAsia="宋体" w:cs="宋体"/>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满意度指标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8</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对日常工作开展满意情况</w:t>
            </w:r>
          </w:p>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lang w:val="en-US"/>
              </w:rPr>
            </w:pPr>
            <w:r>
              <w:rPr>
                <w:rFonts w:hint="eastAsia" w:ascii="宋体" w:hAnsi="宋体" w:cs="宋体"/>
                <w:i w:val="0"/>
                <w:color w:val="000000"/>
                <w:kern w:val="0"/>
                <w:sz w:val="24"/>
                <w:szCs w:val="24"/>
                <w:u w:val="none"/>
                <w:lang w:val="en-US" w:eastAsia="zh-CN" w:bidi="ar"/>
              </w:rPr>
              <w:t>此项目成本预算控制是否合理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成本指标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8</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rPr>
          <w:rFonts w:hint="eastAsia" w:ascii="仿宋_GB2312" w:hAnsi="仿宋_GB2312" w:cs="仿宋_GB2312"/>
          <w:kern w:val="0"/>
        </w:rPr>
      </w:pPr>
    </w:p>
    <w:p>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tbl>
      <w:tblPr>
        <w:tblStyle w:val="12"/>
        <w:tblW w:w="9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6849"/>
        <w:gridCol w:w="1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石碉楼乡人民政府</w:t>
            </w: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rPr>
          <w:rFonts w:hint="eastAsia" w:ascii="仿宋_GB2312" w:hAnsi="仿宋_GB2312" w:cs="仿宋_GB2312"/>
          <w:kern w:val="0"/>
        </w:rPr>
      </w:pPr>
    </w:p>
    <w:p>
      <w:pPr>
        <w:rPr>
          <w:rFonts w:hint="eastAsia" w:ascii="仿宋_GB2312" w:hAnsi="仿宋_GB2312" w:cs="仿宋_GB2312"/>
          <w:kern w:val="0"/>
        </w:rPr>
      </w:pPr>
    </w:p>
    <w:p>
      <w:pPr>
        <w:rPr>
          <w:rFonts w:hint="eastAsia" w:ascii="仿宋_GB2312" w:hAnsi="仿宋_GB2312" w:cs="仿宋_GB2312"/>
          <w:kern w:val="0"/>
        </w:rPr>
      </w:pPr>
    </w:p>
    <w:p>
      <w:pPr>
        <w:keepNext w:val="0"/>
        <w:keepLines w:val="0"/>
        <w:pageBreakBefore w:val="0"/>
        <w:kinsoku/>
        <w:wordWrap/>
        <w:overflowPunct/>
        <w:topLinePunct w:val="0"/>
        <w:autoSpaceDE/>
        <w:autoSpaceDN/>
        <w:bidi w:val="0"/>
        <w:spacing w:line="578" w:lineRule="exact"/>
        <w:ind w:left="0" w:leftChars="0"/>
        <w:jc w:val="both"/>
        <w:textAlignment w:val="auto"/>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eastAsia"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3</w:t>
      </w:r>
    </w:p>
    <w:tbl>
      <w:tblPr>
        <w:tblStyle w:val="1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tcBorders>
              <w:top w:val="nil"/>
              <w:left w:val="nil"/>
              <w:bottom w:val="nil"/>
              <w:right w:val="nil"/>
            </w:tcBorders>
            <w:noWrap/>
            <w:vAlign w:val="center"/>
          </w:tcPr>
          <w:p>
            <w:pPr>
              <w:widowControl/>
              <w:spacing w:line="600" w:lineRule="exact"/>
              <w:jc w:val="center"/>
              <w:textAlignment w:val="center"/>
              <w:rPr>
                <w:rFonts w:ascii="黑体" w:eastAsia="黑体" w:cs="黑体"/>
                <w:color w:val="000000"/>
                <w:sz w:val="30"/>
                <w:szCs w:val="30"/>
              </w:rPr>
            </w:pPr>
            <w:r>
              <w:rPr>
                <w:rFonts w:hint="eastAsia" w:ascii="方正小标宋简体" w:eastAsia="方正小标宋简体" w:cs="方正小标宋简体"/>
                <w:color w:val="000000"/>
                <w:kern w:val="0"/>
                <w:sz w:val="40"/>
                <w:szCs w:val="40"/>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sz w:val="24"/>
              </w:rPr>
            </w:pPr>
            <w:r>
              <w:rPr>
                <w:rFonts w:hint="eastAsia" w:ascii="宋体" w:cs="宋体"/>
                <w:color w:val="000000"/>
                <w:kern w:val="0"/>
                <w:sz w:val="24"/>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石碉楼乡捐赠资金项目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sz w:val="24"/>
              </w:rPr>
            </w:pPr>
            <w:r>
              <w:rPr>
                <w:rFonts w:hint="eastAsia" w:ascii="宋体" w:cs="宋体"/>
                <w:color w:val="000000"/>
                <w:kern w:val="0"/>
                <w:sz w:val="24"/>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黑水县石碉楼乡人民政府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sz w:val="24"/>
              </w:rPr>
            </w:pPr>
            <w:r>
              <w:rPr>
                <w:rFonts w:hint="eastAsia" w:ascii="宋体" w:cs="宋体"/>
                <w:color w:val="000000"/>
                <w:kern w:val="0"/>
                <w:sz w:val="24"/>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pPr>
              <w:widowControl/>
              <w:tabs>
                <w:tab w:val="center" w:pos="2954"/>
              </w:tabs>
              <w:spacing w:line="300" w:lineRule="exact"/>
              <w:jc w:val="left"/>
              <w:textAlignment w:val="center"/>
              <w:rPr>
                <w:rFonts w:eastAsia="仿宋_GB2312"/>
                <w:szCs w:val="28"/>
              </w:rPr>
            </w:pPr>
            <w:r>
              <w:rPr>
                <w:rFonts w:hint="eastAsia" w:ascii="宋体" w:cs="宋体"/>
                <w:color w:val="000000"/>
                <w:kern w:val="0"/>
                <w:sz w:val="24"/>
              </w:rPr>
              <w:t>一次性项目</w:t>
            </w:r>
            <w:r>
              <w:rPr>
                <w:rFonts w:hint="eastAsia" w:ascii="宋体" w:cs="宋体"/>
                <w:color w:val="000000"/>
                <w:kern w:val="0"/>
                <w:sz w:val="24"/>
              </w:rPr>
              <w:tab/>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宋体" w:cs="宋体"/>
                <w:color w:val="000000"/>
                <w:sz w:val="24"/>
              </w:rPr>
            </w:pPr>
            <w:r>
              <w:rPr>
                <w:rFonts w:hint="eastAsia" w:ascii="宋体" w:cs="宋体"/>
                <w:color w:val="000000"/>
                <w:kern w:val="0"/>
                <w:sz w:val="24"/>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中长期规划（名称、文号，仅指</w:t>
            </w:r>
          </w:p>
          <w:p>
            <w:pPr>
              <w:widowControl/>
              <w:spacing w:line="300" w:lineRule="exact"/>
              <w:jc w:val="left"/>
              <w:textAlignment w:val="center"/>
              <w:rPr>
                <w:rFonts w:ascii="宋体" w:cs="宋体"/>
                <w:color w:val="000000"/>
                <w:sz w:val="24"/>
              </w:rPr>
            </w:pPr>
            <w:r>
              <w:rPr>
                <w:rFonts w:hint="eastAsia" w:ascii="宋体" w:cs="宋体"/>
                <w:color w:val="000000"/>
                <w:kern w:val="0"/>
                <w:sz w:val="24"/>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pPr>
              <w:spacing w:line="300" w:lineRule="exact"/>
              <w:jc w:val="left"/>
              <w:rPr>
                <w:rFonts w:ascii="宋体" w:cs="宋体"/>
                <w:color w:val="000000"/>
                <w:sz w:val="24"/>
              </w:rPr>
            </w:pPr>
            <w:r>
              <w:rPr>
                <w:rFonts w:hint="eastAsia" w:ascii="宋体" w:cs="宋体"/>
                <w:color w:val="000000"/>
                <w:sz w:val="24"/>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sz w:val="24"/>
              </w:rPr>
            </w:pPr>
            <w:r>
              <w:rPr>
                <w:rFonts w:hint="eastAsia" w:ascii="宋体" w:cs="宋体"/>
                <w:color w:val="000000"/>
                <w:kern w:val="0"/>
                <w:sz w:val="24"/>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pPr>
              <w:spacing w:line="300" w:lineRule="exact"/>
              <w:jc w:val="left"/>
              <w:rPr>
                <w:rFonts w:ascii="宋体" w:cs="宋体"/>
                <w:color w:val="000000"/>
                <w:sz w:val="24"/>
              </w:rPr>
            </w:pPr>
            <w:r>
              <w:rPr>
                <w:rFonts w:hint="eastAsia" w:ascii="宋体" w:cs="宋体"/>
                <w:color w:val="000000"/>
                <w:sz w:val="24"/>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sz w:val="24"/>
              </w:rPr>
            </w:pPr>
            <w:r>
              <w:rPr>
                <w:rFonts w:hint="eastAsia" w:ascii="宋体" w:cs="宋体"/>
                <w:color w:val="000000"/>
                <w:kern w:val="0"/>
                <w:sz w:val="24"/>
              </w:rPr>
              <w:t>绩效分配方式</w:t>
            </w:r>
          </w:p>
        </w:tc>
        <w:tc>
          <w:tcPr>
            <w:tcW w:w="1127" w:type="dxa"/>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w:t>
            </w:r>
            <w:r>
              <w:rPr>
                <w:rFonts w:hint="eastAsia" w:ascii="宋体" w:cs="宋体"/>
                <w:color w:val="000000"/>
                <w:kern w:val="0"/>
                <w:sz w:val="24"/>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项目法</w:t>
            </w:r>
          </w:p>
        </w:tc>
        <w:tc>
          <w:tcPr>
            <w:tcW w:w="938" w:type="dxa"/>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w:t>
            </w:r>
            <w:r>
              <w:rPr>
                <w:rFonts w:hint="eastAsia" w:ascii="宋体" w:cs="宋体"/>
                <w:color w:val="000000"/>
                <w:kern w:val="0"/>
                <w:sz w:val="24"/>
              </w:rPr>
              <w:t>据实据效</w:t>
            </w:r>
          </w:p>
        </w:tc>
        <w:tc>
          <w:tcPr>
            <w:tcW w:w="1841" w:type="dxa"/>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Wingdings 2" w:hAnsi="Wingdings 2" w:eastAsia="Wingdings 2" w:cs="Wingdings 2"/>
                <w:color w:val="000000"/>
                <w:sz w:val="24"/>
              </w:rPr>
            </w:pPr>
            <w:r>
              <w:rPr>
                <w:rFonts w:ascii="Arial" w:hAnsi="Arial" w:cs="Arial"/>
                <w:color w:val="000000"/>
                <w:kern w:val="0"/>
                <w:sz w:val="24"/>
              </w:rPr>
              <w:t>√</w:t>
            </w:r>
            <w:r>
              <w:rPr>
                <w:rFonts w:hint="eastAsia" w:ascii="宋体" w:cs="宋体"/>
                <w:color w:val="000000"/>
                <w:kern w:val="0"/>
                <w:sz w:val="24"/>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sz w:val="24"/>
              </w:rPr>
            </w:pPr>
            <w:r>
              <w:rPr>
                <w:rFonts w:hint="eastAsia" w:ascii="宋体" w:cs="宋体"/>
                <w:color w:val="000000"/>
                <w:kern w:val="0"/>
                <w:sz w:val="24"/>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ind w:firstLine="590"/>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sz w:val="24"/>
              </w:rPr>
            </w:pPr>
            <w:r>
              <w:rPr>
                <w:rFonts w:hint="eastAsia" w:ascii="宋体" w:cs="宋体"/>
                <w:color w:val="000000"/>
                <w:kern w:val="0"/>
                <w:sz w:val="24"/>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黑水县石碉楼乡华润捐赠金，实施范围为扎基村、丁寨村、木须村、俄尔村、瓦洛村、苦瓜村。主要用于公益性岗位、村级基础设施建设、村级专项资金等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sz w:val="24"/>
              </w:rPr>
            </w:pPr>
            <w:r>
              <w:rPr>
                <w:rFonts w:hint="eastAsia" w:ascii="宋体" w:cs="宋体"/>
                <w:color w:val="000000"/>
                <w:kern w:val="0"/>
                <w:sz w:val="24"/>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pPr>
              <w:spacing w:line="300" w:lineRule="exact"/>
              <w:jc w:val="left"/>
              <w:rPr>
                <w:rFonts w:ascii="宋体" w:cs="宋体"/>
                <w:color w:val="000000"/>
                <w:sz w:val="24"/>
              </w:rPr>
            </w:pPr>
            <w:r>
              <w:rPr>
                <w:rFonts w:hint="eastAsia" w:ascii="宋体" w:cs="宋体"/>
                <w:color w:val="000000"/>
                <w:sz w:val="24"/>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sz w:val="24"/>
              </w:rPr>
            </w:pPr>
            <w:r>
              <w:rPr>
                <w:rFonts w:hint="eastAsia" w:ascii="宋体" w:cs="宋体"/>
                <w:color w:val="000000"/>
                <w:kern w:val="0"/>
                <w:sz w:val="24"/>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kern w:val="0"/>
                <w:sz w:val="24"/>
              </w:rPr>
            </w:pPr>
            <w:r>
              <w:rPr>
                <w:rFonts w:hint="eastAsia"/>
                <w:color w:val="000000"/>
                <w:kern w:val="0"/>
                <w:sz w:val="24"/>
                <w:lang w:eastAsia="zh-CN"/>
              </w:rPr>
              <w:t>2025</w:t>
            </w:r>
            <w:r>
              <w:rPr>
                <w:rFonts w:hint="eastAsia"/>
                <w:color w:val="000000"/>
                <w:kern w:val="0"/>
                <w:sz w:val="24"/>
              </w:rPr>
              <w:t>年1月至</w:t>
            </w:r>
            <w:r>
              <w:rPr>
                <w:rFonts w:hint="eastAsia"/>
                <w:color w:val="000000"/>
                <w:kern w:val="0"/>
                <w:sz w:val="24"/>
                <w:lang w:eastAsia="zh-CN"/>
              </w:rPr>
              <w:t>2025</w:t>
            </w:r>
            <w:r>
              <w:rPr>
                <w:rFonts w:hint="eastAsia"/>
                <w:color w:val="000000"/>
                <w:kern w:val="0"/>
                <w:sz w:val="24"/>
              </w:rPr>
              <w:t>年12月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宋体" w:cs="宋体"/>
                <w:color w:val="000000"/>
                <w:kern w:val="0"/>
                <w:sz w:val="24"/>
              </w:rPr>
            </w:pPr>
            <w:r>
              <w:rPr>
                <w:rFonts w:hint="eastAsia" w:ascii="宋体" w:cs="宋体"/>
                <w:color w:val="000000"/>
                <w:kern w:val="0"/>
                <w:sz w:val="24"/>
              </w:rPr>
              <w:t>项目资金</w:t>
            </w:r>
          </w:p>
          <w:p>
            <w:pPr>
              <w:widowControl/>
              <w:spacing w:line="300" w:lineRule="exact"/>
              <w:jc w:val="center"/>
              <w:textAlignment w:val="center"/>
              <w:rPr>
                <w:rFonts w:ascii="宋体" w:cs="宋体"/>
                <w:color w:val="000000"/>
                <w:sz w:val="24"/>
              </w:rPr>
            </w:pPr>
            <w:r>
              <w:rPr>
                <w:rFonts w:hint="eastAsia" w:ascii="宋体" w:cs="宋体"/>
                <w:color w:val="000000"/>
                <w:kern w:val="0"/>
                <w:sz w:val="24"/>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sz w:val="24"/>
              </w:rPr>
            </w:pPr>
            <w:r>
              <w:rPr>
                <w:rFonts w:hint="eastAsia" w:ascii="宋体" w:cs="宋体"/>
                <w:color w:val="000000"/>
                <w:kern w:val="0"/>
                <w:sz w:val="24"/>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hint="default" w:eastAsia="宋体"/>
                <w:color w:val="000000"/>
                <w:kern w:val="0"/>
                <w:sz w:val="24"/>
                <w:lang w:val="en-US" w:eastAsia="zh-CN"/>
              </w:rPr>
            </w:pPr>
            <w:r>
              <w:rPr>
                <w:rFonts w:hint="eastAsia"/>
                <w:color w:val="000000"/>
                <w:kern w:val="0"/>
                <w:sz w:val="24"/>
                <w:lang w:val="en-US" w:eastAsia="zh-CN"/>
              </w:rPr>
              <w:t>5.2483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2562"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sz w:val="24"/>
              </w:rPr>
            </w:pPr>
            <w:r>
              <w:rPr>
                <w:rFonts w:hint="eastAsia" w:ascii="宋体" w:cs="宋体"/>
                <w:color w:val="000000"/>
                <w:kern w:val="0"/>
                <w:sz w:val="24"/>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hint="default" w:eastAsia="宋体"/>
                <w:color w:val="000000"/>
                <w:kern w:val="0"/>
                <w:sz w:val="24"/>
                <w:lang w:val="en-US" w:eastAsia="zh-CN"/>
              </w:rPr>
            </w:pPr>
            <w:r>
              <w:rPr>
                <w:rFonts w:hint="eastAsia"/>
                <w:color w:val="000000"/>
                <w:kern w:val="0"/>
                <w:sz w:val="24"/>
                <w:lang w:val="en-US" w:eastAsia="zh-CN"/>
              </w:rPr>
              <w:t>5.2483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2562"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sz w:val="24"/>
              </w:rPr>
            </w:pPr>
            <w:r>
              <w:rPr>
                <w:rFonts w:hint="eastAsia" w:ascii="宋体" w:cs="宋体"/>
                <w:color w:val="000000"/>
                <w:kern w:val="0"/>
                <w:sz w:val="24"/>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color w:val="000000"/>
                <w:kern w:val="0"/>
                <w:sz w:val="24"/>
              </w:rPr>
            </w:pPr>
            <w:r>
              <w:rPr>
                <w:rFonts w:hint="eastAsia"/>
                <w:color w:val="000000"/>
                <w:kern w:val="0"/>
                <w:sz w:val="24"/>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宋体" w:cs="宋体"/>
                <w:color w:val="000000"/>
                <w:sz w:val="24"/>
              </w:rPr>
            </w:pPr>
            <w:r>
              <w:rPr>
                <w:rFonts w:hint="eastAsia" w:ascii="宋体" w:cs="宋体"/>
                <w:color w:val="000000"/>
                <w:kern w:val="0"/>
                <w:sz w:val="24"/>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宋体" w:cs="宋体"/>
                <w:color w:val="000000"/>
                <w:kern w:val="0"/>
                <w:sz w:val="24"/>
              </w:rPr>
            </w:pPr>
            <w:r>
              <w:rPr>
                <w:rFonts w:hint="eastAsia" w:ascii="宋体" w:cs="宋体"/>
                <w:color w:val="000000"/>
                <w:kern w:val="0"/>
                <w:sz w:val="24"/>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9581" w:type="dxa"/>
            <w:gridSpan w:val="8"/>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黑水县石碉楼乡华润捐赠资金，重点用于保障辖区2个村工作顺利开展</w:t>
            </w:r>
          </w:p>
          <w:p>
            <w:pPr>
              <w:widowControl/>
              <w:spacing w:line="30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nil"/>
            </w:tcBorders>
            <w:noWrap/>
            <w:vAlign w:val="center"/>
          </w:tcPr>
          <w:p>
            <w:pPr>
              <w:widowControl/>
              <w:spacing w:line="300" w:lineRule="exact"/>
              <w:jc w:val="center"/>
              <w:textAlignment w:val="center"/>
              <w:rPr>
                <w:rFonts w:ascii="宋体" w:cs="宋体"/>
                <w:color w:val="000000"/>
                <w:sz w:val="24"/>
              </w:rPr>
            </w:pPr>
            <w:r>
              <w:rPr>
                <w:rFonts w:hint="eastAsia" w:ascii="宋体" w:cs="宋体"/>
                <w:color w:val="000000"/>
                <w:kern w:val="0"/>
                <w:sz w:val="24"/>
              </w:rPr>
              <w:t>绩效 指标</w:t>
            </w:r>
          </w:p>
        </w:tc>
        <w:tc>
          <w:tcPr>
            <w:tcW w:w="1081" w:type="dxa"/>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宋体" w:cs="宋体"/>
                <w:color w:val="000000"/>
                <w:sz w:val="24"/>
              </w:rPr>
            </w:pPr>
            <w:r>
              <w:rPr>
                <w:rFonts w:hint="eastAsia" w:ascii="宋体" w:cs="宋体"/>
                <w:color w:val="000000"/>
                <w:kern w:val="0"/>
                <w:sz w:val="24"/>
              </w:rPr>
              <w:t>一级指标</w:t>
            </w:r>
          </w:p>
        </w:tc>
        <w:tc>
          <w:tcPr>
            <w:tcW w:w="1250" w:type="dxa"/>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宋体" w:cs="宋体"/>
                <w:color w:val="000000"/>
                <w:sz w:val="24"/>
              </w:rPr>
            </w:pPr>
            <w:r>
              <w:rPr>
                <w:rFonts w:hint="eastAsia" w:ascii="宋体" w:cs="宋体"/>
                <w:color w:val="000000"/>
                <w:kern w:val="0"/>
                <w:sz w:val="24"/>
              </w:rPr>
              <w:t>二级指标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宋体" w:cs="宋体"/>
                <w:color w:val="000000"/>
                <w:sz w:val="24"/>
              </w:rPr>
            </w:pPr>
            <w:r>
              <w:rPr>
                <w:rFonts w:hint="eastAsia" w:ascii="宋体" w:cs="宋体"/>
                <w:color w:val="000000"/>
                <w:kern w:val="0"/>
                <w:sz w:val="24"/>
              </w:rPr>
              <w:t>三级指标</w:t>
            </w:r>
          </w:p>
        </w:tc>
        <w:tc>
          <w:tcPr>
            <w:tcW w:w="1127" w:type="dxa"/>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宋体" w:cs="宋体"/>
                <w:color w:val="000000"/>
                <w:sz w:val="24"/>
              </w:rPr>
            </w:pPr>
            <w:r>
              <w:rPr>
                <w:rFonts w:hint="eastAsia" w:ascii="宋体" w:cs="宋体"/>
                <w:color w:val="000000"/>
                <w:kern w:val="0"/>
                <w:sz w:val="24"/>
              </w:rPr>
              <w:t>指标性质</w:t>
            </w:r>
          </w:p>
        </w:tc>
        <w:tc>
          <w:tcPr>
            <w:tcW w:w="971" w:type="dxa"/>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宋体" w:cs="宋体"/>
                <w:color w:val="000000"/>
                <w:sz w:val="24"/>
              </w:rPr>
            </w:pPr>
            <w:r>
              <w:rPr>
                <w:rFonts w:hint="eastAsia" w:ascii="宋体" w:cs="宋体"/>
                <w:color w:val="000000"/>
                <w:kern w:val="0"/>
                <w:sz w:val="24"/>
              </w:rPr>
              <w:t>指标值</w:t>
            </w:r>
          </w:p>
        </w:tc>
        <w:tc>
          <w:tcPr>
            <w:tcW w:w="1061" w:type="dxa"/>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宋体" w:cs="宋体"/>
                <w:color w:val="000000"/>
                <w:sz w:val="24"/>
              </w:rPr>
            </w:pPr>
            <w:r>
              <w:rPr>
                <w:rFonts w:hint="eastAsia" w:ascii="宋体" w:cs="宋体"/>
                <w:color w:val="000000"/>
                <w:kern w:val="0"/>
                <w:sz w:val="24"/>
              </w:rPr>
              <w:t>度量单位</w:t>
            </w:r>
          </w:p>
        </w:tc>
        <w:tc>
          <w:tcPr>
            <w:tcW w:w="938" w:type="dxa"/>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宋体" w:cs="宋体"/>
                <w:color w:val="000000"/>
                <w:sz w:val="24"/>
              </w:rPr>
            </w:pPr>
            <w:r>
              <w:rPr>
                <w:rFonts w:hint="eastAsia" w:ascii="宋体" w:cs="宋体"/>
                <w:color w:val="000000"/>
                <w:kern w:val="0"/>
                <w:sz w:val="24"/>
              </w:rPr>
              <w:t>权重</w:t>
            </w:r>
          </w:p>
        </w:tc>
        <w:tc>
          <w:tcPr>
            <w:tcW w:w="1841" w:type="dxa"/>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宋体" w:cs="宋体"/>
                <w:color w:val="000000"/>
                <w:sz w:val="24"/>
              </w:rPr>
            </w:pPr>
            <w:r>
              <w:rPr>
                <w:rFonts w:hint="eastAsia" w:ascii="宋体" w:cs="宋体"/>
                <w:color w:val="000000"/>
                <w:kern w:val="0"/>
                <w:sz w:val="24"/>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ign w:val="center"/>
          </w:tcPr>
          <w:p/>
        </w:tc>
        <w:tc>
          <w:tcPr>
            <w:tcW w:w="1081" w:type="dxa"/>
            <w:tcBorders>
              <w:top w:val="single" w:color="000000" w:sz="4" w:space="0"/>
              <w:left w:val="single" w:color="000000" w:sz="4" w:space="0"/>
              <w:bottom w:val="nil"/>
              <w:right w:val="single" w:color="000000" w:sz="4" w:space="0"/>
            </w:tcBorders>
            <w:noWrap/>
            <w:vAlign w:val="center"/>
          </w:tcPr>
          <w:p>
            <w:pPr>
              <w:widowControl/>
              <w:jc w:val="left"/>
              <w:textAlignment w:val="center"/>
              <w:rPr>
                <w:rFonts w:ascii="宋体" w:cs="宋体"/>
                <w:color w:val="000000"/>
                <w:sz w:val="24"/>
              </w:rPr>
            </w:pPr>
            <w:r>
              <w:rPr>
                <w:rFonts w:hint="eastAsia" w:ascii="等线" w:eastAsia="等线" w:cs="等线"/>
                <w:color w:val="000000"/>
                <w:kern w:val="0"/>
                <w:sz w:val="18"/>
                <w:szCs w:val="18"/>
              </w:rPr>
              <w:t>产出指标</w:t>
            </w:r>
          </w:p>
        </w:tc>
        <w:tc>
          <w:tcPr>
            <w:tcW w:w="1250" w:type="dxa"/>
            <w:tcBorders>
              <w:top w:val="single" w:color="000000" w:sz="4" w:space="0"/>
              <w:left w:val="single" w:color="000000" w:sz="4" w:space="0"/>
              <w:bottom w:val="nil"/>
              <w:right w:val="single" w:color="000000" w:sz="4" w:space="0"/>
            </w:tcBorders>
            <w:noWrap/>
            <w:vAlign w:val="center"/>
          </w:tcPr>
          <w:p>
            <w:pPr>
              <w:widowControl/>
              <w:jc w:val="center"/>
              <w:textAlignment w:val="center"/>
              <w:rPr>
                <w:rFonts w:ascii="宋体" w:cs="宋体"/>
                <w:color w:val="000000"/>
                <w:kern w:val="0"/>
                <w:sz w:val="24"/>
              </w:rPr>
            </w:pPr>
            <w:r>
              <w:rPr>
                <w:rFonts w:hint="eastAsia" w:ascii="等线" w:eastAsia="等线" w:cs="等线"/>
                <w:color w:val="000000"/>
                <w:kern w:val="0"/>
                <w:sz w:val="18"/>
                <w:szCs w:val="18"/>
              </w:rPr>
              <w:t>质量指标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cs="宋体"/>
                <w:color w:val="000000"/>
                <w:kern w:val="0"/>
                <w:sz w:val="24"/>
              </w:rPr>
            </w:pPr>
            <w:r>
              <w:rPr>
                <w:rFonts w:hint="eastAsia" w:ascii="等线" w:eastAsia="等线" w:cs="等线"/>
                <w:color w:val="000000"/>
                <w:kern w:val="0"/>
                <w:sz w:val="18"/>
                <w:szCs w:val="18"/>
              </w:rPr>
              <w:t>项目完工率</w:t>
            </w:r>
          </w:p>
        </w:tc>
        <w:tc>
          <w:tcPr>
            <w:tcW w:w="1127"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100</w:t>
            </w:r>
          </w:p>
        </w:tc>
        <w:tc>
          <w:tcPr>
            <w:tcW w:w="1061"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w:t>
            </w:r>
          </w:p>
        </w:tc>
        <w:tc>
          <w:tcPr>
            <w:tcW w:w="938"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20</w:t>
            </w:r>
          </w:p>
        </w:tc>
        <w:tc>
          <w:tcPr>
            <w:tcW w:w="1841"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ign w:val="center"/>
          </w:tcPr>
          <w:p/>
        </w:tc>
        <w:tc>
          <w:tcPr>
            <w:tcW w:w="1081" w:type="dxa"/>
            <w:tcBorders>
              <w:top w:val="nil"/>
              <w:left w:val="single" w:color="000000" w:sz="4" w:space="0"/>
              <w:bottom w:val="nil"/>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产出指标</w:t>
            </w:r>
          </w:p>
        </w:tc>
        <w:tc>
          <w:tcPr>
            <w:tcW w:w="1250" w:type="dxa"/>
            <w:tcBorders>
              <w:top w:val="nil"/>
              <w:left w:val="single" w:color="000000" w:sz="4" w:space="0"/>
              <w:bottom w:val="nil"/>
              <w:right w:val="single" w:color="000000" w:sz="4" w:space="0"/>
            </w:tcBorders>
            <w:noWrap/>
            <w:vAlign w:val="center"/>
          </w:tcPr>
          <w:p>
            <w:pPr>
              <w:widowControl/>
              <w:jc w:val="center"/>
              <w:textAlignment w:val="center"/>
              <w:rPr>
                <w:rFonts w:ascii="宋体" w:cs="宋体"/>
                <w:color w:val="000000"/>
                <w:kern w:val="0"/>
                <w:sz w:val="24"/>
              </w:rPr>
            </w:pPr>
            <w:r>
              <w:rPr>
                <w:rFonts w:hint="eastAsia" w:ascii="等线" w:eastAsia="等线" w:cs="等线"/>
                <w:color w:val="000000"/>
                <w:kern w:val="0"/>
                <w:sz w:val="18"/>
                <w:szCs w:val="18"/>
              </w:rPr>
              <w:t>时效指标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cs="宋体"/>
                <w:color w:val="000000"/>
                <w:kern w:val="0"/>
                <w:sz w:val="24"/>
              </w:rPr>
            </w:pPr>
            <w:r>
              <w:rPr>
                <w:rFonts w:hint="eastAsia" w:ascii="等线" w:eastAsia="等线" w:cs="等线"/>
                <w:color w:val="000000"/>
                <w:kern w:val="0"/>
                <w:sz w:val="18"/>
                <w:szCs w:val="18"/>
              </w:rPr>
              <w:t>资金拨付时间</w:t>
            </w:r>
          </w:p>
        </w:tc>
        <w:tc>
          <w:tcPr>
            <w:tcW w:w="1127"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12</w:t>
            </w:r>
          </w:p>
        </w:tc>
        <w:tc>
          <w:tcPr>
            <w:tcW w:w="1061"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月</w:t>
            </w:r>
          </w:p>
        </w:tc>
        <w:tc>
          <w:tcPr>
            <w:tcW w:w="938"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10</w:t>
            </w:r>
          </w:p>
        </w:tc>
        <w:tc>
          <w:tcPr>
            <w:tcW w:w="1841"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cs="宋体"/>
                <w:color w:val="000000"/>
                <w:kern w:val="0"/>
                <w:sz w:val="24"/>
              </w:rPr>
            </w:pPr>
            <w:r>
              <w:rPr>
                <w:rFonts w:hint="eastAsia" w:ascii="宋体" w:cs="宋体"/>
                <w:color w:val="000000"/>
                <w:kern w:val="0"/>
                <w:sz w:val="24"/>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ign w:val="center"/>
          </w:tcPr>
          <w:p/>
        </w:tc>
        <w:tc>
          <w:tcPr>
            <w:tcW w:w="1081" w:type="dxa"/>
            <w:tcBorders>
              <w:top w:val="nil"/>
              <w:left w:val="single" w:color="000000" w:sz="4" w:space="0"/>
              <w:bottom w:val="nil"/>
              <w:right w:val="single" w:color="000000" w:sz="4" w:space="0"/>
            </w:tcBorders>
            <w:noWrap/>
            <w:vAlign w:val="center"/>
          </w:tcPr>
          <w:p>
            <w:pPr>
              <w:widowControl/>
              <w:jc w:val="left"/>
              <w:textAlignment w:val="center"/>
              <w:rPr>
                <w:rFonts w:ascii="宋体" w:cs="宋体"/>
                <w:color w:val="000000"/>
                <w:sz w:val="24"/>
              </w:rPr>
            </w:pPr>
            <w:r>
              <w:rPr>
                <w:rFonts w:hint="eastAsia" w:ascii="等线" w:eastAsia="等线" w:cs="等线"/>
                <w:color w:val="000000"/>
                <w:kern w:val="0"/>
                <w:sz w:val="18"/>
                <w:szCs w:val="18"/>
              </w:rPr>
              <w:t>产出指标</w:t>
            </w:r>
          </w:p>
        </w:tc>
        <w:tc>
          <w:tcPr>
            <w:tcW w:w="12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cs="宋体"/>
                <w:color w:val="000000"/>
                <w:kern w:val="0"/>
                <w:sz w:val="24"/>
              </w:rPr>
            </w:pPr>
            <w:r>
              <w:rPr>
                <w:rFonts w:hint="eastAsia" w:ascii="等线" w:eastAsia="等线" w:cs="等线"/>
                <w:color w:val="000000"/>
                <w:kern w:val="0"/>
                <w:sz w:val="18"/>
                <w:szCs w:val="18"/>
              </w:rPr>
              <w:t>数量指标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cs="宋体"/>
                <w:color w:val="000000"/>
                <w:kern w:val="0"/>
                <w:sz w:val="24"/>
              </w:rPr>
            </w:pPr>
            <w:r>
              <w:rPr>
                <w:rFonts w:hint="eastAsia" w:ascii="等线" w:eastAsia="等线" w:cs="等线"/>
                <w:color w:val="000000"/>
                <w:kern w:val="0"/>
                <w:sz w:val="18"/>
                <w:szCs w:val="18"/>
              </w:rPr>
              <w:t>惠及贫困村个数</w:t>
            </w:r>
          </w:p>
        </w:tc>
        <w:tc>
          <w:tcPr>
            <w:tcW w:w="1127"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2</w:t>
            </w:r>
          </w:p>
        </w:tc>
        <w:tc>
          <w:tcPr>
            <w:tcW w:w="1061"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个</w:t>
            </w:r>
          </w:p>
        </w:tc>
        <w:tc>
          <w:tcPr>
            <w:tcW w:w="938"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20</w:t>
            </w:r>
          </w:p>
        </w:tc>
        <w:tc>
          <w:tcPr>
            <w:tcW w:w="1841"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ign w:val="center"/>
          </w:tcPr>
          <w:p/>
        </w:tc>
        <w:tc>
          <w:tcPr>
            <w:tcW w:w="1081" w:type="dxa"/>
            <w:tcBorders>
              <w:top w:val="nil"/>
              <w:left w:val="single" w:color="000000" w:sz="4" w:space="0"/>
              <w:bottom w:val="nil"/>
              <w:right w:val="single" w:color="000000" w:sz="4" w:space="0"/>
            </w:tcBorders>
            <w:noWrap/>
            <w:vAlign w:val="center"/>
          </w:tcPr>
          <w:p>
            <w:pPr>
              <w:widowControl/>
              <w:jc w:val="left"/>
              <w:textAlignment w:val="center"/>
              <w:rPr>
                <w:rFonts w:ascii="宋体" w:cs="宋体"/>
                <w:color w:val="000000"/>
                <w:sz w:val="24"/>
              </w:rPr>
            </w:pPr>
            <w:r>
              <w:rPr>
                <w:rFonts w:hint="eastAsia" w:ascii="等线" w:eastAsia="等线" w:cs="等线"/>
                <w:color w:val="000000"/>
                <w:kern w:val="0"/>
                <w:sz w:val="18"/>
                <w:szCs w:val="18"/>
              </w:rPr>
              <w:t>产出指标</w:t>
            </w:r>
          </w:p>
        </w:tc>
        <w:tc>
          <w:tcPr>
            <w:tcW w:w="1250" w:type="dxa"/>
            <w:tcBorders>
              <w:top w:val="single" w:color="000000" w:sz="4" w:space="0"/>
              <w:left w:val="single" w:color="000000" w:sz="4" w:space="0"/>
              <w:bottom w:val="nil"/>
              <w:right w:val="single" w:color="000000" w:sz="4" w:space="0"/>
            </w:tcBorders>
            <w:noWrap/>
            <w:vAlign w:val="center"/>
          </w:tcPr>
          <w:p>
            <w:pPr>
              <w:widowControl/>
              <w:jc w:val="center"/>
              <w:textAlignment w:val="center"/>
              <w:rPr>
                <w:rFonts w:ascii="宋体" w:cs="宋体"/>
                <w:color w:val="000000"/>
                <w:kern w:val="0"/>
                <w:sz w:val="24"/>
              </w:rPr>
            </w:pPr>
            <w:r>
              <w:rPr>
                <w:rFonts w:hint="eastAsia" w:ascii="等线" w:eastAsia="等线" w:cs="等线"/>
                <w:color w:val="000000"/>
                <w:kern w:val="0"/>
                <w:sz w:val="18"/>
                <w:szCs w:val="18"/>
              </w:rPr>
              <w:t>数量指标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cs="宋体"/>
                <w:color w:val="000000"/>
                <w:kern w:val="0"/>
                <w:sz w:val="24"/>
              </w:rPr>
            </w:pPr>
            <w:r>
              <w:rPr>
                <w:rFonts w:hint="eastAsia" w:ascii="等线" w:eastAsia="等线" w:cs="等线"/>
                <w:color w:val="000000"/>
                <w:kern w:val="0"/>
                <w:sz w:val="18"/>
                <w:szCs w:val="18"/>
              </w:rPr>
              <w:t>扎基村：</w:t>
            </w:r>
            <w:r>
              <w:rPr>
                <w:rFonts w:hint="eastAsia" w:ascii="等线" w:eastAsia="等线" w:cs="等线"/>
                <w:color w:val="000000"/>
                <w:kern w:val="0"/>
                <w:sz w:val="18"/>
                <w:szCs w:val="18"/>
                <w:lang w:eastAsia="zh-CN"/>
              </w:rPr>
              <w:t>8747.24</w:t>
            </w:r>
            <w:r>
              <w:rPr>
                <w:rFonts w:hint="eastAsia" w:ascii="等线" w:eastAsia="等线" w:cs="等线"/>
                <w:color w:val="000000"/>
                <w:kern w:val="0"/>
                <w:sz w:val="18"/>
                <w:szCs w:val="18"/>
              </w:rPr>
              <w:t>元 ；丁寨村</w:t>
            </w:r>
            <w:r>
              <w:rPr>
                <w:rFonts w:hint="eastAsia" w:ascii="等线" w:eastAsia="等线" w:cs="等线"/>
                <w:color w:val="000000"/>
                <w:kern w:val="0"/>
                <w:sz w:val="18"/>
                <w:szCs w:val="18"/>
                <w:lang w:eastAsia="zh-CN"/>
              </w:rPr>
              <w:t>8747.24</w:t>
            </w:r>
            <w:r>
              <w:rPr>
                <w:rFonts w:hint="eastAsia" w:ascii="等线" w:eastAsia="等线" w:cs="等线"/>
                <w:color w:val="000000"/>
                <w:kern w:val="0"/>
                <w:sz w:val="18"/>
                <w:szCs w:val="18"/>
              </w:rPr>
              <w:t>元；木须村：</w:t>
            </w:r>
            <w:r>
              <w:rPr>
                <w:rFonts w:hint="eastAsia" w:ascii="等线" w:eastAsia="等线" w:cs="等线"/>
                <w:color w:val="000000"/>
                <w:kern w:val="0"/>
                <w:sz w:val="18"/>
                <w:szCs w:val="18"/>
                <w:lang w:eastAsia="zh-CN"/>
              </w:rPr>
              <w:t>8747.24</w:t>
            </w:r>
            <w:r>
              <w:rPr>
                <w:rFonts w:hint="eastAsia" w:ascii="等线" w:eastAsia="等线" w:cs="等线"/>
                <w:color w:val="000000"/>
                <w:kern w:val="0"/>
                <w:sz w:val="18"/>
                <w:szCs w:val="18"/>
              </w:rPr>
              <w:t>元；俄尔村：</w:t>
            </w:r>
            <w:r>
              <w:rPr>
                <w:rFonts w:hint="eastAsia" w:ascii="等线" w:eastAsia="等线" w:cs="等线"/>
                <w:color w:val="000000"/>
                <w:kern w:val="0"/>
                <w:sz w:val="18"/>
                <w:szCs w:val="18"/>
                <w:lang w:eastAsia="zh-CN"/>
              </w:rPr>
              <w:t>8747.24</w:t>
            </w:r>
            <w:r>
              <w:rPr>
                <w:rFonts w:hint="eastAsia" w:ascii="等线" w:eastAsia="等线" w:cs="等线"/>
                <w:color w:val="000000"/>
                <w:kern w:val="0"/>
                <w:sz w:val="18"/>
                <w:szCs w:val="18"/>
              </w:rPr>
              <w:t>元；瓦洛村：</w:t>
            </w:r>
            <w:r>
              <w:rPr>
                <w:rFonts w:hint="eastAsia" w:ascii="等线" w:eastAsia="等线" w:cs="等线"/>
                <w:color w:val="000000"/>
                <w:kern w:val="0"/>
                <w:sz w:val="18"/>
                <w:szCs w:val="18"/>
                <w:lang w:eastAsia="zh-CN"/>
              </w:rPr>
              <w:t>8747.24</w:t>
            </w:r>
            <w:r>
              <w:rPr>
                <w:rFonts w:hint="eastAsia" w:ascii="等线" w:eastAsia="等线" w:cs="等线"/>
                <w:color w:val="000000"/>
                <w:kern w:val="0"/>
                <w:sz w:val="18"/>
                <w:szCs w:val="18"/>
              </w:rPr>
              <w:t>元；苦瓜村：</w:t>
            </w:r>
            <w:r>
              <w:rPr>
                <w:rFonts w:hint="eastAsia" w:ascii="等线" w:eastAsia="等线" w:cs="等线"/>
                <w:color w:val="000000"/>
                <w:kern w:val="0"/>
                <w:sz w:val="18"/>
                <w:szCs w:val="18"/>
                <w:lang w:eastAsia="zh-CN"/>
              </w:rPr>
              <w:t>8747.24</w:t>
            </w:r>
            <w:r>
              <w:rPr>
                <w:rFonts w:hint="eastAsia" w:ascii="等线" w:eastAsia="等线" w:cs="等线"/>
                <w:color w:val="000000"/>
                <w:kern w:val="0"/>
                <w:sz w:val="18"/>
                <w:szCs w:val="18"/>
              </w:rPr>
              <w:t>元</w:t>
            </w:r>
          </w:p>
        </w:tc>
        <w:tc>
          <w:tcPr>
            <w:tcW w:w="1127"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default" w:ascii="宋体" w:eastAsia="宋体" w:cs="宋体"/>
                <w:color w:val="000000"/>
                <w:kern w:val="0"/>
                <w:sz w:val="24"/>
                <w:lang w:val="en-US" w:eastAsia="zh-CN"/>
              </w:rPr>
            </w:pPr>
            <w:r>
              <w:rPr>
                <w:rFonts w:hint="eastAsia" w:ascii="宋体" w:cs="宋体"/>
                <w:color w:val="000000"/>
                <w:kern w:val="0"/>
                <w:sz w:val="18"/>
                <w:szCs w:val="18"/>
              </w:rPr>
              <w:t>1</w:t>
            </w:r>
            <w:r>
              <w:rPr>
                <w:rFonts w:hint="eastAsia" w:ascii="宋体" w:cs="宋体"/>
                <w:color w:val="000000"/>
                <w:kern w:val="0"/>
                <w:sz w:val="18"/>
                <w:szCs w:val="18"/>
                <w:lang w:val="en-US" w:eastAsia="zh-CN"/>
              </w:rPr>
              <w:t>5.2483</w:t>
            </w:r>
          </w:p>
        </w:tc>
        <w:tc>
          <w:tcPr>
            <w:tcW w:w="1061"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万元</w:t>
            </w:r>
          </w:p>
        </w:tc>
        <w:tc>
          <w:tcPr>
            <w:tcW w:w="938"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10</w:t>
            </w:r>
          </w:p>
        </w:tc>
        <w:tc>
          <w:tcPr>
            <w:tcW w:w="1841"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lang w:eastAsia="zh-CN"/>
              </w:rPr>
              <w:t>52483.44</w:t>
            </w:r>
            <w:r>
              <w:rPr>
                <w:rFonts w:hint="eastAsia" w:ascii="宋体" w:cs="宋体"/>
                <w:color w:val="000000"/>
                <w:kern w:val="0"/>
                <w:sz w:val="18"/>
                <w:szCs w:val="18"/>
              </w:rPr>
              <w:t>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ign w:val="center"/>
          </w:tcPr>
          <w:p/>
        </w:tc>
        <w:tc>
          <w:tcPr>
            <w:tcW w:w="1081" w:type="dxa"/>
            <w:tcBorders>
              <w:top w:val="nil"/>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sz w:val="24"/>
              </w:rPr>
            </w:pPr>
            <w:r>
              <w:rPr>
                <w:rFonts w:hint="eastAsia" w:ascii="等线" w:eastAsia="等线" w:cs="等线"/>
                <w:color w:val="000000"/>
                <w:kern w:val="0"/>
                <w:sz w:val="18"/>
                <w:szCs w:val="18"/>
              </w:rPr>
              <w:t>效益指标</w:t>
            </w:r>
          </w:p>
        </w:tc>
        <w:tc>
          <w:tcPr>
            <w:tcW w:w="1250" w:type="dxa"/>
            <w:tcBorders>
              <w:top w:val="nil"/>
              <w:left w:val="single" w:color="000000" w:sz="4" w:space="0"/>
              <w:bottom w:val="single" w:color="000000" w:sz="4" w:space="0"/>
              <w:right w:val="single" w:color="000000" w:sz="4" w:space="0"/>
            </w:tcBorders>
            <w:noWrap/>
            <w:vAlign w:val="center"/>
          </w:tcPr>
          <w:p>
            <w:pPr>
              <w:widowControl/>
              <w:jc w:val="center"/>
              <w:textAlignment w:val="center"/>
              <w:rPr>
                <w:rFonts w:ascii="宋体" w:cs="宋体"/>
                <w:color w:val="000000"/>
                <w:kern w:val="0"/>
                <w:sz w:val="24"/>
              </w:rPr>
            </w:pPr>
            <w:r>
              <w:rPr>
                <w:rFonts w:hint="eastAsia" w:ascii="等线" w:eastAsia="等线" w:cs="等线"/>
                <w:color w:val="000000"/>
                <w:kern w:val="0"/>
                <w:sz w:val="18"/>
                <w:szCs w:val="18"/>
              </w:rPr>
              <w:t>可持续发展指标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cs="宋体"/>
                <w:color w:val="000000"/>
                <w:kern w:val="0"/>
                <w:sz w:val="24"/>
              </w:rPr>
            </w:pPr>
            <w:r>
              <w:rPr>
                <w:rFonts w:hint="eastAsia" w:ascii="等线" w:eastAsia="等线" w:cs="等线"/>
                <w:color w:val="000000"/>
                <w:kern w:val="0"/>
                <w:sz w:val="18"/>
                <w:szCs w:val="18"/>
              </w:rPr>
              <w:t>保障群众生产生活</w:t>
            </w:r>
          </w:p>
        </w:tc>
        <w:tc>
          <w:tcPr>
            <w:tcW w:w="1127"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1</w:t>
            </w:r>
          </w:p>
        </w:tc>
        <w:tc>
          <w:tcPr>
            <w:tcW w:w="1061"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年</w:t>
            </w:r>
          </w:p>
        </w:tc>
        <w:tc>
          <w:tcPr>
            <w:tcW w:w="938"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20</w:t>
            </w:r>
          </w:p>
        </w:tc>
        <w:tc>
          <w:tcPr>
            <w:tcW w:w="1841"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cs="宋体"/>
                <w:color w:val="000000"/>
                <w:kern w:val="0"/>
                <w:sz w:val="24"/>
              </w:rPr>
            </w:pPr>
            <w:r>
              <w:rPr>
                <w:rFonts w:hint="eastAsia" w:ascii="宋体" w:cs="宋体"/>
                <w:color w:val="000000"/>
                <w:kern w:val="0"/>
                <w:sz w:val="24"/>
              </w:rPr>
              <w:t>1</w:t>
            </w:r>
          </w:p>
        </w:tc>
      </w:tr>
    </w:tbl>
    <w:p/>
    <w:bookmarkEnd w:id="1"/>
    <w:sectPr>
      <w:pgSz w:w="11906" w:h="16838"/>
      <w:pgMar w:top="1440" w:right="1800" w:bottom="1440" w:left="1800" w:header="851" w:footer="1587" w:gutter="0"/>
      <w:cols w:space="720" w:num="1"/>
      <w:rtlGutter w:val="1"/>
      <w:docGrid w:type="linesAndChars" w:linePitch="289" w:charSpace="-18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Luxi Sans">
    <w:altName w:val="仿宋_GB2312"/>
    <w:panose1 w:val="00000000000000000000"/>
    <w:charset w:val="00"/>
    <w:family w:val="auto"/>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小标宋简体">
    <w:altName w:val="方正小标宋_GBK"/>
    <w:panose1 w:val="02000000000000000000"/>
    <w:charset w:val="86"/>
    <w:family w:val="auto"/>
    <w:pitch w:val="default"/>
    <w:sig w:usb0="00000000" w:usb1="00000000"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Wingdings 2">
    <w:panose1 w:val="05020102010507070707"/>
    <w:charset w:val="02"/>
    <w:family w:val="roman"/>
    <w:pitch w:val="default"/>
    <w:sig w:usb0="00000000" w:usb1="00000000" w:usb2="00000000" w:usb3="00000000" w:csb0="80000000" w:csb1="00000000"/>
  </w:font>
  <w:font w:name="等线">
    <w:altName w:val="仿宋_GB2312"/>
    <w:panose1 w:val="02010600030101010101"/>
    <w:charset w:val="86"/>
    <w:family w:val="auto"/>
    <w:pitch w:val="default"/>
    <w:sig w:usb0="00000000" w:usb1="00000000" w:usb2="00000016" w:usb3="00000000" w:csb0="0004000F"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39FEFA"/>
    <w:multiLevelType w:val="singleLevel"/>
    <w:tmpl w:val="0739FEFA"/>
    <w:lvl w:ilvl="0" w:tentative="0">
      <w:start w:val="2"/>
      <w:numFmt w:val="decimal"/>
      <w:lvlText w:val="%1."/>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1"/>
  <w:drawingGridVerticalSpacing w:val="144"/>
  <w:displayHorizontalDrawingGridEvery w:val="2"/>
  <w:displayVerticalDrawingGridEvery w:val="2"/>
  <w:noPunctuationKerning w:val="1"/>
  <w:characterSpacingControl w:val="compressPunctuation"/>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1MTIxMDc5N2FmMjMxN2QwNzY4OGZhNDdmY2QwYjMifQ=="/>
  </w:docVars>
  <w:rsids>
    <w:rsidRoot w:val="00000000"/>
    <w:rsid w:val="299B0910"/>
    <w:rsid w:val="2FD7771D"/>
    <w:rsid w:val="77DD8D7E"/>
    <w:rsid w:val="7E5829C2"/>
    <w:rsid w:val="D2DB79D7"/>
    <w:rsid w:val="E7B1791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bCs/>
      <w:kern w:val="44"/>
      <w:sz w:val="44"/>
      <w:szCs w:val="44"/>
    </w:rPr>
  </w:style>
  <w:style w:type="paragraph" w:styleId="3">
    <w:name w:val="heading 2"/>
    <w:basedOn w:val="1"/>
    <w:next w:val="1"/>
    <w:qFormat/>
    <w:uiPriority w:val="0"/>
    <w:pPr>
      <w:keepNext/>
      <w:keepLines/>
      <w:widowControl w:val="0"/>
      <w:spacing w:before="260" w:after="260" w:line="415" w:lineRule="auto"/>
      <w:outlineLvl w:val="1"/>
    </w:pPr>
    <w:rPr>
      <w:rFonts w:ascii="Luxi Sans" w:hAnsi="Luxi Sans" w:eastAsia="黑体"/>
      <w:b/>
      <w:sz w:val="32"/>
    </w:rPr>
  </w:style>
  <w:style w:type="paragraph" w:styleId="4">
    <w:name w:val="heading 3"/>
    <w:basedOn w:val="1"/>
    <w:next w:val="1"/>
    <w:qFormat/>
    <w:uiPriority w:val="0"/>
    <w:pPr>
      <w:keepNext/>
      <w:keepLines/>
      <w:widowControl w:val="0"/>
      <w:spacing w:before="260" w:after="260" w:line="415" w:lineRule="auto"/>
      <w:outlineLvl w:val="2"/>
    </w:pPr>
    <w:rPr>
      <w:b/>
      <w:sz w:val="32"/>
    </w:rPr>
  </w:style>
  <w:style w:type="character" w:default="1" w:styleId="13">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Body Text"/>
    <w:basedOn w:val="1"/>
    <w:next w:val="1"/>
    <w:qFormat/>
    <w:uiPriority w:val="0"/>
    <w:pPr>
      <w:widowControl/>
      <w:tabs>
        <w:tab w:val="left" w:pos="2160"/>
      </w:tabs>
      <w:spacing w:line="480" w:lineRule="auto"/>
      <w:jc w:val="left"/>
    </w:pPr>
    <w:rPr>
      <w:rFonts w:ascii="楷体_GB2312" w:hAnsi="楷体_GB2312" w:eastAsia="黑体"/>
      <w:kern w:val="0"/>
      <w:position w:val="3"/>
      <w:sz w:val="20"/>
      <w:szCs w:val="20"/>
    </w:rPr>
  </w:style>
  <w:style w:type="paragraph" w:styleId="6">
    <w:name w:val="Body Text Indent"/>
    <w:basedOn w:val="1"/>
    <w:qFormat/>
    <w:uiPriority w:val="0"/>
    <w:pPr>
      <w:spacing w:after="120"/>
      <w:ind w:left="200" w:leftChars="200"/>
    </w:pPr>
    <w:rPr>
      <w:rFonts w:ascii="仿宋_GB2312" w:hAnsi="仿宋_GB2312"/>
      <w:szCs w:val="32"/>
    </w:rPr>
  </w:style>
  <w:style w:type="paragraph" w:styleId="7">
    <w:name w:val="footer"/>
    <w:basedOn w:val="1"/>
    <w:qFormat/>
    <w:uiPriority w:val="0"/>
    <w:pPr>
      <w:tabs>
        <w:tab w:val="center" w:pos="4153"/>
        <w:tab w:val="right" w:pos="8306"/>
      </w:tabs>
      <w:snapToGrid w:val="0"/>
      <w:jc w:val="left"/>
    </w:pPr>
    <w:rPr>
      <w:rFonts w:ascii="Calibri" w:hAnsi="Calibri" w:cs="Arial"/>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rFonts w:ascii="Calibri" w:hAnsi="Calibri" w:cs="Arial"/>
      <w:sz w:val="18"/>
      <w:szCs w:val="18"/>
    </w:rPr>
  </w:style>
  <w:style w:type="paragraph" w:styleId="9">
    <w:name w:val="table of figures"/>
    <w:basedOn w:val="1"/>
    <w:next w:val="1"/>
    <w:qFormat/>
    <w:uiPriority w:val="0"/>
    <w:pPr>
      <w:ind w:left="400" w:leftChars="200" w:hanging="200" w:hangingChars="200"/>
    </w:pPr>
  </w:style>
  <w:style w:type="paragraph" w:styleId="10">
    <w:name w:val="Body Text First Indent 2"/>
    <w:basedOn w:val="6"/>
    <w:qFormat/>
    <w:uiPriority w:val="0"/>
    <w:pPr>
      <w:ind w:firstLine="20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正文2"/>
    <w:basedOn w:val="1"/>
    <w:next w:val="1"/>
    <w:qFormat/>
    <w:uiPriority w:val="0"/>
  </w:style>
  <w:style w:type="paragraph" w:styleId="15">
    <w:name w:val="List Paragraph"/>
    <w:basedOn w:val="1"/>
    <w:qFormat/>
    <w:uiPriority w:val="0"/>
    <w:pPr>
      <w:ind w:firstLine="200" w:firstLineChars="200"/>
    </w:pPr>
  </w:style>
  <w:style w:type="character" w:customStyle="1" w:styleId="16">
    <w:name w:val="NormalCharact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Sky123.Org</Company>
  <Pages>12</Pages>
  <Words>4098</Words>
  <Characters>4324</Characters>
  <Lines>319</Lines>
  <Paragraphs>194</Paragraphs>
  <TotalTime>6</TotalTime>
  <ScaleCrop>false</ScaleCrop>
  <LinksUpToDate>false</LinksUpToDate>
  <CharactersWithSpaces>4380</CharactersWithSpaces>
  <Application>WPS Office_11.1.0.10702_F1E327BC-269C-435d-A152-05C5408002CA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2025-05-20T19:14:00Z</dcterms:created>
  <dc:creator>Sky123.Org</dc:creator>
  <cp:lastModifiedBy>user</cp:lastModifiedBy>
  <dcterms:modified xsi:type="dcterms:W3CDTF">2026-09-22T10:22:28Z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15FE52668A2924F569F5946ADEBC16D8</vt:lpwstr>
  </property>
  <property fmtid="{D5CDD505-2E9C-101B-9397-08002B2CF9AE}" pid="4" name="KSOTemplateDocerSaveRecord">
    <vt:lpwstr>eyJoZGlkIjoiZTQ0NjgxNGZmMTFhZmQ2Yzk2ZTMyOTFmMjg3MThkM2YiLCJ1c2VySWQiOiIyMzYzNzMyOTYifQ==</vt:lpwstr>
  </property>
</Properties>
</file>