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阿坝州黑水县色尔古镇人民政府</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rPr>
      </w:pPr>
      <w:bookmarkStart w:id="1" w:name="OLE_LINK1"/>
      <w:bookmarkStart w:id="2" w:name="OLE_LINK2"/>
      <w:r>
        <w:rPr>
          <w:rFonts w:hint="eastAsia" w:ascii="仿宋_GB2312" w:hAnsi="仿宋" w:eastAsia="仿宋_GB2312" w:cs="仿宋_GB2312"/>
          <w:kern w:val="2"/>
          <w:sz w:val="32"/>
          <w:szCs w:val="32"/>
          <w:lang w:val="en-US" w:eastAsia="zh-CN" w:bidi="ar"/>
        </w:rPr>
        <w:t>色尔古镇属于镇财县管的乡镇，设有独立的财政所，本单位无下属二级预算单位。全镇共辖4个行政村1个社区。色尔古镇下设股级行政机构6个（4办2所）：党政综合办、基层组织建设办、综治维稳办、城镇办、财政所、寺庙管理所。下设事业机构4个：经济发展服务中心、社会事业服务中心、就业和社会保障</w:t>
      </w:r>
      <w:bookmarkStart w:id="9" w:name="_GoBack"/>
      <w:bookmarkEnd w:id="9"/>
      <w:r>
        <w:rPr>
          <w:rFonts w:hint="eastAsia" w:ascii="仿宋_GB2312" w:hAnsi="仿宋" w:eastAsia="仿宋_GB2312" w:cs="仿宋_GB2312"/>
          <w:kern w:val="2"/>
          <w:sz w:val="32"/>
          <w:szCs w:val="32"/>
          <w:lang w:val="en-US" w:eastAsia="zh-CN" w:bidi="ar"/>
        </w:rPr>
        <w:t>服务中心、综合文化中心。</w:t>
      </w:r>
      <w:bookmarkEnd w:id="1"/>
      <w:bookmarkEnd w:id="2"/>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pStyle w:val="2"/>
        <w:widowControl/>
        <w:adjustRightInd w:val="0"/>
        <w:snapToGrid w:val="0"/>
        <w:spacing w:before="72" w:beforeLines="30" w:beforeAutospacing="0" w:after="0" w:afterAutospacing="0" w:line="560" w:lineRule="exact"/>
        <w:ind w:left="0" w:right="0" w:firstLine="640" w:firstLineChars="200"/>
        <w:outlineLvl w:val="2"/>
        <w:rPr>
          <w:rFonts w:hint="eastAsia" w:ascii="仿宋_GB2312" w:hAnsi="仿宋" w:eastAsia="仿宋_GB2312" w:cs="仿宋_GB2312"/>
          <w:sz w:val="32"/>
          <w:szCs w:val="32"/>
        </w:rPr>
      </w:pPr>
      <w:r>
        <w:rPr>
          <w:rFonts w:hAnsi="仿宋"/>
          <w:bCs/>
          <w:color w:val="000000"/>
          <w:sz w:val="32"/>
          <w:szCs w:val="32"/>
          <w:lang w:eastAsia="zh-CN"/>
        </w:rPr>
        <w:t>黑水县</w:t>
      </w:r>
      <w:r>
        <w:rPr>
          <w:rFonts w:hint="eastAsia" w:hAnsi="仿宋"/>
          <w:bCs/>
          <w:color w:val="000000"/>
          <w:sz w:val="32"/>
          <w:szCs w:val="32"/>
          <w:lang w:val="en-US" w:eastAsia="zh-CN"/>
        </w:rPr>
        <w:t>色尔古</w:t>
      </w:r>
      <w:r>
        <w:rPr>
          <w:rFonts w:hAnsi="仿宋"/>
          <w:bCs/>
          <w:color w:val="000000"/>
          <w:sz w:val="32"/>
          <w:szCs w:val="32"/>
          <w:lang w:eastAsia="zh-CN"/>
        </w:rPr>
        <w:t>镇人民政府是基层国家行政机关，行使本行政区域的政府行政职能，根据有关文件规定，主要职责是：宣传和贯彻执行上级各部门及本镇的各项政策、法规、决议等；讨论决定全镇经济建设和社会发展中的重大问题；加强党委自身建设和以党支部为核心的村级组织建设；按照干部管理权限，负责对本级镇村干部的教育、管理、培训、选拔和监督工作，并实现村级财务统一由镇代管；认真做好全镇社会治安综合治理及计划生育，环境、国土等管理工作。</w:t>
      </w:r>
    </w:p>
    <w:p>
      <w:pPr>
        <w:pStyle w:val="11"/>
        <w:widowControl/>
        <w:numPr>
          <w:ilvl w:val="0"/>
          <w:numId w:val="1"/>
        </w:numPr>
        <w:shd w:val="clear" w:fill="FFFFFF"/>
        <w:spacing w:before="0" w:beforeAutospacing="0" w:after="0" w:afterAutospacing="0" w:line="560" w:lineRule="exact"/>
        <w:ind w:left="0" w:leftChars="0" w:right="0" w:firstLine="640" w:firstLineChars="200"/>
        <w:jc w:val="both"/>
        <w:rPr>
          <w:rFonts w:hint="eastAsia" w:ascii="仿宋_GB2312" w:hAnsi="仿宋" w:eastAsia="仿宋_GB2312" w:cs="Times New Roman"/>
          <w:bCs/>
          <w:color w:val="000000"/>
          <w:kern w:val="0"/>
          <w:sz w:val="32"/>
          <w:szCs w:val="32"/>
          <w:lang w:val="en-US" w:eastAsia="zh-CN" w:bidi="ar"/>
        </w:rPr>
      </w:pPr>
      <w:r>
        <w:rPr>
          <w:rFonts w:hint="eastAsia" w:ascii="仿宋_GB2312" w:hAnsi="仿宋" w:eastAsia="仿宋_GB2312" w:cs="仿宋_GB2312"/>
          <w:sz w:val="32"/>
          <w:szCs w:val="32"/>
        </w:rPr>
        <w:t>人员概况。</w:t>
      </w:r>
    </w:p>
    <w:p>
      <w:pPr>
        <w:pStyle w:val="11"/>
        <w:widowControl/>
        <w:numPr>
          <w:ilvl w:val="0"/>
          <w:numId w:val="0"/>
        </w:numPr>
        <w:shd w:val="clear" w:fill="FFFFFF"/>
        <w:spacing w:before="0" w:beforeAutospacing="0" w:after="0" w:afterAutospacing="0" w:line="560" w:lineRule="exact"/>
        <w:ind w:right="0" w:rightChars="0" w:firstLine="640" w:firstLineChars="200"/>
        <w:jc w:val="both"/>
        <w:rPr>
          <w:rFonts w:hint="eastAsia" w:ascii="仿宋_GB2312" w:hAnsi="仿宋" w:eastAsia="仿宋_GB2312" w:cs="Times New Roman"/>
          <w:bCs/>
          <w:color w:val="000000"/>
          <w:kern w:val="0"/>
          <w:sz w:val="32"/>
          <w:szCs w:val="32"/>
          <w:lang w:val="en-US" w:eastAsia="zh-CN" w:bidi="ar"/>
        </w:rPr>
      </w:pPr>
      <w:r>
        <w:rPr>
          <w:rFonts w:hint="eastAsia" w:ascii="仿宋_GB2312" w:hAnsi="仿宋" w:eastAsia="仿宋_GB2312" w:cs="Times New Roman"/>
          <w:bCs/>
          <w:color w:val="000000"/>
          <w:kern w:val="0"/>
          <w:sz w:val="32"/>
          <w:szCs w:val="32"/>
          <w:lang w:val="en-US" w:eastAsia="zh-CN" w:bidi="ar"/>
        </w:rPr>
        <w:t>本单位本年度年末实有人数为33人，比上年增加1人；年末实有离退休人数为0人，比上年增加0人。年末实有其他人数为0人，比上年增加0人。</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numPr>
          <w:ilvl w:val="0"/>
          <w:numId w:val="0"/>
        </w:numPr>
        <w:spacing w:line="580" w:lineRule="exact"/>
        <w:ind w:firstLine="640" w:firstLineChars="200"/>
        <w:rPr>
          <w:rFonts w:hint="eastAsia" w:ascii="仿宋_GB2312" w:hAnsi="仿宋" w:eastAsia="仿宋_GB2312" w:cs="仿宋_GB2312"/>
          <w:sz w:val="32"/>
          <w:szCs w:val="32"/>
        </w:rPr>
      </w:pPr>
      <w:bookmarkStart w:id="3" w:name="OLE_LINK8"/>
      <w:r>
        <w:rPr>
          <w:rFonts w:hint="eastAsia" w:ascii="仿宋_GB2312" w:hAnsi="Times New Roman" w:eastAsia="仿宋_GB2312" w:cs="宋体"/>
          <w:kern w:val="2"/>
          <w:sz w:val="32"/>
          <w:szCs w:val="32"/>
          <w:shd w:val="clear" w:fill="FFFFFF"/>
          <w:lang w:val="en-US" w:eastAsia="zh-CN" w:bidi="ar"/>
        </w:rPr>
        <w:t>本单位本年度总收入为966.13万元。其中：一般公共预算财政拨款收入为966.13万元，占比100.00%；政府性基金预算财政拨款收入为0.00万元，占比0.00%；国有资本经营预算财政拨款收入为0.00)万元，占比0.00%；上级补助收入为0.00万元，占比0.00%；事业收入为0.00万元，占比0.00%；经营收入为0.00万元，占比0.00%；附属单位上缴收入为0.00万元，占比0.00%；其他收入为0.00万元，占比0.00%。</w:t>
      </w:r>
      <w:bookmarkEnd w:id="3"/>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本年度总支出为1,588.61万元。其中：一般公共服务支出为521.63万元，占比32.84%；外交支出为0.00万元，占比0.00%；国防支出为0.00万元，占比0.00%；公共安全支出为0.00万元，占比0.00%；教育支出为6.00万元，占比0.38%；科学技术支出为0.00万元，占比0.00%；文化旅游体育与传媒支出为0.00万元，占比0.00%；社会保障和就业支出为61.43万元，占比3.87%；卫生健康支出为33.21万元，占比2.09%；节能环保支出为171.72万元，占比10.81%；城乡社区支出为1.81万元，占比0.11%；农林水支出为744.05万元，占比46.84%；交通运输支出为0.00万元，占比0.00%；资源勘探工业信息等支出为0.00万元，占比0.00%；商业服务业等支出为0.00万元，占比0.00%；金融支出为0.00万元，占比0.00%；援助其他地区支出为0.00万元，占比0.00%；自然资源海洋气象等支出为0.00万元，占比0.00%；住房保障支出为45.29万元，占比2.85%；粮油物资储备支出为0.00万元，占比0.00%；国有资本经营预算支出为0.00万元，占比0.00%；灾害防治及应急管理支出为3.44万元，占比0.22%；其他支出为0.03万元，占比0.00%；债务还本支出为0.00万元，占比0.00%；债务付息支出为0.00万元，占比0.00%；抗疫特别国债安排的支出为0.00万元，占比0.00%。</w:t>
      </w:r>
    </w:p>
    <w:p>
      <w:pPr>
        <w:pStyle w:val="5"/>
        <w:keepNext w:val="0"/>
        <w:keepLines w:val="0"/>
        <w:widowControl/>
        <w:suppressLineNumbers w:val="0"/>
        <w:shd w:val="clear" w:fill="FFFFFF"/>
        <w:spacing w:before="0" w:beforeAutospacing="0" w:after="0" w:afterAutospacing="0" w:line="560" w:lineRule="exact"/>
        <w:ind w:left="0" w:right="0" w:firstLine="480" w:firstLineChars="200"/>
        <w:jc w:val="both"/>
        <w:rPr>
          <w:rFonts w:hint="eastAsia" w:ascii="仿宋_GB2312" w:hAnsi="Times New Roman" w:eastAsia="仿宋_GB2312" w:cs="仿宋_GB2312"/>
          <w:kern w:val="2"/>
          <w:sz w:val="32"/>
          <w:szCs w:val="32"/>
          <w:shd w:val="clear" w:fill="FFFFFF"/>
          <w:lang w:val="en-US"/>
        </w:rPr>
      </w:pPr>
      <w:r>
        <w:rPr>
          <w:rFonts w:hint="eastAsia" w:ascii="宋体" w:hAnsi="宋体" w:eastAsia="宋体" w:cs="宋体"/>
          <w:kern w:val="0"/>
          <w:sz w:val="24"/>
          <w:szCs w:val="24"/>
          <w:shd w:val="clear" w:fill="FFFFFF"/>
          <w:lang w:val="en-US" w:eastAsia="zh-CN" w:bidi="ar"/>
        </w:rPr>
        <w:drawing>
          <wp:anchor distT="5715" distB="3810" distL="120015" distR="118745" simplePos="0" relativeHeight="251659264" behindDoc="0" locked="0" layoutInCell="1" allowOverlap="1">
            <wp:simplePos x="0" y="0"/>
            <wp:positionH relativeFrom="column">
              <wp:posOffset>114300</wp:posOffset>
            </wp:positionH>
            <wp:positionV relativeFrom="paragraph">
              <wp:posOffset>294640</wp:posOffset>
            </wp:positionV>
            <wp:extent cx="4839970" cy="1743710"/>
            <wp:effectExtent l="0" t="0" r="17780" b="8890"/>
            <wp:wrapTopAndBottom/>
            <wp:docPr id="1" name="图表 7"/>
            <wp:cNvGraphicFramePr/>
            <a:graphic xmlns:a="http://schemas.openxmlformats.org/drawingml/2006/main">
              <a:graphicData uri="http://schemas.openxmlformats.org/drawingml/2006/picture">
                <pic:pic xmlns:pic="http://schemas.openxmlformats.org/drawingml/2006/picture">
                  <pic:nvPicPr>
                    <pic:cNvPr id="1" name="图表 7"/>
                    <pic:cNvPicPr/>
                  </pic:nvPicPr>
                  <pic:blipFill>
                    <a:blip r:embed="rId4"/>
                    <a:stretch>
                      <a:fillRect/>
                    </a:stretch>
                  </pic:blipFill>
                  <pic:spPr>
                    <a:xfrm>
                      <a:off x="0" y="0"/>
                      <a:ext cx="4839970" cy="1743710"/>
                    </a:xfrm>
                    <a:prstGeom prst="rect">
                      <a:avLst/>
                    </a:prstGeom>
                    <a:noFill/>
                    <a:ln>
                      <a:noFill/>
                    </a:ln>
                  </pic:spPr>
                </pic:pic>
              </a:graphicData>
            </a:graphic>
          </wp:anchor>
        </w:drawing>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（2）本年度一般公共预算财政拨款收入相比上年度增加293.98万元，主要原因为人员变动，项目资金增加；政府性基金预算财政拨款收入相比上年度减少0.00万元，主要原因为无变动</w:t>
      </w:r>
      <w:r>
        <w:rPr>
          <w:rFonts w:hint="eastAsia" w:ascii="仿宋_GB2312" w:hAnsi="Times New Roman" w:eastAsia="仿宋_GB2312" w:cs="仿宋_GB2312"/>
          <w:b/>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国有资本经营预算财政拨款收入相比上年度减少0.00万元，主要原因为无变动；上级补助收入相比上年度减少0.00万元，主要原因为无变动；事业收入相比上年度减少0.00万元，主要原因为无变动；经营收入相比上年度减少0.00万元，主要原因为无变动；附属单位上缴收入相比上年度减少0.00万元，主要原因为无变动；其他收入相比上年度减少0.00万元，主要原因为无变动。本年度一般公共服务支出相比上年度增加142.56万元，主要原因为厉行节约，外交支出相比上年度减少0.00万元，主要原因为无变动；国防支出相比上年度减少0.00万元，主要原因为无变动；公共安全支出相比上年度减少0.00万元，主要原因为无变动</w:t>
      </w:r>
      <w:r>
        <w:rPr>
          <w:rFonts w:hint="eastAsia" w:ascii="仿宋_GB2312" w:hAnsi="Times New Roman" w:eastAsia="仿宋_GB2312" w:cs="仿宋_GB2312"/>
          <w:b/>
          <w:kern w:val="2"/>
          <w:sz w:val="32"/>
          <w:szCs w:val="32"/>
          <w:shd w:val="clear" w:fill="FFFFFF"/>
          <w:lang w:val="en-US" w:eastAsia="zh-CN" w:bidi="ar"/>
        </w:rPr>
        <w:t>.</w:t>
      </w:r>
      <w:r>
        <w:rPr>
          <w:rFonts w:hint="eastAsia" w:ascii="仿宋_GB2312" w:hAnsi="Times New Roman" w:eastAsia="仿宋_GB2312" w:cs="仿宋_GB2312"/>
          <w:kern w:val="2"/>
          <w:sz w:val="32"/>
          <w:szCs w:val="32"/>
          <w:shd w:val="clear" w:fill="FFFFFF"/>
          <w:lang w:val="en-US" w:eastAsia="zh-CN" w:bidi="ar"/>
        </w:rPr>
        <w:t>；教育支出相比上年度增加6.00万元，主要原因为人员变动；科学技术支出相比上年度减少0.00万元，主要原因为无变动；文化旅游体育与传媒支出相比上年度减少0.00万元，主要原因为无变动；社会保障和就业支出相比上年度增加11.39万元，主要原因为人员变动增加；卫生健康支出相比上年度增加3.18万元主要原因为医疗保险增加；节能环保支出相比上年度增加171.72万元，主要原因为增加项目资金；城乡社区支出相比上年度增加0.88万元，主要原因为经费增加；农林水支出相比上年度减少489.78万元，主要原因为人员变动、村干部工资增加；交通运输支出相比上年度减少0.00万元，主要原因为无变动；资源勘探工业信息等支出相比上年度减少0.00万元，主要原因为无变动；商业服务业等支出相比上年度减少0.00万元，主要原因为无变动；金融支出相比上年度减少0.00万元，主要原因为无变动；援助其他地区支出相比上年度减少0.00万元，主要原因为无变动；自然资源海洋气象等支出相比上年度减少0.00万元，主要原因为无变动；住房保障支出相比上年度增加7.54万元，主要原因为人员变动增加；粮油物资储备支出相比上年度减少0.00万元，主要原因为无变动；国有资本经营预算支出相比上年度减少0.00万元，主要原因为无变动；灾害防治及应急管理支出相比上年度增加3.44万元，主要原因为森林草原防灭火宣传经费增加；其他支出相比上年度减少0.03万元；债务还本支出相比上年度减少0.00万元，主要原因为无变动；债务付息支出相比上年度减少0.00万元，主要原因为无变动；抗疫特别国债安排的支出相比上年度减少0.00万元，主要原因为无变动。</w:t>
      </w:r>
    </w:p>
    <w:p>
      <w:pPr>
        <w:pStyle w:val="5"/>
        <w:keepNext w:val="0"/>
        <w:keepLines w:val="0"/>
        <w:widowControl/>
        <w:suppressLineNumbers w:val="0"/>
        <w:shd w:val="clear" w:fill="FFFFFF"/>
        <w:spacing w:before="0" w:beforeAutospacing="0" w:after="0" w:afterAutospacing="0" w:line="560" w:lineRule="exact"/>
        <w:ind w:left="0" w:right="0" w:firstLine="643"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b/>
          <w:kern w:val="2"/>
          <w:sz w:val="32"/>
          <w:szCs w:val="32"/>
          <w:shd w:val="clear" w:fill="FFFFFF"/>
          <w:lang w:val="en-US" w:eastAsia="zh-CN" w:bidi="ar"/>
        </w:rPr>
        <w:t>3．支出按经济分类科目分析。</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（1） “三公”经费支出情况：本单位本年度“三公”经费支出决算数为6.98万元。其中:因公出国（境）费支出决算数为0.00万元，相比上年度减少0.00万元；公务用车购置及运行维护费支出决算数为6.98万元，相比上年度增加2.15万元，主要原因为森林草原防灭火消防车费用在本单位支出；公务接待费支出决算数为0.00万元，相比上年度减少0.00万元。 本年度“三公”经费支出预算数为6.98万元，决算数为6.98万元，预算完成度为100.00%。本年度因 公出国（境）费人均支出为0.00万元，公务用车购置及运行维护费人均支出为0.21万元，公务接待费人均支出为0.00万元。</w:t>
      </w:r>
    </w:p>
    <w:p>
      <w:pPr>
        <w:pStyle w:val="5"/>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shd w:val="clear" w:fill="FFFFFF"/>
          <w:lang w:val="en-US"/>
        </w:rPr>
      </w:pPr>
      <w:r>
        <w:rPr>
          <w:rFonts w:hint="eastAsia" w:ascii="仿宋_GB2312" w:hAnsi="Times New Roman" w:eastAsia="仿宋_GB2312" w:cs="仿宋_GB2312"/>
          <w:kern w:val="2"/>
          <w:sz w:val="32"/>
          <w:szCs w:val="32"/>
          <w:shd w:val="clear" w:fill="FFFFFF"/>
          <w:lang w:val="en-US" w:eastAsia="zh-CN" w:bidi="ar"/>
        </w:rPr>
        <w:t xml:space="preserve">（2） 会议费支出情况：本单位本年度会议费支出决算数为0.75万元，相比上年度增加0.75万元，主要原因为开展人大工作开展人大会；会议费人均支出为0.02万元。 </w:t>
      </w:r>
    </w:p>
    <w:p>
      <w:pPr>
        <w:pStyle w:val="5"/>
        <w:keepNext w:val="0"/>
        <w:keepLines w:val="0"/>
        <w:widowControl/>
        <w:suppressLineNumbers w:val="0"/>
        <w:shd w:val="clear" w:fill="FFFFFF"/>
        <w:spacing w:before="0" w:beforeAutospacing="0" w:after="0" w:afterAutospacing="0" w:line="560" w:lineRule="exact"/>
        <w:ind w:left="0" w:right="0" w:firstLine="480" w:firstLineChars="200"/>
        <w:jc w:val="both"/>
        <w:rPr>
          <w:rFonts w:hint="eastAsia" w:ascii="仿宋_GB2312" w:hAnsi="仿宋" w:eastAsia="仿宋_GB2312" w:cs="仿宋_GB2312"/>
          <w:sz w:val="32"/>
          <w:szCs w:val="32"/>
        </w:rPr>
      </w:pPr>
      <w:r>
        <w:rPr>
          <w:rFonts w:hint="eastAsia" w:ascii="宋体" w:hAnsi="宋体" w:eastAsia="宋体" w:cs="宋体"/>
          <w:kern w:val="0"/>
          <w:sz w:val="24"/>
          <w:szCs w:val="24"/>
          <w:shd w:val="clear" w:fill="FFFFFF"/>
          <w:lang w:val="en-US" w:eastAsia="zh-CN" w:bidi="ar"/>
        </w:rPr>
        <w:drawing>
          <wp:anchor distT="5715" distB="3810" distL="120015" distR="120650" simplePos="0" relativeHeight="251660288" behindDoc="0" locked="0" layoutInCell="1" allowOverlap="1">
            <wp:simplePos x="0" y="0"/>
            <wp:positionH relativeFrom="column">
              <wp:posOffset>114300</wp:posOffset>
            </wp:positionH>
            <wp:positionV relativeFrom="paragraph">
              <wp:posOffset>167640</wp:posOffset>
            </wp:positionV>
            <wp:extent cx="4956175" cy="1657985"/>
            <wp:effectExtent l="0" t="0" r="15875" b="18415"/>
            <wp:wrapTopAndBottom/>
            <wp:docPr id="2" name="图表 10"/>
            <wp:cNvGraphicFramePr/>
            <a:graphic xmlns:a="http://schemas.openxmlformats.org/drawingml/2006/main">
              <a:graphicData uri="http://schemas.openxmlformats.org/drawingml/2006/picture">
                <pic:pic xmlns:pic="http://schemas.openxmlformats.org/drawingml/2006/picture">
                  <pic:nvPicPr>
                    <pic:cNvPr id="2" name="图表 10"/>
                    <pic:cNvPicPr/>
                  </pic:nvPicPr>
                  <pic:blipFill>
                    <a:blip r:embed="rId5"/>
                    <a:stretch>
                      <a:fillRect/>
                    </a:stretch>
                  </pic:blipFill>
                  <pic:spPr>
                    <a:xfrm>
                      <a:off x="0" y="0"/>
                      <a:ext cx="4956175" cy="1657985"/>
                    </a:xfrm>
                    <a:prstGeom prst="rect">
                      <a:avLst/>
                    </a:prstGeom>
                    <a:noFill/>
                    <a:ln>
                      <a:noFill/>
                    </a:ln>
                  </pic:spPr>
                </pic:pic>
              </a:graphicData>
            </a:graphic>
          </wp:anchor>
        </w:drawing>
      </w:r>
      <w:r>
        <w:rPr>
          <w:rFonts w:hint="eastAsia" w:ascii="仿宋_GB2312" w:hAnsi="Times New Roman" w:eastAsia="仿宋_GB2312" w:cs="仿宋_GB2312"/>
          <w:kern w:val="2"/>
          <w:sz w:val="32"/>
          <w:szCs w:val="32"/>
          <w:shd w:val="clear" w:fill="FFFFFF"/>
          <w:lang w:val="en-US" w:eastAsia="zh-CN" w:bidi="ar"/>
        </w:rPr>
        <w:t>（3）培训费支出情况：本单位本年度培训费支出决算数为2.07万元，相比上年度增加0.61万元，主要原因为人大会议召开；培训费人均支出为0.06万元。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bookmarkStart w:id="4" w:name="OLE_LINK11"/>
      <w:bookmarkStart w:id="5" w:name="OLE_LINK10"/>
      <w:r>
        <w:rPr>
          <w:rFonts w:hint="eastAsia" w:ascii="仿宋_GB2312" w:hAnsi="仿宋" w:eastAsia="仿宋_GB2312" w:cs="仿宋_GB2312"/>
          <w:kern w:val="2"/>
          <w:sz w:val="32"/>
          <w:szCs w:val="32"/>
          <w:lang w:val="en-US" w:eastAsia="zh-CN" w:bidi="ar"/>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2021年年初预算安排收入</w:t>
      </w:r>
      <w:r>
        <w:rPr>
          <w:rFonts w:hint="eastAsia" w:ascii="仿宋_GB2312" w:hAnsi="Times New Roman" w:eastAsia="仿宋_GB2312" w:cs="宋体"/>
          <w:kern w:val="2"/>
          <w:sz w:val="32"/>
          <w:szCs w:val="32"/>
          <w:shd w:val="clear" w:fill="FFFFFF"/>
          <w:lang w:val="en-US" w:eastAsia="zh-CN" w:bidi="ar"/>
        </w:rPr>
        <w:t>966.13</w:t>
      </w:r>
      <w:r>
        <w:rPr>
          <w:rFonts w:hint="eastAsia" w:ascii="仿宋_GB2312" w:hAnsi="仿宋" w:eastAsia="仿宋_GB2312" w:cs="仿宋_GB2312"/>
          <w:kern w:val="2"/>
          <w:sz w:val="32"/>
          <w:szCs w:val="32"/>
          <w:lang w:val="en-US" w:eastAsia="zh-CN" w:bidi="ar"/>
        </w:rPr>
        <w:t>万元, 本年预算支出1588.61万元。</w:t>
      </w:r>
      <w:bookmarkEnd w:id="4"/>
      <w:bookmarkEnd w:id="5"/>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本单位严格按照专项预算项目支付，制定相应的执行情况，规划合理。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bookmarkStart w:id="6" w:name="OLE_LINK14"/>
      <w:bookmarkStart w:id="7" w:name="OLE_LINK15"/>
      <w:bookmarkStart w:id="8" w:name="OLE_LINK13"/>
      <w:r>
        <w:rPr>
          <w:rFonts w:hint="eastAsia" w:ascii="仿宋_GB2312" w:hAnsi="仿宋" w:eastAsia="仿宋_GB2312" w:cs="仿宋_GB2312"/>
          <w:kern w:val="2"/>
          <w:sz w:val="32"/>
          <w:szCs w:val="32"/>
          <w:lang w:val="en-US" w:eastAsia="zh-CN" w:bidi="ar"/>
        </w:rPr>
        <w:t>严格执行“厉行节约、反对浪费”的规定，严格控制“三公”经费支出，加强公务用车管理，努力降低燃修费用，“三公”经费较上年有所增加。本年三公经费支出6.98万元，其中：公务用车运行维护费6.98万元，公务接待0万元。上年三公经费支出4.83万元，其中：公务用车运行维护费4.83万元，公务接待0万元。</w:t>
      </w:r>
      <w:bookmarkEnd w:id="6"/>
      <w:bookmarkEnd w:id="7"/>
      <w:bookmarkEnd w:id="8"/>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（一）评价结论。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zh-CN" w:eastAsia="zh-CN" w:bidi="ar"/>
        </w:rPr>
        <w:t>2021年，在县委、县政府的坚强领导，我镇工作继续完善、提升、发展，总体呈现出稳中有升、高位求进的良好发展态势，圆满完成了州县下达的各项目标任务，为全县经济社会发展创造良好的社会环境做出了突出贡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1、村民大局观念不强，过分强调自身利益，对所在村民小组的实施项目表现强烈的兴趣，对村上的公共服务建设项目无心过问。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zh-CN" w:eastAsia="zh-CN"/>
        </w:rPr>
      </w:pPr>
      <w:r>
        <w:rPr>
          <w:rFonts w:hint="eastAsia" w:ascii="仿宋_GB2312" w:hAnsi="仿宋" w:eastAsia="仿宋_GB2312" w:cs="仿宋_GB2312"/>
          <w:kern w:val="2"/>
          <w:sz w:val="32"/>
          <w:szCs w:val="32"/>
          <w:lang w:val="en-US" w:eastAsia="zh-CN" w:bidi="ar"/>
        </w:rPr>
        <w:t>2、农村基层民主制度建设的核心——财务公开与监督建设有待进一步提高。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（三）改进建议。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1、加强资金的管理，在公共运行维护资金的使用范围上严格把关，按照规定进行公示。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2、加强宣传基础设施维修维护费的用途，督促村干部在项目完工后及时报账。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今后，我镇将认真总结经验，完善不足，吃透上级政策精神，强化村干部法律意识，加强资金的管理，并结合我镇的实际情况，创新工作思路，加大工作力度，切实把村级运行维护资金这项惠民工作做好、做实，让农民真正的得到实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294C6B-FDF2-4ECC-9062-75A46FD71E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35F2EF2-6DB3-42E5-AB59-0B222B8009AD}"/>
  </w:font>
  <w:font w:name="方正小标宋简体">
    <w:panose1 w:val="02000000000000000000"/>
    <w:charset w:val="86"/>
    <w:family w:val="auto"/>
    <w:pitch w:val="default"/>
    <w:sig w:usb0="00000001" w:usb1="08000000" w:usb2="00000000" w:usb3="00000000" w:csb0="00040000" w:csb1="00000000"/>
    <w:embedRegular r:id="rId3" w:fontKey="{DDE003C2-11DE-4CEB-8A99-2EFC7B0D7B04}"/>
  </w:font>
  <w:font w:name="仿宋">
    <w:panose1 w:val="02010609060101010101"/>
    <w:charset w:val="86"/>
    <w:family w:val="modern"/>
    <w:pitch w:val="default"/>
    <w:sig w:usb0="800002BF" w:usb1="38CF7CFA" w:usb2="00000016" w:usb3="00000000" w:csb0="00040001" w:csb1="00000000"/>
    <w:embedRegular r:id="rId4" w:fontKey="{C2C9E8F1-2F5C-4599-87C7-A735E98756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84D00"/>
    <w:multiLevelType w:val="singleLevel"/>
    <w:tmpl w:val="F9D84D00"/>
    <w:lvl w:ilvl="0" w:tentative="0">
      <w:start w:val="2"/>
      <w:numFmt w:val="chineseCounting"/>
      <w:suff w:val="nothing"/>
      <w:lvlText w:val="（%1）"/>
      <w:lvlJc w:val="left"/>
      <w:rPr>
        <w:rFonts w:hint="eastAsia"/>
      </w:rPr>
    </w:lvl>
  </w:abstractNum>
  <w:abstractNum w:abstractNumId="1">
    <w:nsid w:val="7492B4EE"/>
    <w:multiLevelType w:val="singleLevel"/>
    <w:tmpl w:val="7492B4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U2NWY2YzgyMTJjOTRkY2Q5MDQ4MWMwMmUwYWYyZmIifQ=="/>
  </w:docVars>
  <w:rsids>
    <w:rsidRoot w:val="00491B22"/>
    <w:rsid w:val="00291808"/>
    <w:rsid w:val="00491B22"/>
    <w:rsid w:val="0052390C"/>
    <w:rsid w:val="24BD3839"/>
    <w:rsid w:val="30BB2001"/>
    <w:rsid w:val="34EB1F43"/>
    <w:rsid w:val="36435EC2"/>
    <w:rsid w:val="4BA12CC2"/>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semiHidden/>
    <w:unhideWhenUsed/>
    <w:uiPriority w:val="99"/>
    <w:pPr>
      <w:keepNext w:val="0"/>
      <w:keepLines w:val="0"/>
      <w:widowControl w:val="0"/>
      <w:suppressLineNumbers w:val="0"/>
      <w:spacing w:before="0" w:beforeLines="30" w:beforeAutospacing="0" w:after="0" w:afterAutospacing="0"/>
      <w:ind w:left="0" w:right="0"/>
      <w:jc w:val="both"/>
    </w:pPr>
    <w:rPr>
      <w:rFonts w:hint="eastAsia" w:ascii="仿宋_GB2312" w:hAnsi="Times New Roman" w:eastAsia="仿宋_GB2312" w:cs="Times New Roman"/>
      <w:kern w:val="0"/>
      <w:sz w:val="30"/>
      <w:szCs w:val="24"/>
      <w:lang w:val="en-US" w:eastAsia="zh-CN" w:bidi="ar"/>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rPr>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uiPriority w:val="0"/>
    <w:rPr>
      <w:rFonts w:hint="eastAsia" w:ascii="仿宋_GB2312" w:eastAsia="仿宋_GB2312" w:cs="仿宋_GB2312"/>
      <w:sz w:val="30"/>
      <w:szCs w:val="24"/>
    </w:rPr>
  </w:style>
  <w:style w:type="paragraph" w:customStyle="1" w:styleId="11">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3264</Words>
  <Characters>3735</Characters>
  <Lines>2</Lines>
  <Paragraphs>1</Paragraphs>
  <TotalTime>2</TotalTime>
  <ScaleCrop>false</ScaleCrop>
  <LinksUpToDate>false</LinksUpToDate>
  <CharactersWithSpaces>3742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微信用户</cp:lastModifiedBy>
  <dcterms:modified xsi:type="dcterms:W3CDTF">2022-08-19T07:41:22Z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0E2C8F98A64A4069A71EF637BFE997B3</vt:lpwstr>
  </property>
</Properties>
</file>