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色尔古镇基层组织活动及村级运行费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_GBK" w:hAnsi="方正小标宋_GBK" w:eastAsia="方正小标宋_GBK" w:cs="方正小标宋_GBK"/>
          <w:b w:val="0"/>
          <w:bCs/>
          <w:sz w:val="44"/>
          <w:szCs w:val="44"/>
        </w:rPr>
        <w:t>支出绩效评价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rPr>
      </w:pPr>
      <w:r>
        <w:rPr>
          <w:rFonts w:hint="eastAsia" w:ascii="仿宋" w:hAnsi="仿宋" w:eastAsia="仿宋" w:cs="仿宋"/>
          <w:b/>
          <w:bCs/>
          <w:sz w:val="36"/>
          <w:szCs w:val="36"/>
        </w:rPr>
        <w:t>一、项目概况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_GB2312" w:hAnsi="宋体" w:eastAsia="仿宋_GB2312"/>
          <w:kern w:val="2"/>
          <w:sz w:val="32"/>
          <w:szCs w:val="32"/>
        </w:rPr>
        <w:t>村级公共服务运行是省、州、县为民办实落实资金的重大举措之一，是为了进一步支出农村公共文化</w:t>
      </w:r>
      <w:r>
        <w:rPr>
          <w:rFonts w:hint="eastAsia" w:ascii="仿宋_GB2312" w:hAnsi="宋体"/>
          <w:kern w:val="2"/>
          <w:sz w:val="32"/>
          <w:szCs w:val="32"/>
          <w:lang w:eastAsia="zh-CN"/>
        </w:rPr>
        <w:t>事业</w:t>
      </w:r>
      <w:bookmarkStart w:id="0" w:name="_GoBack"/>
      <w:bookmarkEnd w:id="0"/>
      <w:r>
        <w:rPr>
          <w:rFonts w:hint="eastAsia" w:ascii="仿宋_GB2312" w:hAnsi="宋体" w:eastAsia="仿宋_GB2312"/>
          <w:kern w:val="2"/>
          <w:sz w:val="32"/>
          <w:szCs w:val="32"/>
        </w:rPr>
        <w:t>发展，全国基层综合性文化服务中心建设的创新模式。一直以来，</w:t>
      </w:r>
      <w:r>
        <w:rPr>
          <w:rFonts w:hint="eastAsia" w:ascii="仿宋_GB2312" w:hAnsi="宋体"/>
          <w:kern w:val="2"/>
          <w:sz w:val="32"/>
          <w:szCs w:val="32"/>
          <w:lang w:eastAsia="zh-CN"/>
        </w:rPr>
        <w:t>色尔古</w:t>
      </w:r>
      <w:r>
        <w:rPr>
          <w:rFonts w:hint="eastAsia" w:ascii="仿宋_GB2312" w:hAnsi="宋体" w:eastAsia="仿宋_GB2312"/>
          <w:kern w:val="2"/>
          <w:sz w:val="32"/>
          <w:szCs w:val="32"/>
          <w:lang w:eastAsia="zh-CN"/>
        </w:rPr>
        <w:t>镇</w:t>
      </w:r>
      <w:r>
        <w:rPr>
          <w:rFonts w:hint="eastAsia" w:ascii="仿宋_GB2312" w:hAnsi="宋体" w:eastAsia="仿宋_GB2312"/>
          <w:kern w:val="2"/>
          <w:sz w:val="32"/>
          <w:szCs w:val="32"/>
        </w:rPr>
        <w:t>每年在上级领导单位的支持下，全力支持村级公务服务运行运作，</w:t>
      </w:r>
      <w:r>
        <w:rPr>
          <w:rFonts w:hint="eastAsia" w:ascii="仿宋_GB2312" w:hAnsi="宋体"/>
          <w:kern w:val="2"/>
          <w:sz w:val="32"/>
          <w:szCs w:val="32"/>
          <w:lang w:eastAsia="zh-CN"/>
        </w:rPr>
        <w:t>截至目前</w:t>
      </w:r>
      <w:r>
        <w:rPr>
          <w:rFonts w:hint="eastAsia" w:ascii="仿宋_GB2312" w:hAnsi="宋体" w:eastAsia="仿宋_GB2312"/>
          <w:kern w:val="2"/>
          <w:sz w:val="32"/>
          <w:szCs w:val="32"/>
        </w:rPr>
        <w:t>，全镇划分为</w:t>
      </w:r>
      <w:r>
        <w:rPr>
          <w:rFonts w:hint="eastAsia" w:ascii="仿宋_GB2312" w:hAnsi="宋体"/>
          <w:kern w:val="2"/>
          <w:sz w:val="32"/>
          <w:szCs w:val="32"/>
          <w:lang w:val="en-US" w:eastAsia="zh-CN"/>
        </w:rPr>
        <w:t>4</w:t>
      </w:r>
      <w:r>
        <w:rPr>
          <w:rFonts w:hint="eastAsia" w:ascii="仿宋_GB2312" w:hAnsi="宋体" w:eastAsia="仿宋_GB2312"/>
          <w:kern w:val="2"/>
          <w:sz w:val="32"/>
          <w:szCs w:val="32"/>
        </w:rPr>
        <w:t>个行政村</w:t>
      </w:r>
      <w:r>
        <w:rPr>
          <w:rFonts w:hint="eastAsia" w:ascii="仿宋_GB2312" w:hAnsi="宋体"/>
          <w:kern w:val="2"/>
          <w:sz w:val="32"/>
          <w:szCs w:val="32"/>
          <w:lang w:val="en-US" w:eastAsia="zh-CN"/>
        </w:rPr>
        <w:t>1社区</w:t>
      </w:r>
      <w:r>
        <w:rPr>
          <w:rFonts w:hint="eastAsia" w:ascii="仿宋_GB2312" w:hAnsi="宋体" w:eastAsia="仿宋_GB2312"/>
          <w:kern w:val="2"/>
          <w:sz w:val="32"/>
          <w:szCs w:val="32"/>
          <w:lang w:eastAsia="zh-CN"/>
        </w:rPr>
        <w:t>，</w:t>
      </w:r>
      <w:r>
        <w:rPr>
          <w:rFonts w:hint="eastAsia" w:ascii="仿宋_GB2312" w:hAnsi="宋体" w:eastAsia="仿宋_GB2312"/>
          <w:kern w:val="2"/>
          <w:sz w:val="32"/>
          <w:szCs w:val="32"/>
          <w:lang w:val="en-US" w:eastAsia="zh-CN"/>
        </w:rPr>
        <w:t>每村</w:t>
      </w:r>
      <w:r>
        <w:rPr>
          <w:rFonts w:hint="eastAsia" w:ascii="仿宋_GB2312" w:hAnsi="宋体"/>
          <w:kern w:val="2"/>
          <w:sz w:val="32"/>
          <w:szCs w:val="32"/>
          <w:lang w:val="en-US" w:eastAsia="zh-CN"/>
        </w:rPr>
        <w:t>9</w:t>
      </w:r>
      <w:r>
        <w:rPr>
          <w:rFonts w:hint="eastAsia" w:ascii="仿宋_GB2312" w:hAnsi="宋体" w:eastAsia="仿宋_GB2312"/>
          <w:kern w:val="2"/>
          <w:sz w:val="32"/>
          <w:szCs w:val="32"/>
          <w:lang w:val="en-US" w:eastAsia="zh-CN"/>
        </w:rPr>
        <w:t>万元</w:t>
      </w:r>
      <w:r>
        <w:rPr>
          <w:rFonts w:hint="eastAsia" w:ascii="仿宋_GB2312" w:hAnsi="宋体" w:eastAsia="仿宋_GB2312"/>
          <w:kern w:val="2"/>
          <w:sz w:val="32"/>
          <w:szCs w:val="32"/>
        </w:rPr>
        <w:t>，涉及公共服务运行经费</w:t>
      </w:r>
      <w:r>
        <w:rPr>
          <w:rFonts w:hint="eastAsia" w:ascii="仿宋_GB2312" w:hAnsi="宋体"/>
          <w:kern w:val="2"/>
          <w:sz w:val="32"/>
          <w:szCs w:val="32"/>
          <w:lang w:val="en-US" w:eastAsia="zh-CN"/>
        </w:rPr>
        <w:t>34</w:t>
      </w:r>
      <w:r>
        <w:rPr>
          <w:rFonts w:hint="eastAsia" w:ascii="仿宋_GB2312" w:hAnsi="宋体" w:eastAsia="仿宋_GB2312"/>
          <w:kern w:val="2"/>
          <w:sz w:val="32"/>
          <w:szCs w:val="32"/>
        </w:rPr>
        <w:t>万元整</w:t>
      </w:r>
      <w:r>
        <w:rPr>
          <w:rFonts w:hint="eastAsia" w:ascii="仿宋" w:hAnsi="仿宋" w:eastAsia="仿宋" w:cs="仿宋"/>
          <w:sz w:val="32"/>
          <w:szCs w:val="32"/>
        </w:rPr>
        <w:t>。</w:t>
      </w:r>
      <w:r>
        <w:rPr>
          <w:rFonts w:hint="eastAsia" w:ascii="仿宋" w:hAnsi="仿宋" w:eastAsia="仿宋" w:cs="仿宋"/>
          <w:sz w:val="32"/>
          <w:szCs w:val="32"/>
          <w:lang w:val="en-US" w:eastAsia="zh-CN"/>
        </w:rPr>
        <w:t>此项为2022年年初预算项目，按照财政局工作通知建库，下达资金。</w:t>
      </w:r>
    </w:p>
    <w:p>
      <w:pPr>
        <w:numPr>
          <w:ilvl w:val="0"/>
          <w:numId w:val="1"/>
        </w:numPr>
        <w:adjustRightInd w:val="0"/>
        <w:snapToGrid w:val="0"/>
        <w:spacing w:line="52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项目绩效目标。</w:t>
      </w:r>
    </w:p>
    <w:p>
      <w:pPr>
        <w:pStyle w:val="3"/>
        <w:widowControl/>
        <w:shd w:val="clear" w:color="auto" w:fill="FFFFFF"/>
        <w:spacing w:before="150" w:beforeAutospacing="0" w:after="150" w:afterAutospacing="0" w:line="45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计划实现的具体绩效目标</w:t>
      </w:r>
      <w:r>
        <w:rPr>
          <w:rFonts w:hint="eastAsia" w:ascii="仿宋" w:hAnsi="仿宋" w:eastAsia="仿宋" w:cs="仿宋"/>
          <w:sz w:val="32"/>
          <w:szCs w:val="32"/>
          <w:lang w:eastAsia="zh-CN"/>
        </w:rPr>
        <w:t>：</w:t>
      </w:r>
      <w:r>
        <w:rPr>
          <w:rFonts w:hint="eastAsia" w:ascii="仿宋_GB2312" w:hAnsi="宋体" w:eastAsia="仿宋_GB2312"/>
          <w:kern w:val="2"/>
          <w:sz w:val="32"/>
          <w:szCs w:val="32"/>
        </w:rPr>
        <w:t>为确保全镇农村公共服务运行经费规范管理和使用，充分发挥资金使用绩效，</w:t>
      </w:r>
      <w:r>
        <w:rPr>
          <w:rFonts w:hint="eastAsia" w:ascii="仿宋_GB2312" w:hAnsi="宋体" w:eastAsia="仿宋_GB2312"/>
          <w:kern w:val="2"/>
          <w:sz w:val="32"/>
          <w:szCs w:val="32"/>
          <w:lang w:val="en-US" w:eastAsia="zh-CN"/>
        </w:rPr>
        <w:t>我镇</w:t>
      </w:r>
      <w:r>
        <w:rPr>
          <w:rFonts w:hint="eastAsia" w:ascii="仿宋_GB2312" w:hAnsi="宋体" w:eastAsia="仿宋_GB2312"/>
          <w:kern w:val="2"/>
          <w:sz w:val="32"/>
          <w:szCs w:val="32"/>
        </w:rPr>
        <w:t>致力于做好绩效评价，为夯实党在基层执政的组织基础和群众基础，强化基层组织政治功能和服务功能，提高引领发展、服务群众的能力和水平，提供有力工作保障。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资金计划、到位及使用情况。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。说明该项目资金计划及</w:t>
      </w:r>
      <w:r>
        <w:rPr>
          <w:rFonts w:hint="eastAsia" w:ascii="仿宋" w:hAnsi="仿宋" w:eastAsia="仿宋" w:cs="仿宋"/>
          <w:sz w:val="32"/>
          <w:szCs w:val="32"/>
          <w:lang w:eastAsia="zh-CN"/>
        </w:rPr>
        <w:t>截至</w:t>
      </w:r>
      <w:r>
        <w:rPr>
          <w:rFonts w:hint="eastAsia" w:ascii="仿宋" w:hAnsi="仿宋" w:eastAsia="仿宋" w:cs="仿宋"/>
          <w:sz w:val="32"/>
          <w:szCs w:val="32"/>
        </w:rPr>
        <w:t>评价时点实际到位</w:t>
      </w:r>
      <w:r>
        <w:rPr>
          <w:rFonts w:hint="eastAsia" w:ascii="仿宋_GB2312" w:hAnsi="宋体"/>
          <w:kern w:val="2"/>
          <w:sz w:val="32"/>
          <w:szCs w:val="32"/>
          <w:lang w:val="en-US" w:eastAsia="zh-CN"/>
        </w:rPr>
        <w:t>34万元</w:t>
      </w:r>
      <w:r>
        <w:rPr>
          <w:rFonts w:hint="eastAsia" w:ascii="仿宋" w:hAnsi="仿宋" w:eastAsia="仿宋" w:cs="仿宋"/>
          <w:sz w:val="32"/>
          <w:szCs w:val="32"/>
          <w:lang w:val="en-US" w:eastAsia="zh-CN"/>
        </w:rPr>
        <w:t>整</w:t>
      </w:r>
      <w:r>
        <w:rPr>
          <w:rFonts w:hint="eastAsia" w:ascii="仿宋" w:hAnsi="仿宋" w:eastAsia="仿宋" w:cs="仿宋"/>
          <w:sz w:val="32"/>
          <w:szCs w:val="32"/>
        </w:rPr>
        <w:t>，资金渠道</w:t>
      </w:r>
      <w:r>
        <w:rPr>
          <w:rFonts w:hint="eastAsia" w:ascii="仿宋" w:hAnsi="仿宋" w:eastAsia="仿宋" w:cs="仿宋"/>
          <w:sz w:val="32"/>
          <w:szCs w:val="32"/>
          <w:lang w:eastAsia="zh-CN"/>
        </w:rPr>
        <w:t>：</w:t>
      </w:r>
      <w:r>
        <w:rPr>
          <w:rFonts w:hint="eastAsia" w:ascii="仿宋" w:hAnsi="仿宋" w:eastAsia="仿宋" w:cs="仿宋"/>
          <w:sz w:val="32"/>
          <w:szCs w:val="32"/>
        </w:rPr>
        <w:t>黑财</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1号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该项资金于2022年3月30日到位，</w:t>
      </w:r>
      <w:r>
        <w:rPr>
          <w:rFonts w:hint="eastAsia" w:ascii="仿宋" w:hAnsi="仿宋" w:eastAsia="仿宋" w:cs="仿宋"/>
          <w:sz w:val="32"/>
          <w:szCs w:val="32"/>
        </w:rPr>
        <w:t>到位及时。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2.资金使用。</w:t>
      </w:r>
      <w:r>
        <w:rPr>
          <w:rFonts w:hint="eastAsia" w:ascii="仿宋" w:hAnsi="仿宋" w:eastAsia="仿宋" w:cs="仿宋"/>
          <w:sz w:val="32"/>
          <w:szCs w:val="32"/>
        </w:rPr>
        <w:t>说明</w:t>
      </w:r>
      <w:r>
        <w:rPr>
          <w:rFonts w:hint="eastAsia" w:ascii="仿宋" w:hAnsi="仿宋" w:eastAsia="仿宋" w:cs="仿宋"/>
          <w:sz w:val="32"/>
          <w:szCs w:val="32"/>
          <w:lang w:eastAsia="zh-CN"/>
        </w:rPr>
        <w:t>截至</w:t>
      </w:r>
      <w:r>
        <w:rPr>
          <w:rFonts w:hint="eastAsia" w:ascii="仿宋" w:hAnsi="仿宋" w:eastAsia="仿宋" w:cs="仿宋"/>
          <w:sz w:val="32"/>
          <w:szCs w:val="32"/>
        </w:rPr>
        <w:t>评价时点项目资金的实际支出</w:t>
      </w:r>
      <w:r>
        <w:rPr>
          <w:rFonts w:hint="eastAsia" w:ascii="仿宋_GB2312" w:hAnsi="宋体"/>
          <w:kern w:val="2"/>
          <w:sz w:val="32"/>
          <w:szCs w:val="32"/>
          <w:lang w:val="en-US" w:eastAsia="zh-CN"/>
        </w:rPr>
        <w:t>33.96万</w:t>
      </w:r>
      <w:r>
        <w:rPr>
          <w:rFonts w:hint="eastAsia" w:ascii="仿宋" w:hAnsi="仿宋" w:eastAsia="仿宋" w:cs="仿宋"/>
          <w:sz w:val="32"/>
          <w:szCs w:val="32"/>
          <w:lang w:val="en-US" w:eastAsia="zh-CN"/>
        </w:rPr>
        <w:t>元。支付率99.88%。</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项目财务管理情况。</w:t>
      </w:r>
    </w:p>
    <w:p>
      <w:pPr>
        <w:widowControl/>
        <w:spacing w:line="360" w:lineRule="auto"/>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项目</w:t>
      </w:r>
      <w:r>
        <w:rPr>
          <w:rFonts w:hint="eastAsia" w:ascii="仿宋_GB2312" w:hAnsi="仿宋_GB2312" w:eastAsia="仿宋_GB2312" w:cs="仿宋_GB2312"/>
          <w:w w:val="100"/>
          <w:sz w:val="32"/>
          <w:szCs w:val="32"/>
          <w:lang w:val="en-US" w:eastAsia="zh-CN"/>
        </w:rPr>
        <w:t>严格按照相应的业务管理制度，规范各项经费的开支。资金使用规范，符合国家财经法规和财务管理以及有关专项资金管理办法的规定</w:t>
      </w:r>
      <w:r>
        <w:rPr>
          <w:rFonts w:hint="eastAsia" w:ascii="仿宋_GB2312" w:hAnsi="仿宋_GB2312" w:cs="仿宋_GB2312"/>
          <w:w w:val="100"/>
          <w:sz w:val="32"/>
          <w:szCs w:val="32"/>
          <w:lang w:val="en-US" w:eastAsia="zh-CN"/>
        </w:rPr>
        <w:t>；</w:t>
      </w:r>
      <w:r>
        <w:rPr>
          <w:rFonts w:hint="eastAsia" w:ascii="仿宋_GB2312" w:hAnsi="仿宋_GB2312" w:eastAsia="仿宋_GB2312" w:cs="仿宋_GB2312"/>
          <w:w w:val="100"/>
          <w:sz w:val="32"/>
          <w:szCs w:val="32"/>
          <w:lang w:val="en-US" w:eastAsia="zh-CN"/>
        </w:rPr>
        <w:t>资金的拨付有完整的审批程序和手续</w:t>
      </w:r>
      <w:r>
        <w:rPr>
          <w:rFonts w:hint="eastAsia" w:ascii="仿宋_GB2312" w:hAnsi="仿宋_GB2312" w:cs="仿宋_GB2312"/>
          <w:w w:val="100"/>
          <w:sz w:val="32"/>
          <w:szCs w:val="32"/>
          <w:lang w:val="en-US" w:eastAsia="zh-CN"/>
        </w:rPr>
        <w:t>；</w:t>
      </w:r>
      <w:r>
        <w:rPr>
          <w:rFonts w:hint="eastAsia" w:ascii="仿宋_GB2312" w:hAnsi="仿宋_GB2312" w:eastAsia="仿宋_GB2312" w:cs="仿宋_GB2312"/>
          <w:w w:val="100"/>
          <w:sz w:val="32"/>
          <w:szCs w:val="32"/>
          <w:lang w:val="en-US" w:eastAsia="zh-CN"/>
        </w:rPr>
        <w:t xml:space="preserve">不存在截留、挤占、挪用、虚列支出等情况。保障会计核算准确、财务资料完整。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项目组织实施情况。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实施过程专人负责，明确分工，落实目标任务，强化时间节点。资金使用严格遵守项目审批程序。项目绩效评价结果及相关评价材料将随当年决算在指定网站上及时向社会公开。严格要求各村严格按照操作流程和工作要求，各实施项目有效推进。符合中央、省、州及县重大决策部署，符合省委、省政府关于做好乡村振兴工作等重点任务要求，按照上级部门要求，严格执行项目申报、审核、评估、审批、资金下达等事项，将资金的筹措、拨付和财务管理作为资金管理绩效评价的主要指标，具有现实需求，具有明显的经济、社会、环境或可持续性效益。资金拨付经镇党委决议，同意并拨付。</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项目完成情况。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该项目累计下达34万元，截至2022年支付33.96万元，用于各村基础设施运行维护费。</w:t>
      </w:r>
      <w:r>
        <w:rPr>
          <w:rFonts w:hint="eastAsia" w:ascii="仿宋" w:hAnsi="仿宋" w:eastAsia="仿宋" w:cs="仿宋"/>
          <w:sz w:val="32"/>
          <w:szCs w:val="32"/>
        </w:rPr>
        <w:t>进度计划、成本控制目标的实现程度</w:t>
      </w:r>
      <w:r>
        <w:rPr>
          <w:rFonts w:hint="eastAsia" w:ascii="仿宋" w:hAnsi="仿宋" w:eastAsia="仿宋" w:cs="仿宋"/>
          <w:sz w:val="32"/>
          <w:szCs w:val="32"/>
          <w:lang w:val="en-US" w:eastAsia="zh-CN"/>
        </w:rPr>
        <w:t>自评良好。</w:t>
      </w:r>
    </w:p>
    <w:p>
      <w:pPr>
        <w:widowControl/>
        <w:spacing w:line="360" w:lineRule="auto"/>
        <w:ind w:firstLine="643" w:firstLineChars="200"/>
        <w:jc w:val="left"/>
        <w:rPr>
          <w:rFonts w:hint="eastAsia" w:ascii="仿宋_GB2312" w:hAnsi="仿宋_GB2312" w:eastAsia="仿宋_GB2312" w:cs="仿宋_GB2312"/>
          <w:w w:val="100"/>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我单位完成了2022年初设定的产出指标任务，各项项目得到有序开展。到年底完成全部项目的100%，验收合格率达到100%，项目正常使用率达到100%</w:t>
      </w:r>
      <w:r>
        <w:rPr>
          <w:rFonts w:hint="eastAsia" w:ascii="仿宋_GB2312" w:hAnsi="仿宋_GB2312" w:cs="仿宋_GB2312"/>
          <w:w w:val="100"/>
          <w:sz w:val="32"/>
          <w:szCs w:val="32"/>
          <w:lang w:val="en-US" w:eastAsia="zh-CN"/>
        </w:rPr>
        <w:t>，</w:t>
      </w:r>
      <w:r>
        <w:rPr>
          <w:rFonts w:hint="eastAsia" w:ascii="仿宋_GB2312" w:hAnsi="仿宋_GB2312" w:eastAsia="仿宋_GB2312" w:cs="仿宋_GB2312"/>
          <w:w w:val="100"/>
          <w:sz w:val="32"/>
          <w:szCs w:val="32"/>
          <w:lang w:val="en-US" w:eastAsia="zh-CN"/>
        </w:rPr>
        <w:t xml:space="preserve">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2.效益指标完成情况分析。 </w:t>
      </w:r>
    </w:p>
    <w:p>
      <w:pPr>
        <w:widowControl/>
        <w:spacing w:line="360" w:lineRule="auto"/>
        <w:ind w:firstLine="640" w:firstLineChars="200"/>
        <w:jc w:val="left"/>
        <w:rPr>
          <w:rFonts w:hint="eastAsia" w:ascii="仿宋_GB2312" w:hAnsi="宋体" w:eastAsia="仿宋_GB2312"/>
          <w:sz w:val="32"/>
          <w:szCs w:val="32"/>
          <w:lang w:bidi="ar"/>
        </w:rPr>
      </w:pPr>
      <w:r>
        <w:rPr>
          <w:rFonts w:hint="eastAsia" w:ascii="仿宋_GB2312" w:hAnsi="仿宋_GB2312" w:eastAsia="仿宋_GB2312" w:cs="仿宋_GB2312"/>
          <w:w w:val="100"/>
          <w:sz w:val="32"/>
          <w:szCs w:val="32"/>
          <w:lang w:val="en-US" w:eastAsia="zh-CN"/>
        </w:rPr>
        <w:t>我单位较好地完成年初设定的工作任务，各项项目得到有序开展</w:t>
      </w:r>
      <w:r>
        <w:rPr>
          <w:rFonts w:hint="eastAsia" w:ascii="仿宋_GB2312" w:hAnsi="仿宋_GB2312" w:cs="仿宋_GB2312"/>
          <w:w w:val="100"/>
          <w:sz w:val="32"/>
          <w:szCs w:val="32"/>
          <w:lang w:val="en-US" w:eastAsia="zh-CN"/>
        </w:rPr>
        <w:t>。</w:t>
      </w:r>
      <w:r>
        <w:rPr>
          <w:rFonts w:hint="eastAsia" w:ascii="仿宋_GB2312" w:hAnsi="宋体" w:eastAsia="仿宋_GB2312"/>
          <w:sz w:val="32"/>
          <w:szCs w:val="32"/>
          <w:lang w:bidi="ar"/>
        </w:rPr>
        <w:t>通过召开村民大会或村民代表大会的方式议事，确保维护项目、资金使用由村民决定。建立党委政府与群众自治组织</w:t>
      </w:r>
      <w:r>
        <w:rPr>
          <w:rFonts w:hint="eastAsia" w:ascii="仿宋_GB2312" w:hAnsi="宋体"/>
          <w:sz w:val="32"/>
          <w:szCs w:val="32"/>
          <w:lang w:eastAsia="zh-CN" w:bidi="ar"/>
        </w:rPr>
        <w:t>（</w:t>
      </w:r>
      <w:r>
        <w:rPr>
          <w:rFonts w:hint="eastAsia" w:ascii="仿宋_GB2312" w:hAnsi="宋体" w:eastAsia="仿宋_GB2312"/>
          <w:sz w:val="32"/>
          <w:szCs w:val="32"/>
          <w:lang w:bidi="ar"/>
        </w:rPr>
        <w:t>村民议事会、监理会、村民理财小组等</w:t>
      </w:r>
      <w:r>
        <w:rPr>
          <w:rFonts w:hint="eastAsia" w:ascii="仿宋_GB2312" w:hAnsi="宋体"/>
          <w:sz w:val="32"/>
          <w:szCs w:val="32"/>
          <w:lang w:eastAsia="zh-CN" w:bidi="ar"/>
        </w:rPr>
        <w:t>）</w:t>
      </w:r>
      <w:r>
        <w:rPr>
          <w:rFonts w:hint="eastAsia" w:ascii="仿宋_GB2312" w:hAnsi="宋体" w:eastAsia="仿宋_GB2312"/>
          <w:sz w:val="32"/>
          <w:szCs w:val="32"/>
          <w:lang w:bidi="ar"/>
        </w:rPr>
        <w:t>相结合的相互协作监管机制。注重调动广大农民群众的参与热情，引导农民群众积极投身农村公共服务运行维护机制建设。</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3.满意度指标完成情况分析。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自2022年以来，我单位对全部项目实施和整体社会效益及满意度等各项指标调查，基本情况是群众对项目实施满意度≥95%。项目社会效益和经济效益明显，达到了预期效果。</w:t>
      </w:r>
    </w:p>
    <w:p>
      <w:pPr>
        <w:widowControl/>
        <w:spacing w:line="360" w:lineRule="auto"/>
        <w:ind w:firstLine="640" w:firstLineChars="200"/>
        <w:jc w:val="left"/>
        <w:rPr>
          <w:rFonts w:hint="eastAsia" w:ascii="仿宋" w:hAnsi="仿宋" w:eastAsia="仿宋" w:cs="仿宋"/>
          <w:sz w:val="32"/>
          <w:szCs w:val="32"/>
        </w:rPr>
      </w:pPr>
      <w:r>
        <w:rPr>
          <w:rFonts w:hint="eastAsia" w:ascii="仿宋_GB2312" w:hAnsi="仿宋_GB2312" w:eastAsia="仿宋_GB2312" w:cs="仿宋_GB2312"/>
          <w:w w:val="100"/>
          <w:sz w:val="32"/>
          <w:szCs w:val="32"/>
          <w:lang w:val="en-US" w:eastAsia="zh-CN"/>
        </w:rPr>
        <w:t xml:space="preserve"> 我单位根据专项绩效评定指标对各项目量化评价，自评指标得分9</w:t>
      </w:r>
      <w:r>
        <w:rPr>
          <w:rFonts w:hint="eastAsia" w:ascii="仿宋_GB2312" w:hAnsi="仿宋_GB2312" w:cs="仿宋_GB2312"/>
          <w:w w:val="100"/>
          <w:sz w:val="32"/>
          <w:szCs w:val="32"/>
          <w:lang w:val="en-US" w:eastAsia="zh-CN"/>
        </w:rPr>
        <w:t>7</w:t>
      </w:r>
      <w:r>
        <w:rPr>
          <w:rFonts w:hint="eastAsia" w:ascii="仿宋_GB2312" w:hAnsi="仿宋_GB2312" w:eastAsia="仿宋_GB2312" w:cs="仿宋_GB2312"/>
          <w:w w:val="100"/>
          <w:sz w:val="32"/>
          <w:szCs w:val="32"/>
          <w:lang w:val="en-US" w:eastAsia="zh-CN"/>
        </w:rPr>
        <w:t xml:space="preserve">分。 </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四、问题及建议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6E8E535-60B3-43AF-8ABF-44569C8C8918}"/>
  </w:font>
  <w:font w:name="仿宋_GB2312">
    <w:panose1 w:val="02010609030101010101"/>
    <w:charset w:val="86"/>
    <w:family w:val="modern"/>
    <w:pitch w:val="default"/>
    <w:sig w:usb0="00000001" w:usb1="080E0000" w:usb2="00000000" w:usb3="00000000" w:csb0="00040000" w:csb1="00000000"/>
    <w:embedRegular r:id="rId2" w:fontKey="{DE65B879-CC21-437A-9589-5D5AA35D62E5}"/>
  </w:font>
  <w:font w:name="方正小标宋简体">
    <w:panose1 w:val="02000000000000000000"/>
    <w:charset w:val="86"/>
    <w:family w:val="auto"/>
    <w:pitch w:val="default"/>
    <w:sig w:usb0="00000001" w:usb1="08000000" w:usb2="00000000" w:usb3="00000000" w:csb0="00040000" w:csb1="00000000"/>
    <w:embedRegular r:id="rId3" w:fontKey="{67501B69-B7CE-462D-853D-164D73E93CE8}"/>
  </w:font>
  <w:font w:name="方正小标宋_GBK">
    <w:panose1 w:val="02000000000000000000"/>
    <w:charset w:val="86"/>
    <w:family w:val="auto"/>
    <w:pitch w:val="default"/>
    <w:sig w:usb0="A00002BF" w:usb1="38CF7CFA" w:usb2="00082016" w:usb3="00000000" w:csb0="00040001" w:csb1="00000000"/>
    <w:embedRegular r:id="rId4" w:fontKey="{AE143327-0165-402C-8D53-8E128896CA8D}"/>
  </w:font>
  <w:font w:name="仿宋">
    <w:panose1 w:val="02010609060101010101"/>
    <w:charset w:val="86"/>
    <w:family w:val="modern"/>
    <w:pitch w:val="default"/>
    <w:sig w:usb0="800002BF" w:usb1="38CF7CFA" w:usb2="00000016" w:usb3="00000000" w:csb0="00040001" w:csb1="00000000"/>
    <w:embedRegular r:id="rId5" w:fontKey="{342B28A7-C994-482B-9C1A-7F8D10295F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058C6"/>
    <w:multiLevelType w:val="singleLevel"/>
    <w:tmpl w:val="335058C6"/>
    <w:lvl w:ilvl="0" w:tentative="0">
      <w:start w:val="1"/>
      <w:numFmt w:val="chineseCounting"/>
      <w:suff w:val="nothing"/>
      <w:lvlText w:val="（%1）"/>
      <w:lvlJc w:val="left"/>
      <w:rPr>
        <w:rFonts w:hint="eastAsia"/>
      </w:rPr>
    </w:lvl>
  </w:abstractNum>
  <w:abstractNum w:abstractNumId="1">
    <w:nsid w:val="63EF9497"/>
    <w:multiLevelType w:val="singleLevel"/>
    <w:tmpl w:val="63EF9497"/>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WY2YzgyMTJjOTRkY2Q5MDQ4MWMwMmUwYWYyZmIifQ=="/>
  </w:docVars>
  <w:rsids>
    <w:rsidRoot w:val="00000000"/>
    <w:rsid w:val="097C120A"/>
    <w:rsid w:val="188B3751"/>
    <w:rsid w:val="1F79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2023-09-13T03:24:00Z</dcterms:created>
  <dc:creator>Administrator</dc:creator>
  <cp:lastModifiedBy>微信用户</cp:lastModifiedBy>
  <dcterms:modified xsi:type="dcterms:W3CDTF">2023-09-15T04:20:35Z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6A805622B91C48FFACF2DD6DFBC82AFE_12</vt:lpwstr>
  </property>
</Properties>
</file>