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色尔古镇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。因公出国（境）经费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支出决算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因公出国（境）经费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支出决算</w:t>
      </w:r>
      <w:r>
        <w:rPr>
          <w:rFonts w:hint="eastAsia"/>
          <w:sz w:val="32"/>
          <w:szCs w:val="32"/>
          <w:lang w:val="en-US" w:eastAsia="zh-CN"/>
        </w:rPr>
        <w:t>持平。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</w:p>
    <w:p>
      <w:pPr>
        <w:ind w:firstLine="64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。公务接待费支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出决算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  <w:lang w:val="en-US" w:eastAsia="zh-CN"/>
        </w:rPr>
        <w:t>2022年公务接待费支出决算持平。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7.1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万元,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</w:rPr>
        <w:t>完成预算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100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</w:rPr>
        <w:t>%。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公务用车购置及运行维护费支出决算比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年增加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2.7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62.23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%。主要原因是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公车出差及维修成本增加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eastAsia="仿宋_GB2312"/>
          <w:sz w:val="32"/>
          <w:szCs w:val="32"/>
          <w:highlight w:val="none"/>
        </w:rPr>
        <w:t>截至2023年</w:t>
      </w:r>
      <w:r>
        <w:rPr>
          <w:rFonts w:ascii="仿宋_GB2312" w:eastAsia="仿宋_GB2312"/>
          <w:sz w:val="32"/>
          <w:szCs w:val="32"/>
          <w:highlight w:val="none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>31</w:t>
      </w:r>
      <w:r>
        <w:rPr>
          <w:rFonts w:hint="eastAsia" w:ascii="仿宋_GB2312" w:eastAsia="仿宋_GB2312"/>
          <w:sz w:val="32"/>
          <w:szCs w:val="32"/>
          <w:highlight w:val="none"/>
        </w:rPr>
        <w:t>日，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黑水县色尔古镇人民政府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共有车辆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辆，其他用车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7.1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万元。主要用于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出差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等所需的公务用车燃料费、维修费、过路过桥费、保险费等支出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黑水县色尔古镇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2NWY2YzgyMTJjOTRkY2Q5MDQ4MWMwMmUwYWYyZmIifQ=="/>
  </w:docVars>
  <w:rsids>
    <w:rsidRoot w:val="003F1AE8"/>
    <w:rsid w:val="003F1AE8"/>
    <w:rsid w:val="007153A1"/>
    <w:rsid w:val="166815BB"/>
    <w:rsid w:val="1D0B2F60"/>
    <w:rsid w:val="244C4F12"/>
    <w:rsid w:val="30861092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346</Words>
  <Characters>424</Characters>
  <Lines>3</Lines>
  <Paragraphs>1</Paragraphs>
  <TotalTime>0</TotalTime>
  <ScaleCrop>false</ScaleCrop>
  <LinksUpToDate>false</LinksUpToDate>
  <CharactersWithSpaces>503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2024-10-09T07:04:11Z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2191E15F682C4326A2406CA95BFCD7A7_12</vt:lpwstr>
  </property>
</Properties>
</file>