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色尔古镇农业农村和经济发展服务中心关于“三公”经费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年增加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%。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年增加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%。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万元,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</w:rPr>
        <w:t>完成预算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100</w:t>
      </w:r>
      <w:r>
        <w:rPr>
          <w:rStyle w:val="8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auto"/>
        </w:rPr>
        <w:t>%。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公务用车购置及运行维护费支出决算比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年增加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%。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eastAsia="仿宋_GB2312"/>
          <w:sz w:val="32"/>
          <w:szCs w:val="32"/>
          <w:highlight w:val="none"/>
        </w:rPr>
        <w:t>截至2023年</w:t>
      </w:r>
      <w:r>
        <w:rPr>
          <w:rFonts w:ascii="仿宋_GB2312" w:eastAsia="仿宋_GB2312"/>
          <w:sz w:val="32"/>
          <w:szCs w:val="32"/>
          <w:highlight w:val="none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>31</w:t>
      </w:r>
      <w:r>
        <w:rPr>
          <w:rFonts w:hint="eastAsia" w:ascii="仿宋_GB2312" w:eastAsia="仿宋_GB2312"/>
          <w:sz w:val="32"/>
          <w:szCs w:val="32"/>
          <w:highlight w:val="none"/>
        </w:rPr>
        <w:t>日，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黑水县色尔古镇人民政府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共有车辆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辆，其他用车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万元。主要用于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出差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</w:rPr>
        <w:t>等所需的公务用车燃料费、维修费、过路过桥费、保险费等支出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黑水县色尔古镇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2NWY2YzgyMTJjOTRkY2Q5MDQ4MWMwMmUwYWYyZmIifQ=="/>
  </w:docVars>
  <w:rsids>
    <w:rsidRoot w:val="003F1AE8"/>
    <w:rsid w:val="003F1AE8"/>
    <w:rsid w:val="007153A1"/>
    <w:rsid w:val="1D0B2F60"/>
    <w:rsid w:val="244C4F12"/>
    <w:rsid w:val="30861092"/>
    <w:rsid w:val="3D9D05BF"/>
    <w:rsid w:val="60366A76"/>
    <w:rsid w:val="64616775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351</Words>
  <Characters>406</Characters>
  <Lines>3</Lines>
  <Paragraphs>1</Paragraphs>
  <TotalTime>0</TotalTime>
  <ScaleCrop>false</ScaleCrop>
  <LinksUpToDate>false</LinksUpToDate>
  <CharactersWithSpaces>482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2024-10-09T07:06:22Z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2191E15F682C4326A2406CA95BFCD7A7_12</vt:lpwstr>
  </property>
</Properties>
</file>