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瓦钵梁子乡人民政府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2021年预算0万元，较2021年决算无变化。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6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本年未产生支出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46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2021年预算0.02万元，较预算对比减少0.02万元。减少100%，主要原因：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本年未产生支出。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。主要原因：厉行节约。</w:t>
      </w:r>
    </w:p>
    <w:p>
      <w:pPr>
        <w:widowControl/>
        <w:spacing w:line="480" w:lineRule="atLeast"/>
        <w:ind w:firstLine="646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2021年预算9.5万元，较预算对比增加0.13万元，增加1.37%，主要原因：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本年下乡增多、维修费用增加。</w:t>
      </w:r>
    </w:p>
    <w:p>
      <w:pPr>
        <w:pStyle w:val="2"/>
      </w:pP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下乡、项目验收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瓦钵梁子乡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9.63</w:t>
            </w:r>
          </w:p>
        </w:tc>
      </w:tr>
    </w:tbl>
    <w:p/>
    <w:p/>
    <w:p/>
    <w:p/>
    <w:p/>
    <w:p/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NmEyOTFjMjZjODc0OGIyZjk3N2Q1Zjc3YWU5MjEifQ=="/>
  </w:docVars>
  <w:rsids>
    <w:rsidRoot w:val="003F1AE8"/>
    <w:rsid w:val="003F1AE8"/>
    <w:rsid w:val="007153A1"/>
    <w:rsid w:val="0A8C549B"/>
    <w:rsid w:val="136E4BFB"/>
    <w:rsid w:val="14CC726D"/>
    <w:rsid w:val="1D0B2F60"/>
    <w:rsid w:val="2D3E096D"/>
    <w:rsid w:val="57574075"/>
    <w:rsid w:val="593A3CA9"/>
    <w:rsid w:val="5D074713"/>
    <w:rsid w:val="5F7279D4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2023-09-20T02:56:46Z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9D6E130740B641ACA7DC513270ECDA5A</vt:lpwstr>
  </property>
</Properties>
</file>