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瓦钵梁子乡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我单位 “三公”经费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left="0"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年决算支出 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万元,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%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批次共 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 元。</w:t>
      </w:r>
    </w:p>
    <w:p>
      <w:pPr>
        <w:spacing w:line="600" w:lineRule="exact"/>
        <w:ind w:left="0"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三、公务用车购置及运行维护费</w:t>
        <w:br/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12.75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  <w:lang w:val="en-US" w:eastAsia="zh-CN"/>
        </w:rPr>
        <w:t>1.59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</w:rPr>
        <w:t>万元，增长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  <w:lang w:val="en-US" w:eastAsia="zh-CN"/>
        </w:rPr>
        <w:t>14.24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</w:rPr>
        <w:t>%。主要原因是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车辆修理费用及油费价格上涨。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与2023年预算数持平。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 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12.75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下乡、项目验收</w:t>
      </w:r>
      <w:r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黑水县瓦钵梁子乡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12.75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12.75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WQzNjhjNDNiN2RjOWRkY2QxZGViYzI0NTBlYjA3N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able of figures"/>
    <w:basedOn w:val="0"/>
    <w:next w:val="0"/>
    <w:pPr>
      <w:ind w:leftChars="200" w:left="400" w:hangingChars="200" w:hanging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2</Pages>
  <Words>386</Words>
  <Characters>448</Characters>
  <Lines>51</Lines>
  <Paragraphs>26</Paragraphs>
  <CharactersWithSpaces>526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2</cp:revision>
  <dcterms:created xsi:type="dcterms:W3CDTF">2019-08-19T01:06:00Z</dcterms:created>
  <dcterms:modified xsi:type="dcterms:W3CDTF">2024-09-26T02:27:09Z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6CF296788F654AE1AD6CB3473E92D290_12</vt:lpwstr>
  </property>
</Properties>
</file>