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 w:hint="eastAsia"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黑水县</w:t>
      </w:r>
      <w:r>
        <w:rPr>
          <w:rFonts w:ascii="方正小标宋简体" w:eastAsia="方正小标宋简体" w:cs="宋体" w:hint="eastAsia"/>
          <w:kern w:val="0"/>
          <w:sz w:val="44"/>
          <w:szCs w:val="44"/>
          <w:lang w:eastAsia="zh-CN"/>
        </w:rPr>
        <w:t>瓦钵梁子乡（行政）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关于“三公”经费</w:t>
      </w:r>
      <w:r>
        <w:rPr>
          <w:rFonts w:ascii="方正小标宋简体" w:eastAsia="方正小标宋简体" w:cs="宋体" w:hint="eastAsia"/>
          <w:kern w:val="0"/>
          <w:sz w:val="44"/>
          <w:szCs w:val="44"/>
          <w:lang w:eastAsia="zh-CN"/>
        </w:rPr>
        <w:t>2023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我单位 “三公”经费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left="0"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年决算支出 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万元,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%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万元，共计 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批次共 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 元。</w:t>
      </w:r>
    </w:p>
    <w:p>
      <w:pPr>
        <w:spacing w:line="600" w:lineRule="exact"/>
        <w:ind w:left="0"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三、公务用车购置及运行维护费</w:t>
        <w:br/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12.75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  <w:lang w:val="en-US" w:eastAsia="zh-CN"/>
        </w:rPr>
        <w:t>1.59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</w:rPr>
        <w:t>万元，增长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  <w:lang w:val="en-US" w:eastAsia="zh-CN"/>
        </w:rPr>
        <w:t>14.24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auto"/>
        </w:rPr>
        <w:t>%。主要原因是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车辆修理费用及油费价格上涨。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与2023年</w:t>
      </w: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预算数持平。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 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12.75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下乡、项目验收</w:t>
      </w:r>
      <w:r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黑水县瓦钵梁子乡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12.75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12.75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黑体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WQzNjhjNDNiN2RjOWRkY2QxZGViYzI0NTBlYjA3N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able of figures"/>
    <w:basedOn w:val="0"/>
    <w:next w:val="0"/>
    <w:pPr>
      <w:ind w:leftChars="200" w:left="400" w:hangingChars="200" w:hanging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390</Words>
  <Characters>452</Characters>
  <Lines>51</Lines>
  <Paragraphs>26</Paragraphs>
  <CharactersWithSpaces>530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2</cp:revision>
  <dcterms:created xsi:type="dcterms:W3CDTF">2019-08-19T01:06:00Z</dcterms:created>
  <dcterms:modified xsi:type="dcterms:W3CDTF">2024-09-26T02:28:06Z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6CF296788F654AE1AD6CB3473E92D290_12</vt:lpwstr>
  </property>
</Properties>
</file>