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  <w:t>黑水县瓦钵梁子乡人民政府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shd w:val="clear" w:color="auto" w:fill="FFFFFF"/>
          <w:lang w:val="en-US" w:eastAsia="zh-CN"/>
        </w:rPr>
        <w:t>2024年整体支出绩效评价报告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contextualSpacing/>
        <w:jc w:val="center"/>
        <w:rPr>
          <w:szCs w:val="32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一、单位概况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642" w:firstLineChars="200"/>
        <w:textAlignment w:val="auto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（一）机构组成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黑水县瓦钵梁子乡人民政府，统一社会信用代码：11513228008943206Y，机构地址：四川省阿坝州黑水县瓦钵梁子乡约窝村，法定代表人：张强，机构性质：机关。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党政办公室，挂财政工作办公室牌子。负责乡党委、人大主席团、政府、政协的日常事务性工作。负责乡机关各方面的综合协调工作。负责综合文秘、档案管理、党政印章管理、信息、机要、保密、后勤保障等工作。组织办理人大代表议案建议、政协委员提案和人大代表、政协委员的联络服务工作。负责集体资产与村级财务的指导管理，管理乡镇行政事业单位和其他组织的各类财政资金等工作。完成领导交办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党建工作办公室，挂群众工作办公室、意识形态工作办公室牌子。负责基层党组织建设、流动党支部建设、党风廉政建设、反腐败等工作。统筹辖区内党员和流动党员的发展、教育、管理和党费收缴工作，指导村（社区）党组织建设管理等工作。负责宣传思想、意识形态、精神文明建设和群众工作。负责本乡机构编制管理及人才队伍建设、干部人事管理、离退休干部管理工作。负责工会、共青团、妇联等群团工作。完成领导交办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社会事务和应急管理办公室，挂安全生产管理委员会办公室牌子。负责公共事务综合管理。统一领导教育体育、科学、卫生健康、民政、文化等社会事业建设工作。负责应急体系建设、制度建设和应急管理工作，负责组织、指导、协调安全生产、自然灾害、防灾减灾救灾等日常工作。负责防汛抗旱、森林草原防灭火、地质灾害防治、卫生防疫等工作。负责应急抢险和应急队伍建设、管理、培训、演习以及应急设备和物资的储备、管理等工作。负责应急值守工作。负责辖区内生产经营单位安全生产状况的监督检查工作，协助有关部门依法履行安全生产监督管理工作。负责农村老旧危房安全排查，落实农村老旧住房安全监管和住房安全宣传引导职责。完成领导交办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4、维护稳定和基层治理办公室。负责社会治安综合治理工作，组织开展人武、政法、统战、信访、稳定、民宗、群众、防邪和网格化管理等相关工作。负责辖区内法治建设，配合开展调解和帮教管理，承担辖区内矛盾纠纷多元化解协调工作。协助司法机关开展打击违法犯罪和禁毒、扫黑除恶活动。负责流动人口、外来僧道管理。负责基层自治建设和民主法治建设，指导基层群众性自治组织规范化、制度化建设。指导村（居）民委员换届选举。组织开展法制、综治、平安建设等宣传教育活动，负责基层综治干部和群防群治队伍的教育、培训和管理等工作。负责国防动员和兵役服务工作。完成领导交办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5、经济发展和乡村振兴办公室，挂村镇规划建设管理办公室、扶贫开发办公室牌子。负责参与拟订乡经济发展规划并组织实施，对辖区内重大基础设施建设、重大公共服务资源布局、重大决策提出意见及建议。负责经济工作的指导、协调、服务和监督管理。负责优化营商环境建设。负责统筹、协调、指导、配合开展辖区内经济结构调整、项目建设、招商引资、旅游开发、移民搬迁、土地流转等工作。负责组织实施扶贫开发、乡村振兴、农村人居环境整治，推动宜居乡村建设。统筹、指导、监管辖区内农业农村、林业、水利等工作。指导农民合作经济组织、农村集体经济组织建设和发展。负责村镇规划建设管理，统筹农村基础设施建设等工作。完成领导交办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6、生态环境和城镇管理办公室。负责辖区内自然资源保护、生态环境保护、城镇管理等工作。配合相关部门组织开展工业、生活、生产、经营、农业等污染的监督检查和防控整治工作，指导辖区内生态农业、牧业建设。负责辖区内水资源保护、水环境治理、节约用水、环境卫生管理等工作。参与重大生态破坏事件的调查处理。负责城镇公用设施管理、秩序管理（户外广告空间资源和区位设置及外观形式等）、临时摊位和临时停车场的统规划及管理等。完成领导交办的其他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2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（二）机构职能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1、加强党的领导，抓好基层党建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（1）履行政治领导责任，做好理论武装和思想政治工作，负责学习、宣传、贯彻执行党的理论和路线方针政策，贯彻落实党中央、省委、州委、县委的决策部署，发挥好把方向、管大局、保落实的重要作用。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全面推进党的政治建设、思想建设、组织建设、作风建设、纪律建设，落实党建工作责任制，推动全面从严治党向基层延伸。认真履行党风廉政建设主体责任，维护和执行党的纪律，监督党员干部和其他任何工作人员严格遵守国家法律法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（3）讨论和决定辖区内政治建设、经济建设、文化建设、社会建设、生态文明建设、法制建设和党的建设以及乡村振兴中的重大问题。其他应当由党委讨论和决定的重大问题。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 xml:space="preserve">（4）贯彻党管干部原则，加强干部队伍建设，完善干部培养选拔机制，加强干部教育管理监督。贯彻党管人才原则，加强人才队伍建设。加强对本乡工会、共青团、妇联等群团工作的领导。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5）指导农村党建，落实基层党建工作责任制，严格抓好基层党组织建设各项制度，统筹抓好乡机关、村（社区）、驻辖区单位、行业、“两新”组织等党建工作，推进全面从严治党，强化“两个责任”，落实农村基层党建工作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6）加强基层社会宣传、舆论引导、精神文明建设、统一战线工作，落实党管意识形态工作责任制，健全完善党建引领基层体系，强化基层治理平台建设，进一步增强党在农村的政治领导力、思想引领力、群众组织力、社会号召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2、统筹经济发展，实施乡村振兴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负责辖区经济发展工作，执行辖区内的经济和社会发展计划、预算。参与区域内土地利用、产业发展等规划编制，对区域内重大基础设施建设、重大公共服务资源布局、重大政策提出意见建议。落实辖区内发展规划、专项规划、区域规划、国土空间规划和“四好农村路”建设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（2）贯彻落实中央、省、州、县关于实施脱贫攻坚、乡村振兴战略的决策部署，提升农业发展质量，加强农村人居环境整治，推进宜居乡村建设，增强乡村振兴内生动力。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（3）指导农村经济发展，推动产业结构调整。保护各种经济组织的合法权益，营造良好的营商环境。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（4）落实财政保障和财政管理有关政策，统筹管理本级财务及集体资产，协助做好税收征管工作，指导、监管村级财务和资产管理工作等。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3、组织公共服务，着力改善民生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（1）加强乡综合便民服务平台标准化建设，做好村（社区）服务配套设施和综合服务平台建设，提升便民服务质量。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负责教育体育、劳动就业、社会保障、卫生健康、计划生育、医疗保障、低保救助、助老助残、殡葬管理、文化旅游、民族宗教、移民搬迁、农技推广、农民工、妇女和未成年人保护等公共服务工作，承担组织领导、推进实施、综合协调等职责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4、领导基层治理，维护社会治安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1）负责辖区公共安全及安全生产监管、应急管理工作。构建公共安全防控体系，建立应对突发紧急事件的处理预案，做好安全生产、防汛、消防、森林（草原）防灭火、减灾救灾、防疫、气象灾害防御、食品药品安全、地质灾害防治等应急管理工作，加强监督检查、隐患排查，落实安全生产责任制。负责辖区内生态环境保护和自然资源管理等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2）承担辖区社会治安综合治理工作，加强法制建设和社会治安综合治理。贯彻落实社会矛盾纠纷排查调处机制，及时化解辖区社会矛盾纠纷，确保社会稳定。协助司法机关开展打击各类刑事犯罪和禁毒、扫黑除恶等活动，稳妥处理突发性、群体性事件，确保人民群众生命财产安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（3）指导村、村民自治，促进社会组织健康发展，完善村规民约，增强社会自治功能。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（4）负责国防教育，承担国防动员、征兵、民兵预备役、双拥等工作。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（5）保障各少数民族的</w:t>
      </w:r>
      <w:r>
        <w:rPr>
          <w:rFonts w:hint="eastAsia" w:ascii="仿宋_GB2312" w:hAnsi="仿宋" w:cs="仿宋_GB2312"/>
          <w:sz w:val="32"/>
          <w:szCs w:val="32"/>
          <w:lang w:eastAsia="zh-CN"/>
        </w:rPr>
        <w:t>合法权利</w:t>
      </w:r>
      <w:r>
        <w:rPr>
          <w:rFonts w:hint="eastAsia" w:ascii="仿宋_GB2312" w:hAnsi="仿宋" w:eastAsia="仿宋_GB2312" w:cs="仿宋_GB2312"/>
          <w:sz w:val="32"/>
          <w:szCs w:val="32"/>
        </w:rPr>
        <w:t>和利益，尊重少数民族的风俗习惯，坚决与邪教组织斗争。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（6）保障宪法和法律赋予妇女的男女平等、同工同酬和婚姻自由等各项权利。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5、完成法律、法规、规章规定和上级交办的其他事项。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2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（三）人员概况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我单位总编制32人，其中行政编制19人，事业编制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人，</w:t>
      </w:r>
      <w:r>
        <w:rPr>
          <w:rFonts w:hint="eastAsia" w:ascii="仿宋_GB2312" w:hAnsi="仿宋" w:cs="仿宋_GB2312"/>
          <w:color w:val="auto"/>
          <w:sz w:val="32"/>
          <w:szCs w:val="32"/>
          <w:lang w:eastAsia="zh-CN"/>
        </w:rPr>
        <w:t>行政工勤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人。截至2024年底职工在编30人，公务员19人</w:t>
      </w:r>
      <w:r>
        <w:rPr>
          <w:rFonts w:hint="eastAsia" w:ascii="仿宋_GB2312" w:hAnsi="仿宋" w:cs="仿宋_GB2312"/>
          <w:color w:val="auto"/>
          <w:sz w:val="32"/>
          <w:szCs w:val="32"/>
          <w:lang w:eastAsia="zh-CN"/>
        </w:rPr>
        <w:t>，事业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" w:cs="仿宋_GB2312"/>
          <w:color w:val="auto"/>
          <w:sz w:val="32"/>
          <w:szCs w:val="32"/>
          <w:lang w:eastAsia="zh-CN"/>
        </w:rPr>
        <w:t>人</w:t>
      </w:r>
      <w:r>
        <w:rPr>
          <w:rFonts w:hint="eastAsia" w:ascii="仿宋_GB2312" w:hAnsi="仿宋" w:cs="仿宋_GB2312"/>
          <w:color w:val="auto"/>
          <w:sz w:val="32"/>
          <w:szCs w:val="32"/>
          <w:lang w:val="en-US" w:eastAsia="zh-CN"/>
        </w:rPr>
        <w:t>,行政工勤2人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二、部门财政资金收支情况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2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（一）部门财政资金收入情况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本单位本年度收入调整预算数为1499.25万元，收入决算数为1499.25万元，预算完成度为100.00%。本年度支出调整预算数为1499.25万元，支出决算数为1499.25万元，预算支出完成度为100.00%。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2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部门财政资金支出情况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单位本年度总收入为1499.25万元。其中：一般公共预算财政拨款收入为1499.25万元，占比100.00%；政府性基金预算财政拨款收入为0.00万元，占比0.00%；国有资本经营预算财政拨款收入为0.00)万元，占比0.00%；上级补助收入为0.00万元，占比0.00%；事业收入为0.00万元，占比0.00%；经营收入为0.00万元，占比0.00%；附属单位上缴收入为0.00万元，占比0.00%；其他收入为0.00万元，占比0.00%。本年度总支出为1499.25万元。其中：一般公共服务支出为376.7万元，占比25.13%；外交支出为0.00万元，占比0.00%；国防支出为0.00万元，占比0.00%；公共安全支出为0.00万元，占比0.00%；教育支出为0.00万元，占比0.00%；科学技术支出为0.00万元，占比0.00%；文化旅游体育与传媒支出为0.00万元，占比0.00%；社会保障和就业支出为83.34万元，占比5.56%；卫生健康支出为36.55万元，占比2.44%；节能环保支出为0.00万元，占比0.00%；城乡社区支出为0.00万元，占比0.00%；农林水支出为946.38万元，占比63.12%；交通运输支出为0.00万元，占比0.00%；资源勘探工业信息等支出为0.00万元，占比0.00%；商业服务业等支出为0.00万元，占比0.00%；金融支出为0.00万元，占比0.00%；援助其他地区支出为0.00万元，占比0.00%；自然资源海洋气象等支出为0.00万元，占比0.00%；住房保障支出为50.98万元，占比3.4%；粮油物资储备支出为0.00万元，占比0.00%；国有资本经营预算支出为0.00万元，占比0.00%；灾害防治及应急管理支出为5.29万元，占比0.35%；其他支出为0.00万元，占比0.00%；债务还本支出为0.00万元，占比0.00%；债务付息支出为0.00万元，占比0.00%；抗疫特别国债安排的支出为0.00万元，占比0.00%。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left="0" w:leftChars="0" w:firstLine="642" w:firstLineChars="200"/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/>
          <w:bCs/>
          <w:sz w:val="32"/>
          <w:szCs w:val="32"/>
        </w:rPr>
        <w:t>结余分配和结转结余情况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Lines="0" w:afterLines="0" w:line="560" w:lineRule="exact"/>
        <w:ind w:leftChars="200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瓦钵梁子乡2024年决算报表结转结余为0元。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总体绩效分析。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65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63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履职效能。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指标分值15分，自评得分15分。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一：基本支出，在职人员工资保险。目标完成情况，截止202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年底我单位如期完成预算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30</w:t>
      </w:r>
      <w:r>
        <w:rPr>
          <w:color w:val="000000"/>
          <w:kern w:val="0"/>
          <w:szCs w:val="32"/>
          <w:shd w:val="clear" w:color="auto" w:fill="FFFFFF"/>
          <w:lang w:val="zh-CN"/>
        </w:rPr>
        <w:t>人全年工资保险发放。该资金开支范围、标准及支付进度，支付依据合规合法，资金支付与绩效目标相符。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二：项目支出，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基层组织</w:t>
      </w:r>
      <w:r>
        <w:rPr>
          <w:color w:val="000000"/>
          <w:kern w:val="0"/>
          <w:szCs w:val="32"/>
          <w:shd w:val="clear" w:color="auto" w:fill="FFFFFF"/>
          <w:lang w:val="zh-CN"/>
        </w:rPr>
        <w:t>运行及公共运行维护费。目标完成情况，截止202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年底我单位如期完成4个村日常办公费8万元，维修维护费</w:t>
      </w:r>
      <w:r>
        <w:rPr>
          <w:kern w:val="0"/>
          <w:szCs w:val="32"/>
          <w:shd w:val="clear" w:color="auto" w:fill="FFFFFF"/>
          <w:lang w:val="zh-CN"/>
        </w:rPr>
        <w:t>2</w:t>
      </w:r>
      <w:r>
        <w:rPr>
          <w:rFonts w:hint="eastAsia"/>
          <w:kern w:val="0"/>
          <w:szCs w:val="32"/>
          <w:shd w:val="clear" w:color="auto" w:fill="FFFFFF"/>
        </w:rPr>
        <w:t>5.53</w:t>
      </w:r>
      <w:r>
        <w:rPr>
          <w:kern w:val="0"/>
          <w:szCs w:val="32"/>
          <w:shd w:val="clear" w:color="auto" w:fill="FFFFFF"/>
          <w:lang w:val="zh-CN"/>
        </w:rPr>
        <w:t>万元</w:t>
      </w:r>
      <w:r>
        <w:rPr>
          <w:color w:val="000000"/>
          <w:kern w:val="0"/>
          <w:szCs w:val="32"/>
          <w:shd w:val="clear" w:color="auto" w:fill="FFFFFF"/>
          <w:lang w:val="zh-CN"/>
        </w:rPr>
        <w:t>支付。该资金开支范围、标准及支付进度，支付依据合规合法，资金支付与预算相符。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核心职能目标</w:t>
      </w:r>
      <w:r>
        <w:rPr>
          <w:color w:val="000000"/>
          <w:kern w:val="0"/>
          <w:szCs w:val="32"/>
          <w:shd w:val="clear" w:color="auto" w:fill="FFFFFF"/>
          <w:lang w:val="zh-CN"/>
        </w:rPr>
        <w:t>三：项目支出，村干部工资保险。目标完成情况，截止202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color w:val="000000"/>
          <w:kern w:val="0"/>
          <w:szCs w:val="32"/>
          <w:shd w:val="clear" w:color="auto" w:fill="FFFFFF"/>
          <w:lang w:val="zh-CN"/>
        </w:rPr>
        <w:t>年底我单位如期完成4个村33名村干部全年工资绩效发放。该资金开支范围、标准及支付进度，支付依据合规合法，资金支付与预算相符。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指标分值25分，自评得分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23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ascii="仿宋_GB2312"/>
          <w:szCs w:val="32"/>
        </w:rPr>
        <w:t>预算编制质量：</w:t>
      </w:r>
      <w:r>
        <w:rPr>
          <w:rFonts w:hint="eastAsia" w:ascii="仿宋_GB2312"/>
          <w:szCs w:val="32"/>
        </w:rPr>
        <w:t>本单位本年度收入年初预算数为1190.13万元，收入决算数为1,499.25万元，预算完成度为100.00%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</w:rPr>
        <w:t>本年度支出年初预算数为1190.13万元，支出决算数为1,499.25万元，预算支出完成度为100.00%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8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单位收入统筹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我单位不涉及该项指标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支出执行进度</w:t>
      </w:r>
      <w:r>
        <w:rPr>
          <w:rFonts w:ascii="仿宋_GB2312"/>
          <w:szCs w:val="32"/>
        </w:rPr>
        <w:t>：</w:t>
      </w:r>
      <w:r>
        <w:rPr>
          <w:rFonts w:hint="eastAsia" w:ascii="仿宋_GB2312"/>
          <w:szCs w:val="32"/>
        </w:rPr>
        <w:t>2024年1-6月支付情况：预算数据1524.78万元，支付数据503.82万元，支付率33.04%。1-12月预算数据1499.25万元，支付数据1499.25万元，支付率100%</w:t>
      </w:r>
      <w:r>
        <w:rPr>
          <w:rFonts w:ascii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6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预算年终结余:2024年无结转结余。</w:t>
      </w:r>
      <w:r>
        <w:rPr>
          <w:rFonts w:hint="eastAsia" w:ascii="仿宋_GB2312"/>
          <w:szCs w:val="32"/>
          <w:lang w:val="zh-CN"/>
        </w:rPr>
        <w:t>指标分值2分，自评得分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严控一般性支出</w:t>
      </w:r>
      <w:r>
        <w:rPr>
          <w:rFonts w:hint="eastAsia" w:ascii="仿宋_GB2312"/>
          <w:szCs w:val="32"/>
        </w:rPr>
        <w:t>：我单位严控“三公”经费、会议、培训、差旅、办节办展、办公设备购置、信息网络及软件购置更新、课题经费等8项一般性支出。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5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10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管理制度：强化制度建设。不断强化财务管理制度建设，依据相关法律、法规及管理办法，制定符合我乡实际财务制度，着重从预算绩效管理主要内容和环节，规范操作程序和质量控制要求，构建起工作有指导、实施有方案、内部有规程等相互支撑制度体系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财务岗位设置：我乡按照财务制度规定</w:t>
      </w:r>
      <w:r>
        <w:rPr>
          <w:rFonts w:hint="eastAsia"/>
          <w:color w:val="000000"/>
          <w:kern w:val="0"/>
          <w:szCs w:val="32"/>
          <w:shd w:val="clear" w:color="auto" w:fill="FFFFFF"/>
        </w:rPr>
        <w:t>,设立会计、出纳岗位，相互监督。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2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</w:pPr>
      <w:r>
        <w:rPr>
          <w:rFonts w:hint="eastAsia" w:ascii="仿宋_GB2312" w:cs="仿宋_GB2312"/>
          <w:szCs w:val="32"/>
        </w:rPr>
        <w:t>资金使用规范：本年度收到预算资金</w:t>
      </w:r>
      <w:r>
        <w:rPr>
          <w:rFonts w:hint="eastAsia" w:ascii="仿宋_GB2312"/>
          <w:szCs w:val="32"/>
        </w:rPr>
        <w:t>1,499.25</w:t>
      </w:r>
      <w:r>
        <w:rPr>
          <w:rFonts w:hint="eastAsia" w:ascii="仿宋_GB2312" w:cs="仿宋_GB2312"/>
          <w:szCs w:val="32"/>
        </w:rPr>
        <w:t>万元，实际使用</w:t>
      </w:r>
      <w:r>
        <w:rPr>
          <w:rFonts w:hint="eastAsia" w:ascii="仿宋_GB2312"/>
          <w:szCs w:val="32"/>
        </w:rPr>
        <w:t>1,499.25</w:t>
      </w:r>
      <w:r>
        <w:rPr>
          <w:rFonts w:hint="eastAsia" w:ascii="仿宋_GB2312" w:cs="仿宋_GB2312"/>
          <w:szCs w:val="32"/>
        </w:rPr>
        <w:t>万元。资金使用过程中严格按照单位财务管理制度要求执行，提高资金使用的合规性。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9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人均资产变化率</w:t>
      </w:r>
      <w:r>
        <w:rPr>
          <w:rFonts w:hint="eastAsia"/>
          <w:color w:val="000000"/>
          <w:kern w:val="0"/>
          <w:szCs w:val="32"/>
          <w:shd w:val="clear" w:color="auto" w:fill="FFFFFF"/>
        </w:rPr>
        <w:t>=(期末人均资产-期初人均资产)/期初人均资产*100%。均符合相关规定，低于规定值。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固定资产在用率。截止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日，固定资产总计564.78万元，在用的固定资产总计564.78万元，固定资产在用率达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资产盘活率。资产闲置0万元，资产盘活率达100%。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6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采购执行率：采购执行规范性，2024年年度政府采购货物计划100.77万元，支出100.77万元；政府采购工程计划174.59万元，支出174.59万元；政府采购服务支出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lang w:val="zh-CN"/>
        </w:rPr>
      </w:pPr>
      <w:r>
        <w:rPr>
          <w:rFonts w:hint="eastAsia" w:ascii="仿宋_GB2312" w:cs="仿宋_GB2312"/>
          <w:szCs w:val="32"/>
        </w:rPr>
        <w:t>支持中小企业发展：政府采购授予中小企业合同金额275.36万元，其中：授予小微企业合同金额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color w:val="000000"/>
          <w:kern w:val="0"/>
          <w:szCs w:val="32"/>
          <w:shd w:val="clear" w:color="auto" w:fill="FFFFFF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（二）部门预算项目绩效分析。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</w:rPr>
        <w:t>35分，自评得分35分。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</w:rPr>
        <w:t>常</w:t>
      </w:r>
      <w:r>
        <w:rPr>
          <w:kern w:val="0"/>
          <w:szCs w:val="32"/>
          <w:shd w:val="clear" w:color="auto" w:fill="FFFFFF"/>
        </w:rPr>
        <w:t>年项目绩效分析。</w:t>
      </w:r>
      <w:r>
        <w:rPr>
          <w:kern w:val="0"/>
          <w:szCs w:val="32"/>
          <w:shd w:val="clear" w:color="auto" w:fill="FFFFFF"/>
          <w:lang w:val="zh-CN"/>
        </w:rPr>
        <w:t>该类项目总数</w:t>
      </w:r>
      <w:r>
        <w:rPr>
          <w:rFonts w:hint="eastAsia"/>
          <w:kern w:val="0"/>
          <w:szCs w:val="32"/>
          <w:shd w:val="clear" w:color="auto" w:fill="FFFFFF"/>
        </w:rPr>
        <w:t>5</w:t>
      </w:r>
      <w:r>
        <w:rPr>
          <w:kern w:val="0"/>
          <w:szCs w:val="32"/>
          <w:shd w:val="clear" w:color="auto" w:fill="FFFFFF"/>
          <w:lang w:val="zh-CN"/>
        </w:rPr>
        <w:t>个，涉及预算总金额</w:t>
      </w:r>
      <w:r>
        <w:rPr>
          <w:kern w:val="0"/>
          <w:szCs w:val="32"/>
          <w:shd w:val="clear" w:color="auto" w:fill="FFFFFF"/>
        </w:rPr>
        <w:t xml:space="preserve">   </w:t>
      </w:r>
      <w:r>
        <w:rPr>
          <w:rFonts w:hint="eastAsia"/>
          <w:kern w:val="0"/>
          <w:szCs w:val="32"/>
          <w:shd w:val="clear" w:color="auto" w:fill="FFFFFF"/>
        </w:rPr>
        <w:t>141.45</w:t>
      </w:r>
      <w:r>
        <w:rPr>
          <w:kern w:val="0"/>
          <w:szCs w:val="32"/>
          <w:shd w:val="clear" w:color="auto" w:fill="FFFFFF"/>
          <w:lang w:val="zh-CN"/>
        </w:rPr>
        <w:t>万元，1</w:t>
      </w:r>
      <w:r>
        <w:rPr>
          <w:rFonts w:hint="eastAsia"/>
          <w:kern w:val="0"/>
          <w:szCs w:val="32"/>
          <w:shd w:val="clear" w:color="auto" w:fill="FFFFFF"/>
          <w:lang w:val="zh-CN"/>
        </w:rPr>
        <w:t>—</w:t>
      </w:r>
      <w:r>
        <w:rPr>
          <w:kern w:val="0"/>
          <w:szCs w:val="32"/>
          <w:shd w:val="clear" w:color="auto" w:fill="FFFFFF"/>
          <w:lang w:val="zh-CN"/>
        </w:rPr>
        <w:t>1</w:t>
      </w:r>
      <w:r>
        <w:rPr>
          <w:kern w:val="0"/>
          <w:szCs w:val="32"/>
          <w:shd w:val="clear" w:color="auto" w:fill="FFFFFF"/>
        </w:rPr>
        <w:t>2</w:t>
      </w:r>
      <w:r>
        <w:rPr>
          <w:kern w:val="0"/>
          <w:szCs w:val="32"/>
          <w:shd w:val="clear" w:color="auto" w:fill="FFFFFF"/>
          <w:lang w:val="zh-CN"/>
        </w:rPr>
        <w:t>月预算执行总体进度为</w:t>
      </w:r>
      <w:r>
        <w:rPr>
          <w:rFonts w:hint="eastAsia"/>
          <w:kern w:val="0"/>
          <w:szCs w:val="32"/>
          <w:shd w:val="clear" w:color="auto" w:fill="FFFFFF"/>
        </w:rPr>
        <w:t>100</w:t>
      </w:r>
      <w:r>
        <w:rPr>
          <w:kern w:val="0"/>
          <w:szCs w:val="32"/>
          <w:shd w:val="clear" w:color="auto" w:fill="FFFFFF"/>
        </w:rPr>
        <w:t xml:space="preserve"> </w:t>
      </w:r>
      <w:r>
        <w:rPr>
          <w:kern w:val="0"/>
          <w:szCs w:val="32"/>
          <w:shd w:val="clear" w:color="auto" w:fill="FFFFFF"/>
          <w:lang w:val="zh-CN"/>
        </w:rPr>
        <w:t>%，其中：预算结余率大于</w:t>
      </w:r>
      <w:r>
        <w:rPr>
          <w:color w:val="000000"/>
          <w:kern w:val="0"/>
          <w:szCs w:val="32"/>
          <w:shd w:val="clear" w:color="auto" w:fill="FFFFFF"/>
        </w:rPr>
        <w:t>10%</w:t>
      </w:r>
      <w:r>
        <w:rPr>
          <w:color w:val="000000"/>
          <w:kern w:val="0"/>
          <w:szCs w:val="32"/>
          <w:shd w:val="clear" w:color="auto" w:fill="FFFFFF"/>
          <w:lang w:val="zh-CN"/>
        </w:rPr>
        <w:t>的项目共计</w:t>
      </w:r>
      <w:r>
        <w:rPr>
          <w:rFonts w:hint="eastAsia"/>
          <w:color w:val="000000"/>
          <w:kern w:val="0"/>
          <w:szCs w:val="32"/>
          <w:shd w:val="clear" w:color="auto" w:fill="FFFFFF"/>
        </w:rPr>
        <w:t>0</w:t>
      </w:r>
      <w:r>
        <w:rPr>
          <w:color w:val="000000"/>
          <w:kern w:val="0"/>
          <w:szCs w:val="32"/>
          <w:shd w:val="clear" w:color="auto" w:fill="FFFFFF"/>
          <w:lang w:val="zh-CN"/>
        </w:rPr>
        <w:t>个。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color w:val="000000"/>
          <w:kern w:val="0"/>
          <w:szCs w:val="32"/>
          <w:shd w:val="clear" w:color="auto" w:fill="FFFFFF"/>
        </w:rPr>
        <w:t>阶段</w:t>
      </w:r>
      <w:r>
        <w:rPr>
          <w:rFonts w:hint="eastAsia"/>
          <w:color w:val="000000"/>
          <w:kern w:val="0"/>
          <w:szCs w:val="32"/>
          <w:shd w:val="clear" w:color="auto" w:fill="FFFFFF"/>
        </w:rPr>
        <w:t>（</w:t>
      </w:r>
      <w:r>
        <w:rPr>
          <w:color w:val="000000"/>
          <w:kern w:val="0"/>
          <w:szCs w:val="32"/>
          <w:shd w:val="clear" w:color="auto" w:fill="FFFFFF"/>
        </w:rPr>
        <w:t>一次性</w:t>
      </w:r>
      <w:r>
        <w:rPr>
          <w:rFonts w:hint="eastAsia"/>
          <w:color w:val="000000"/>
          <w:kern w:val="0"/>
          <w:szCs w:val="32"/>
          <w:shd w:val="clear" w:color="auto" w:fill="FFFFFF"/>
        </w:rPr>
        <w:t>）</w:t>
      </w:r>
      <w:r>
        <w:rPr>
          <w:kern w:val="0"/>
          <w:szCs w:val="32"/>
          <w:shd w:val="clear" w:color="auto" w:fill="FFFFFF"/>
        </w:rPr>
        <w:t>项目绩效分析。</w:t>
      </w:r>
      <w:r>
        <w:rPr>
          <w:kern w:val="0"/>
          <w:szCs w:val="32"/>
          <w:shd w:val="clear" w:color="auto" w:fill="FFFFFF"/>
          <w:lang w:val="zh-CN"/>
        </w:rPr>
        <w:t>该类项目总数</w:t>
      </w:r>
      <w:r>
        <w:rPr>
          <w:rFonts w:hint="eastAsia"/>
          <w:kern w:val="0"/>
          <w:szCs w:val="32"/>
          <w:shd w:val="clear" w:color="auto" w:fill="FFFFFF"/>
        </w:rPr>
        <w:t>11</w:t>
      </w:r>
      <w:r>
        <w:rPr>
          <w:kern w:val="0"/>
          <w:szCs w:val="32"/>
          <w:shd w:val="clear" w:color="auto" w:fill="FFFFFF"/>
          <w:lang w:val="zh-CN"/>
        </w:rPr>
        <w:t>个，涉及预算总金额</w:t>
      </w:r>
      <w:r>
        <w:rPr>
          <w:rFonts w:hint="eastAsia"/>
          <w:kern w:val="0"/>
          <w:szCs w:val="32"/>
          <w:shd w:val="clear" w:color="auto" w:fill="FFFFFF"/>
        </w:rPr>
        <w:t>700.18</w:t>
      </w:r>
      <w:r>
        <w:rPr>
          <w:kern w:val="0"/>
          <w:szCs w:val="32"/>
          <w:shd w:val="clear" w:color="auto" w:fill="FFFFFF"/>
          <w:lang w:val="zh-CN"/>
        </w:rPr>
        <w:t>万元</w:t>
      </w:r>
      <w:r>
        <w:rPr>
          <w:color w:val="000000"/>
          <w:kern w:val="0"/>
          <w:szCs w:val="32"/>
          <w:shd w:val="clear" w:color="auto" w:fill="FFFFFF"/>
          <w:lang w:val="zh-CN"/>
        </w:rPr>
        <w:t>，1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—</w:t>
      </w:r>
      <w:r>
        <w:rPr>
          <w:color w:val="000000"/>
          <w:kern w:val="0"/>
          <w:szCs w:val="32"/>
          <w:shd w:val="clear" w:color="auto" w:fill="FFFFFF"/>
          <w:lang w:val="zh-CN"/>
        </w:rPr>
        <w:t>1</w:t>
      </w:r>
      <w:r>
        <w:rPr>
          <w:color w:val="000000"/>
          <w:kern w:val="0"/>
          <w:szCs w:val="32"/>
          <w:shd w:val="clear" w:color="auto" w:fill="FFFFFF"/>
        </w:rPr>
        <w:t>2</w:t>
      </w:r>
      <w:r>
        <w:rPr>
          <w:color w:val="000000"/>
          <w:kern w:val="0"/>
          <w:szCs w:val="32"/>
          <w:shd w:val="clear" w:color="auto" w:fill="FFFFFF"/>
          <w:lang w:val="zh-CN"/>
        </w:rPr>
        <w:t>月预算执行总体进度为</w:t>
      </w:r>
      <w:r>
        <w:rPr>
          <w:rFonts w:hint="eastAsia"/>
          <w:color w:val="000000"/>
          <w:kern w:val="0"/>
          <w:szCs w:val="32"/>
          <w:shd w:val="clear" w:color="auto" w:fill="FFFFFF"/>
        </w:rPr>
        <w:t>100</w:t>
      </w:r>
      <w:r>
        <w:rPr>
          <w:color w:val="000000"/>
          <w:kern w:val="0"/>
          <w:szCs w:val="32"/>
          <w:shd w:val="clear" w:color="auto" w:fill="FFFFFF"/>
        </w:rPr>
        <w:t xml:space="preserve"> </w:t>
      </w:r>
      <w:r>
        <w:rPr>
          <w:color w:val="000000"/>
          <w:kern w:val="0"/>
          <w:szCs w:val="32"/>
          <w:shd w:val="clear" w:color="auto" w:fill="FFFFFF"/>
          <w:lang w:val="zh-CN"/>
        </w:rPr>
        <w:t>%，其中：预算结余率大于</w:t>
      </w:r>
      <w:r>
        <w:rPr>
          <w:color w:val="000000"/>
          <w:kern w:val="0"/>
          <w:szCs w:val="32"/>
          <w:shd w:val="clear" w:color="auto" w:fill="FFFFFF"/>
        </w:rPr>
        <w:t>10%</w:t>
      </w:r>
      <w:r>
        <w:rPr>
          <w:color w:val="000000"/>
          <w:kern w:val="0"/>
          <w:szCs w:val="32"/>
          <w:shd w:val="clear" w:color="auto" w:fill="FFFFFF"/>
          <w:lang w:val="zh-CN"/>
        </w:rPr>
        <w:t>的项目共计</w:t>
      </w:r>
      <w:r>
        <w:rPr>
          <w:rFonts w:hint="eastAsia"/>
          <w:color w:val="000000"/>
          <w:kern w:val="0"/>
          <w:szCs w:val="32"/>
          <w:shd w:val="clear" w:color="auto" w:fill="FFFFFF"/>
        </w:rPr>
        <w:t>0</w:t>
      </w:r>
      <w:r>
        <w:rPr>
          <w:color w:val="000000"/>
          <w:kern w:val="0"/>
          <w:szCs w:val="32"/>
          <w:shd w:val="clear" w:color="auto" w:fill="FFFFFF"/>
          <w:lang w:val="zh-CN"/>
        </w:rPr>
        <w:t>个。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项目决策。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仿宋_GB2312"/>
        </w:rPr>
      </w:pPr>
      <w:r>
        <w:rPr>
          <w:rFonts w:hint="eastAsia"/>
          <w:color w:val="000000"/>
          <w:kern w:val="0"/>
          <w:szCs w:val="32"/>
          <w:shd w:val="clear" w:color="auto" w:fill="FFFFFF"/>
        </w:rPr>
        <w:t>决策程序;我乡从项目立项必要性、投入经济性、目标合理性、实施可行性、筹资合规性。</w:t>
      </w:r>
      <w:r>
        <w:rPr>
          <w:rFonts w:hint="eastAsia" w:ascii="仿宋_GB2312"/>
        </w:rPr>
        <w:t>按照厉行节约的要求，结合项目开支情况结合实际需求、相关费用标准及市场价格水平，重点对目标数量是否合理、投入是否经济、预算测算是否准确、测算过程是否详细、测算依据是否充分等方面进行了分析。</w:t>
      </w:r>
      <w:r>
        <w:rPr>
          <w:rFonts w:hint="eastAsia" w:ascii="仿宋_GB2312" w:cs="仿宋"/>
          <w:szCs w:val="32"/>
          <w:lang w:val="zh-CN"/>
        </w:rPr>
        <w:t>确定项目实施。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</w:pPr>
      <w:r>
        <w:rPr>
          <w:rFonts w:hint="eastAsia" w:ascii="仿宋_GB2312"/>
        </w:rPr>
        <w:t>项目入库；我乡按照项目建设要求在规定时间完成项目入库。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  <w:lang w:val="zh-CN"/>
        </w:rPr>
        <w:t>目标设置</w:t>
      </w:r>
      <w:r>
        <w:rPr>
          <w:rFonts w:hint="eastAsia" w:ascii="仿宋_GB2312"/>
          <w:szCs w:val="32"/>
        </w:rPr>
        <w:t>:</w:t>
      </w:r>
      <w:r>
        <w:rPr>
          <w:rFonts w:hint="eastAsia" w:ascii="仿宋_GB2312"/>
          <w:szCs w:val="32"/>
          <w:lang w:val="zh-CN"/>
        </w:rPr>
        <w:t>申报的</w:t>
      </w:r>
      <w:r>
        <w:rPr>
          <w:rFonts w:hint="eastAsia" w:ascii="仿宋_GB2312"/>
          <w:szCs w:val="32"/>
        </w:rPr>
        <w:t>资金项目内容</w:t>
      </w:r>
      <w:r>
        <w:rPr>
          <w:rFonts w:hint="eastAsia" w:ascii="仿宋_GB2312"/>
          <w:szCs w:val="32"/>
          <w:lang w:val="zh-CN"/>
        </w:rPr>
        <w:t>与具体实施内容相符的、申报目标是合理可行</w:t>
      </w:r>
      <w:r>
        <w:rPr>
          <w:rFonts w:hint="eastAsia" w:ascii="仿宋_GB2312" w:cs="仿宋"/>
          <w:szCs w:val="32"/>
          <w:lang w:val="zh-CN"/>
        </w:rPr>
        <w:t>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2.项目执行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执行同向：各项目实际列支内容是否与绩效目标设置方向相符。项目组织管理架构及具体实施流程，包括机构设置、监管措施、执行相关管理制度等符合相关规定。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/>
          <w:szCs w:val="32"/>
          <w:lang w:val="zh-CN"/>
        </w:rPr>
      </w:pPr>
      <w:r>
        <w:rPr>
          <w:rFonts w:hint="eastAsia" w:ascii="仿宋_GB2312"/>
          <w:szCs w:val="32"/>
        </w:rPr>
        <w:t>项目调整：按照县委资金分配，设立项目，未调整。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执行结果：资金开支范围、标准及支付进度，支付依据合规合法，资金支付与预算相符。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40" w:left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目标实现。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指标分值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分，自评得分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11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目标完成：项目从经济、社会、生态、可持续效益以及服务对象满意度等方面科学制定目标任务。截止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2023年年底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项目按照目标任务完成数量、质量、时效、成本等计划完成目标。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目标偏离：预算项目绩效目标数量指标实现程度与预期目标无偏离情况。各项目实际工作中达到预期的目标或标准，与设定的绩效目标之间不存在差异。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4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实现效果：加快构建全方位、全过程、全覆盖预算绩效管理体系，财政资源配置效率和资金使用效益实现“双提升”。</w:t>
      </w:r>
      <w:r>
        <w:rPr>
          <w:rFonts w:hint="eastAsia" w:ascii="仿宋_GB2312"/>
          <w:szCs w:val="32"/>
          <w:lang w:val="zh-CN"/>
        </w:rPr>
        <w:t>指标分值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分，自评得分</w:t>
      </w:r>
      <w:r>
        <w:rPr>
          <w:rFonts w:hint="eastAsia" w:ascii="仿宋_GB2312"/>
          <w:szCs w:val="32"/>
        </w:rPr>
        <w:t>3</w:t>
      </w:r>
      <w:r>
        <w:rPr>
          <w:rFonts w:hint="eastAsia" w:ascii="仿宋_GB2312"/>
          <w:szCs w:val="32"/>
          <w:lang w:val="zh-CN"/>
        </w:rPr>
        <w:t>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eastAsia="楷体_GB2312"/>
          <w:color w:val="333333"/>
          <w:szCs w:val="32"/>
        </w:rPr>
      </w:pPr>
      <w:r>
        <w:rPr>
          <w:rFonts w:hint="eastAsia"/>
          <w:szCs w:val="32"/>
        </w:rPr>
        <w:t>我单位不涉及2024年度</w:t>
      </w:r>
      <w:r>
        <w:rPr>
          <w:szCs w:val="32"/>
        </w:rPr>
        <w:t>国有资本经营预算、社会保险基金预算。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截止</w:t>
      </w:r>
      <w:r>
        <w:rPr>
          <w:rFonts w:ascii="仿宋_GB2312" w:cs="仿宋_GB2312"/>
          <w:szCs w:val="32"/>
        </w:rPr>
        <w:t>202</w:t>
      </w:r>
      <w:r>
        <w:rPr>
          <w:rFonts w:hint="eastAsia" w:ascii="仿宋_GB2312" w:cs="仿宋_GB2312"/>
          <w:szCs w:val="32"/>
        </w:rPr>
        <w:t>4年</w:t>
      </w:r>
      <w:r>
        <w:rPr>
          <w:rFonts w:ascii="仿宋_GB2312" w:cs="仿宋_GB2312"/>
          <w:szCs w:val="32"/>
        </w:rPr>
        <w:t>12</w:t>
      </w:r>
      <w:r>
        <w:rPr>
          <w:rFonts w:hint="eastAsia" w:ascii="仿宋_GB2312" w:cs="仿宋_GB2312"/>
          <w:szCs w:val="32"/>
        </w:rPr>
        <w:t>月</w:t>
      </w:r>
      <w:r>
        <w:rPr>
          <w:rFonts w:ascii="仿宋_GB2312" w:cs="仿宋_GB2312"/>
          <w:szCs w:val="32"/>
        </w:rPr>
        <w:t>31</w:t>
      </w:r>
      <w:r>
        <w:rPr>
          <w:rFonts w:hint="eastAsia" w:ascii="仿宋_GB2312" w:cs="仿宋_GB2312"/>
          <w:szCs w:val="32"/>
        </w:rPr>
        <w:t>日，固定资产总计564.78万元，在用的固定资产总计564.78万元，固定资产在用率达</w:t>
      </w:r>
      <w:r>
        <w:rPr>
          <w:rFonts w:ascii="仿宋_GB2312" w:cs="仿宋_GB2312"/>
          <w:szCs w:val="32"/>
        </w:rPr>
        <w:t>100%</w:t>
      </w:r>
      <w:r>
        <w:rPr>
          <w:rFonts w:hint="eastAsia" w:ascii="仿宋_GB2312" w:cs="仿宋_GB231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2024年度政府采购货物支出100.77万元，政府采购工程支出174.59万元，政府采购服务支出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</w:rPr>
      </w:pPr>
      <w:r>
        <w:rPr>
          <w:rFonts w:hint="eastAsia" w:ascii="仿宋_GB2312" w:cs="仿宋_GB2312"/>
          <w:szCs w:val="32"/>
        </w:rPr>
        <w:t>政府采购授予中小企业合同金额275.36万元，其中：授予小微企业合同金额</w:t>
      </w:r>
      <w:r>
        <w:rPr>
          <w:rFonts w:ascii="仿宋_GB2312" w:cs="仿宋_GB2312"/>
          <w:szCs w:val="32"/>
        </w:rPr>
        <w:t>0</w:t>
      </w:r>
      <w:r>
        <w:rPr>
          <w:rFonts w:hint="eastAsia" w:ascii="仿宋_GB2312" w:cs="仿宋_GB2312"/>
          <w:szCs w:val="32"/>
        </w:rPr>
        <w:t>万元。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2" w:firstLineChars="200"/>
        <w:rPr>
          <w:rFonts w:eastAsia="楷体_GB2312"/>
          <w:b/>
          <w:bCs/>
          <w:szCs w:val="32"/>
          <w:lang w:val="zh-CN"/>
        </w:rPr>
      </w:pPr>
      <w:r>
        <w:rPr>
          <w:rFonts w:eastAsia="楷体_GB2312"/>
          <w:b/>
          <w:bCs/>
          <w:szCs w:val="32"/>
          <w:lang w:val="zh-CN"/>
        </w:rPr>
        <w:t>绩效结果应用情况</w:t>
      </w:r>
      <w:r>
        <w:rPr>
          <w:rFonts w:hint="eastAsia" w:eastAsia="楷体_GB2312"/>
          <w:b/>
          <w:bCs/>
          <w:szCs w:val="32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我单位于202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年3月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日在黑水县人民政府信息公开网站上公开了《瓦钵梁子乡人民202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年预算编制说明》。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2025</w:t>
      </w:r>
      <w:r>
        <w:rPr>
          <w:rFonts w:hint="eastAsia"/>
          <w:color w:val="000000"/>
          <w:kern w:val="0"/>
          <w:szCs w:val="32"/>
          <w:shd w:val="clear" w:color="auto" w:fill="FFFFFF"/>
          <w:lang w:eastAsia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预算未批复，无法公开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20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日在黑水县人民政府信息公开网站上公开了《202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年度瓦钵梁子乡人民政府部门决算编制说明》。由于202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年尚未进行决算批复，无法决算公开。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绩效信息公开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rPr>
          <w:b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我单位单位于202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</w:t>
      </w:r>
      <w:r>
        <w:rPr>
          <w:rFonts w:hint="eastAsia"/>
          <w:color w:val="000000"/>
          <w:kern w:val="0"/>
          <w:szCs w:val="32"/>
          <w:shd w:val="clear" w:color="auto" w:fill="FFFFFF"/>
        </w:rPr>
        <w:t>9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月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30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日在黑水县政府信息公开网站上公开了《202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年度瓦钵梁子乡人民政府部门决算编制说明》，说明中公开了预算绩效管理工作开展情况，并公开了202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3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年整体支出绩效报告。由于202</w:t>
      </w:r>
      <w:r>
        <w:rPr>
          <w:rFonts w:hint="eastAsia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年尚未进行决算批复，无法进行公开。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rPr>
          <w:rFonts w:ascii="仿宋" w:eastAsia="仿宋" w:cs="??_GB2312"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  <w:r>
        <w:rPr>
          <w:rFonts w:hint="eastAsia" w:ascii="仿宋" w:eastAsia="仿宋" w:cs="??_GB2312"/>
          <w:szCs w:val="32"/>
        </w:rPr>
        <w:t>我乡严格对照评分标准，</w:t>
      </w:r>
      <w:r>
        <w:rPr>
          <w:rFonts w:ascii="仿宋" w:eastAsia="仿宋" w:cs="??_GB2312"/>
          <w:szCs w:val="32"/>
        </w:rPr>
        <w:t>202</w:t>
      </w:r>
      <w:r>
        <w:rPr>
          <w:rFonts w:hint="eastAsia" w:ascii="仿宋" w:eastAsia="仿宋" w:cs="??_GB2312"/>
          <w:szCs w:val="32"/>
        </w:rPr>
        <w:t>4年度财政部门整体支出绩效评价自评分数为97分（详情见附件）。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1、预算编制不够精确，财政资金紧张，存在中期调整取消资金的情况。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  <w:lang w:val="zh-CN"/>
        </w:rPr>
      </w:pPr>
      <w:r>
        <w:rPr>
          <w:rFonts w:hint="eastAsia" w:ascii="仿宋" w:eastAsia="仿宋" w:cs="??_GB2312"/>
          <w:szCs w:val="32"/>
          <w:lang w:val="zh-CN"/>
        </w:rPr>
        <w:t>2、因本部门整体支出预算资金的安排及使用上有不可预见性。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2" w:firstLineChars="200"/>
        <w:contextualSpacing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（三）改进建议。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一是重视绩效管理，切实履行好职责。努力提升工作绩效，围绕财政项目计划安排，合理使用财政资金，让财政监督职责发挥作用。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ascii="仿宋" w:eastAsia="仿宋" w:cs="??_GB2312"/>
          <w:szCs w:val="32"/>
        </w:rPr>
      </w:pPr>
      <w:r>
        <w:rPr>
          <w:rFonts w:hint="eastAsia" w:ascii="仿宋" w:eastAsia="仿宋" w:cs="??_GB2312"/>
          <w:szCs w:val="32"/>
        </w:rPr>
        <w:t>二是建立长效机制。把绩效评价作为部门内控的日常工作，建立绩效评价管理工作考核长效机制。科学设定绩效目标，加强预算执行管理。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szCs w:val="32"/>
        </w:rPr>
      </w:pPr>
      <w:r>
        <w:rPr>
          <w:color w:val="000000"/>
          <w:kern w:val="0"/>
          <w:szCs w:val="32"/>
          <w:shd w:val="clear" w:color="auto" w:fill="FFFFFF"/>
        </w:rPr>
        <w:t>附表：</w:t>
      </w:r>
      <w:r>
        <w:rPr>
          <w:rFonts w:hint="eastAsia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/>
          <w:szCs w:val="32"/>
        </w:rPr>
        <w:t>部门预算绩效自评打分表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1600" w:firstLineChars="500"/>
        <w:rPr>
          <w:color w:val="000000"/>
          <w:kern w:val="0"/>
          <w:szCs w:val="32"/>
          <w:shd w:val="clear" w:color="auto" w:fill="FFFFFF"/>
        </w:rPr>
      </w:pPr>
      <w:r>
        <w:rPr>
          <w:rFonts w:hint="eastAsia"/>
          <w:szCs w:val="32"/>
        </w:rPr>
        <w:t>2.</w:t>
      </w:r>
      <w:r>
        <w:rPr>
          <w:color w:val="000000"/>
          <w:kern w:val="0"/>
          <w:szCs w:val="32"/>
          <w:shd w:val="clear" w:color="auto" w:fill="FFFFFF"/>
        </w:rPr>
        <w:t>部门整体绩效目标完成情况自评表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1600" w:firstLineChars="500"/>
        <w:rPr>
          <w:rFonts w:ascii="Times New Roman"/>
        </w:rPr>
      </w:pPr>
      <w:r>
        <w:rPr>
          <w:rFonts w:hint="eastAsia"/>
          <w:color w:val="000000"/>
          <w:kern w:val="0"/>
          <w:shd w:val="clear" w:color="auto" w:fill="FFFFFF"/>
        </w:rPr>
        <w:t>3.</w:t>
      </w:r>
      <w:r>
        <w:rPr>
          <w:rFonts w:ascii="Times New Roman"/>
        </w:rPr>
        <w:t>部门预算项目支出绩效评价表（2024年度）</w:t>
      </w: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eastAsia" w:ascii="Times New Roman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</w:rPr>
      </w:pPr>
      <w:r>
        <w:rPr>
          <w:rFonts w:hint="eastAsia" w:ascii="Times New Roman"/>
        </w:rPr>
        <w:t>附件1</w:t>
      </w:r>
    </w:p>
    <w:tbl>
      <w:tblPr>
        <w:tblStyle w:val="15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7553"/>
        <w:gridCol w:w="455"/>
        <w:gridCol w:w="54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color w:val="000000"/>
                <w:sz w:val="48"/>
                <w:szCs w:val="48"/>
              </w:rPr>
            </w:pPr>
            <w:r>
              <w:rPr>
                <w:rFonts w:ascii="方正小标宋简体" w:hAnsi="方正小标宋简体" w:eastAsia="方正小标宋简体" w:cs="方正小标宋简体"/>
                <w:color w:val="000000"/>
                <w:kern w:val="0"/>
                <w:sz w:val="48"/>
                <w:szCs w:val="48"/>
              </w:rPr>
              <w:t>部门预算绩效评价指标体系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8"/>
                <w:szCs w:val="48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24"/>
              </w:rPr>
            </w:pPr>
          </w:p>
        </w:tc>
      </w:tr>
    </w:tbl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tbl>
      <w:tblPr>
        <w:tblStyle w:val="15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699"/>
        <w:gridCol w:w="703"/>
        <w:gridCol w:w="456"/>
        <w:gridCol w:w="1485"/>
        <w:gridCol w:w="936"/>
        <w:gridCol w:w="3167"/>
        <w:gridCol w:w="456"/>
        <w:gridCol w:w="4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1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绩效评价指标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指标分值</w:t>
            </w: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指标解释</w:t>
            </w:r>
          </w:p>
        </w:tc>
        <w:tc>
          <w:tcPr>
            <w:tcW w:w="3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评分方法</w:t>
            </w:r>
          </w:p>
        </w:tc>
        <w:tc>
          <w:tcPr>
            <w:tcW w:w="18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评分说明</w:t>
            </w:r>
          </w:p>
        </w:tc>
        <w:tc>
          <w:tcPr>
            <w:tcW w:w="1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一级指标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二级指标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三级指标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指标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8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4236" w:type="pct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321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（65分）</w:t>
            </w: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履职效能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（15分）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在职人员工资保险履职效果</w:t>
            </w:r>
          </w:p>
        </w:tc>
        <w:tc>
          <w:tcPr>
            <w:tcW w:w="186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9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部门整体绩效目标中选定3-5个核心职能目标，反映该项职能目标完成效果情况</w:t>
            </w:r>
          </w:p>
        </w:tc>
        <w:tc>
          <w:tcPr>
            <w:tcW w:w="34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我单位2023年如期完成项目指标内容，最终项指标得分=3÷3×100%×15=15核心职能目标一：基本支出，在职人员工资保险。目标完成情况，截止2024年底我单位如期完成预算30人全年工资保险发放。该资金开支范围、标准及支付进度，支付依据合规合法，资金支付与绩效目标相符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核心职能目标二：项目支出，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基层组织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运行及公共运行维护费。目标完成情况，截止2024年底我单位如期完成4个村日常办公费8万元，维修维护费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25.53万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元支付。该资金开支范围、标准及支付进度，支付依据合规合法，资金支付与预算相符。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核心职能目标三：项目支出，村干部工资保险。目标完成情况，截止2024年底我单位如期完成4个村33名村干部全年工资绩效发放。该资金开支范围、标准及支付进度，支付依据合规合法，资金支付与预算相符。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基层组织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运行及公共运行维护费履职效果</w:t>
            </w:r>
          </w:p>
        </w:tc>
        <w:tc>
          <w:tcPr>
            <w:tcW w:w="18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村干部工资保险履职效果</w:t>
            </w:r>
          </w:p>
        </w:tc>
        <w:tc>
          <w:tcPr>
            <w:tcW w:w="186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9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4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预算管理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（25分）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预算编制质量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部门是否严格按要求编制年初部门预算，年初预算编制的科学性和准确性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该项指标得分=（1-财政拨款预算偏离度）×100%×4+（1-资产配置预算偏离度）×100%×2+（1-政府采购预算偏离度）×100%×2。偏离度=|预算执行数-年初预算数|÷年初预算数。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单位收入统筹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部门统筹自有收入程度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该项指标得分=（部门自有收入全年执行数÷部门自有收入年初预算数）×100%×2+（财政核定的综合补助比例÷按实际执行测算的综合补助比例）×100%×2。我单位该指标不涉及。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支出执行进度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部门1至6月、1至10月预算执行情况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该项指标得分=（1至6月预算执行数÷（部门预算数×50%）×2）+（1-1至6月支出预警金额占比×0.8-1至6月支出违规金额占比×0.2）+（1至10月预算执行数÷（部门预算数×83.33%）×2）+（1-1至10月支出预警金额占比×0.8-1至10月支出违规金额占比×0.2）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预算年终结余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部门整体年终预算结余情况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该项指标得分=（1-部门整体预算结余率）×100%×2。部门整体预算结余率为当年年终部门预算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结销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金额和结转金额占部门预算总金额的比率。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严控一般性支出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部门严控“三公”经费、会议、培训、差旅、办节办展、办公设备购置、信息网络及软件购置更新、课题经费等8项一般性支出情况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480" w:firstLineChars="200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该项指标得分=基础分值+加分值。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1.基础分值。一般性支出财政拨款年初预算较上年实现压减得1分；一般性支出财政拨款预算执行较上年实现压减得1分。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2.加分值。一般性支出财政拨款年初预算较上年每压减1%得0.2分，累计不超过1分；一般性支出财政拨款预算执行较上年每压减1%得0.4分，累计不超过2分。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财务管理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财务管理制度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部门财务管理制度建立情况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部门已制定内部财务管理制度等制度机制的，得2分。财务管理制度得到落实，得2分。否则该项不得分。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财务岗位设置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部门财务岗位设置是否符合相关财务管理制度要求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是否评分法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部门合理设置财务工作岗位，明确职责权限，并严格实行不相容岗位分离的，得2分。否则该项不得分。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资金使用规范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部门资金使用是否符合相关财务管理制度规定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部门资金使用不符合相关财务管理制度规定的，发现一处扣1分，扣完为止。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人均资产变化率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部门人均资产变化情况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分级评分法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人均资产变化率为X，省直行政事业单位人均资产变化率为N，则：X≤N，得1.5分；N＜X≤1.2N，得0.9分；1.2N＜X≤1.4N，得0.6分；X＞1.4N，得0.3分。部门人均资产增长率为X，同期省级财政收入增长率为N，则：X≤0，得1.5分；0＜X≤N，得0.9分；N＜X≤2N，得0.6分；X＞2N，不得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资产利用率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部门资产超最低使用年限情况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分级评分法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办公家具超最低使用年限资产利用率=超最低使用年限的办公家具账面价值÷办公家具账面价值×100%。办公家具超最低使用年限资产利用率为X，省直行政事业单位平均值为N，则：X＞N，得1.5分；0.8N＜X≤N，得0.9分；0.6N＜X≤0.8N，得0.6分；X≤0.6N，得0.3分。部门办公设备超最低使用年限资产利用率=超最低使用年限的办公设备账面价值÷办公设备账面价值×100%。办公设备超最低使用年限资产利用率为X，省直行政事业单位平均值为N，则：X＞N，得1.5分；0.8N＜X≤N，得0.9分；0.6N＜X≤0.8N，得0.6分；X≤0.6N，得0.3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总体绩效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（65分）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资产管理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（9分）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资产盘活率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部门闲置一年以上的资产盘活情况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分级评分法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闲置资产占比变化率=(本年闲置资产账面价值÷本年总资产账面价值)÷(上一年度闲置资产账面价值÷上一年度总资产账面价值)×100%，变化率在60%以下的得2.4分，60%-80%的得1.8分，80-100%的得1.2分，100%以上的不得分。两年均无闲置资产或上年度有闲置资产评价年度无闲置资产的，该项指标得3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采购管理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支持中小企业发展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部门是否严格执行政府采购促进中小企业发展相关管理办法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是否评分法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对适宜由中小企业提供的采购项目和采购包，预留采购份额专门面向中小企业采购，并在采购预算中单独列示，不符合要求的扣3分。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采购执行率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部门政府采购项目资金支付比例情况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该项指标得分=当年政府采购实际支付总金额÷（当年政府采购总预算数-当年已完成采购项目节约金额）×100%×3。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项目绩效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（35分）</w:t>
            </w: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项目决策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决策程序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部门预算项目设立是否按规定履行评估论证、申报程序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部门未履行事前评估程序的部门预算阶段项目（含一次性项目）数量÷部门预算阶段项目（含一次性项目）总数×100%×4。抽评的部门预算阶段项目（含一次性项目）总数10个以下的全部纳入，每增加5个多纳入1个，最多不超过30个，下同。若无部门预算阶段项目（含一次性项目），则主要查看部门预算项目整体决策程序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目标设置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部门预算项目绩效目标与计划期内的任务量、预算安排的资金量匹配情况，绩效目标设置是否科学合理、规范完整、量化细化、预算匹配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绩效目标与计划期内的任务量、预算安排不相匹配的部门预算阶段项目（含一次性项目）数量÷部门预算阶段项目（含一次性项目）总数×100%×4。若无部门预算阶段项目（含一次性项目），则抽评涉及核心业务、资金量大的其他部门预算项目，下同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项目入库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部门预算项目是否在规定时间完成项目入库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该项指标得分=4-规定时间未入财政库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，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部门预算阶段项目（含一次性项目）数量÷最终安排部门预算阶段项目（含一次性项目）总数×100%×4。规定时间以当年9月30日为准。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项目执行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执行同向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部门预算项目实际列支内容是否与绩效目标设置方向相符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该项指标得分=4-实际列支内容与绩效目标设置方向不相符的部门预算阶段项目（含一次性项目）数量÷部门预算阶段项目（含一次性项目）总数×100%×4。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项目调整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部门预算项目是否采取对应调整措施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该项指标得分=4-应采取未采取收回预算、调整目标等处置措施的部门预算阶段项目（含一次性项目）数量÷应采取收回预算、调整目标等处置措施的部门预算阶段项目（含一次性项目）总数×100%×4。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执行结果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部门预算项目预算执行情况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该项指标得分=预算结余率小于10%的常年项目数量÷部门预算常年项目总数×100%×2+预算结余率小于10%的一次性项目和阶段项目数量÷部门预算一次性项目和阶段项目总数×100%×2。</w:t>
            </w:r>
          </w:p>
        </w:tc>
        <w:tc>
          <w:tcPr>
            <w:tcW w:w="14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目标实现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（11分）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目标完成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部门预算项目绩效目标数量指标完成情况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该项指标得分=完成绩效目标数量指标的部门预算阶段项目（含一次性项目）数量÷部门预算阶段项目（含一次性项目）总数×100%×4。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目标偏离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部门预算项目绩效目标数量指标实现程度与预期目标的偏离情况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已完成预期指标值的数量指标中偏离度在30%内的指标个数÷已完成预期指标值的数量指标个数×100%×4。偏离度=|（绩效指标实际完成值-设定预期指标值）÷设定预期指标值|。部门预算阶段项目（含一次性项目）绩效目标实际完成值偏离预期指标30%以上（含30%）的，不计分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实现效果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部门预算项目绩效目标效益指标实施效果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比率分值法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该项指标得分=完成绩效目标效益指标的部门预算阶段项目（含一次性项目）数量÷部门预算阶段项目（含一次性项目）总数×100%×3。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29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扣分项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（10分）</w:t>
            </w:r>
          </w:p>
        </w:tc>
        <w:tc>
          <w:tcPr>
            <w:tcW w:w="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预算绩效存在问题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预算管理和绩效管理工作存在问题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依据评价年度人大监督、巡视巡察、审计监督、财会监督等结果以及评价指标体系涉及的履职效果、预算管理、财务管理、资产管理、采购管理、项目绩效等方面出现的问题，每有一个问题点扣1分，扣完为止。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9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83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被评价部门配合度</w:t>
            </w:r>
          </w:p>
        </w:tc>
        <w:tc>
          <w:tcPr>
            <w:tcW w:w="1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-</w:t>
            </w:r>
          </w:p>
        </w:tc>
        <w:tc>
          <w:tcPr>
            <w:tcW w:w="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被评价对象工作配合情况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缺（错）项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扣分法</w:t>
            </w:r>
          </w:p>
        </w:tc>
        <w:tc>
          <w:tcPr>
            <w:tcW w:w="1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评价工作开展过程中，被评价对象拖延推诿、提交资料不及时等拒不配合评价工作的，每发现一次扣1分，扣完为止。</w:t>
            </w:r>
          </w:p>
        </w:tc>
        <w:tc>
          <w:tcPr>
            <w:tcW w:w="1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/>
          <w:color w:val="000000"/>
          <w:kern w:val="0"/>
          <w:shd w:val="clear" w:color="auto" w:fill="FFFFFF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ascii="Times New Roman" w:eastAsia="黑体"/>
          <w:sz w:val="24"/>
          <w:szCs w:val="24"/>
        </w:rPr>
      </w:pPr>
      <w:r>
        <w:rPr>
          <w:rFonts w:hint="eastAsia" w:ascii="Times New Roman" w:eastAsia="黑体"/>
          <w:sz w:val="24"/>
          <w:szCs w:val="24"/>
        </w:rPr>
        <w:t>附件2</w:t>
      </w:r>
    </w:p>
    <w:tbl>
      <w:tblPr>
        <w:tblStyle w:val="15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154"/>
        <w:gridCol w:w="1160"/>
        <w:gridCol w:w="1778"/>
        <w:gridCol w:w="922"/>
        <w:gridCol w:w="1076"/>
        <w:gridCol w:w="689"/>
        <w:gridCol w:w="545"/>
        <w:gridCol w:w="8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45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0"/>
                <w:szCs w:val="30"/>
              </w:rPr>
              <w:t>部门整体支出绩效目标表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5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（2024年度）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454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金额单位：万元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8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部门名称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年度部门整体支出预算</w:t>
            </w: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资金总额</w:t>
            </w:r>
          </w:p>
        </w:tc>
        <w:tc>
          <w:tcPr>
            <w:tcW w:w="14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财政拨款</w:t>
            </w:r>
          </w:p>
        </w:tc>
        <w:tc>
          <w:tcPr>
            <w:tcW w:w="17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1499.25</w:t>
            </w:r>
          </w:p>
        </w:tc>
        <w:tc>
          <w:tcPr>
            <w:tcW w:w="14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1499.25</w:t>
            </w:r>
          </w:p>
        </w:tc>
        <w:tc>
          <w:tcPr>
            <w:tcW w:w="1727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5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年度总体目标</w:t>
            </w:r>
          </w:p>
        </w:tc>
        <w:tc>
          <w:tcPr>
            <w:tcW w:w="449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2024年我乡将紧紧围绕县委、县政府决策部署，以习近平新时代中国特色社会主义思想为指引，围绕经济发展、乡村振兴、民生工程等重点工作，不忘初心、牢记使命、提振精神、加压奋进，争取各项工作实现新突破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年度主要任务</w:t>
            </w: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任务名称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主要内容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加强意识形态，牢牢掌握意识形态工作领导权。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一是加强思想政治引领，不断提高党员干部学习力。二是严格落实意识形态工作责任制，不断增强党的领导力。三是加强意识形态阵地管控，不断增强党的创造力。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加强作风建设，扎实推进党员干部党风廉政建设 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以公平正直的态度讲法治。以风清气正的维度讲廉政。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加大防范力度，扎实推进森林草原防灭火工作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全面筑牢森林草原防灭火屏障。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6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加强组织建设，充分发挥基层党组织战斗堡垒作用。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发挥党委“领头羊”的作用，做到班子团结，工作认真，努力建设廉洁、高效的党委政府。二是加强基层党支部建设。以加强基层党支部的执政能力建设为重点，提高基层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党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支部党员的党风党纪，进一步激发基层党组织活力，发挥基层党组织战斗堡垒作用。三是加强村党支部书记队伍建设。充分发挥村支部书记抓党建的关键作用。年内各村党支部书记进行一次集中培训，增强村党支部书记抓好党建、促进发展、联系群众的意识，提高村党支部书记的工作能力。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加强项目推进，促进全乡各项事业再上新台阶</w:t>
            </w:r>
          </w:p>
        </w:tc>
        <w:tc>
          <w:tcPr>
            <w:tcW w:w="321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强化重点项目支撑引领。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年度绩效指标</w:t>
            </w: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绩效指标性质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绩效指标值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绩效度量单位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实际完成指标值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村级运行费用预计项目安排个数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4个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发放村干部报酬、保险人数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33人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发放全乡职工报酬、保险人数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30人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开展常态化返贫风险监测户数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661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户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661户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开展志愿服务活动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全乡各类政策宣传次数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5次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推进重点项目数量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1个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召开乡级人民代表大会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2次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项目完工率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项目完成时间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12月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提升乡镇综合管理能力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50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9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村民满意度</w:t>
            </w:r>
          </w:p>
        </w:tc>
        <w:tc>
          <w:tcPr>
            <w:tcW w:w="5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98%</w:t>
            </w:r>
          </w:p>
        </w:tc>
      </w:tr>
    </w:tbl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4960" w:firstLineChars="1550"/>
        <w:rPr>
          <w:rFonts w:ascii="仿宋" w:eastAsia="仿宋" w:cs="??_GB2312"/>
        </w:rPr>
      </w:pPr>
    </w:p>
    <w:p>
      <w:pPr>
        <w:keepNext w:val="0"/>
        <w:keepLines w:val="0"/>
        <w:pageBreakBefore w:val="0"/>
        <w:tabs>
          <w:tab w:val="left" w:pos="1351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</w:pPr>
      <w:r>
        <w:rPr>
          <w:rFonts w:hint="eastAsia"/>
        </w:rPr>
        <w:t>附件3：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164"/>
        <w:gridCol w:w="983"/>
        <w:gridCol w:w="1298"/>
        <w:gridCol w:w="396"/>
        <w:gridCol w:w="925"/>
        <w:gridCol w:w="396"/>
        <w:gridCol w:w="861"/>
        <w:gridCol w:w="486"/>
        <w:gridCol w:w="487"/>
        <w:gridCol w:w="14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51322823T000007750540-村干部工资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1.实行“一肩挑”的村。“一肩挑”的村党组织书记（村委会主任），基本报酬补助标准按 3500元/月基数核定；村党组织副书记、村委会副主任的基本补助标准按 2800 元/月基数核定；村纪检委员（村务监督委员会主任）、村文书（会计）的基本报酬补助标准按 2450 元/月基数校定。及每月绩效。及每月保险·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91.51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92.06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92.06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91.51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92.06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92.06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涉及村干部人数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工资逐月兑现率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提高工作效率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村干部满意度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项目负责人：泽永吉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51322823T000007750599-村级公共运行维护费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每村办公经费2万元，四个村9万元，基层组织活动和公共服务运行每村11万元，四个村44万元。总计44万元。资金主要用于村级基础设施维修维护、基层党的建设等方面。确保村组基础设施完善，基层党建等工作有序开展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28.00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33.53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33.53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28.00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33.53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33.53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涉及运行经费村委会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预计安排基础设施个数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项目完成时间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提高村级运行工作效率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群众满意度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97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项目负责人：泽永吉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51322823T000007751511-人大代表工作经费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加强乡人大经费保障，充分发挥乡人大代表履职积极性，确保乡人大工作能力水平和效果不断提升：2025年人大工作预算资金100000元。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7.32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7.32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7.32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7.32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召开人大会议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涉及人大代表人数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涉及村两委个数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经费兑现时间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提高工作效率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人大代表满意度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项目负责人：扎西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51322823T000007751746-驻村工作队专项工作经费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加强乡驻村工作队经费保障，充分发挥乡驻村工作队员履职积极性，确保乡驻村工作能力水平和效果不断提升：2024年驻村工作队经费预算资金各村1.5万元，4个村合计6万元。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涉及驻村村委会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涉及驻村工作人员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资金兑付率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提高驻村工作效率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村民满意度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项目负责人：罗刚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51322823T000009248885-瓦钵梁子乡华润捐赠资金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加强华润捐赠资金经费保障，充分发挥各村基础设施建设履职积极性，确保各村工作能力水平和效果不断提升。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11.45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11.45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11.45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11.45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涉及贫困村个数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项目完工时间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提升产业发展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定性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村民满意度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51322823T000009715261-瓦钵梁子乡捐赠资金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主要用于瓦钵梁子乡3个村（曲瓦村，瓦钵村，渔沙沟村）围栏采购及安装等。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涉及村个数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改造房间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间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完工时间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提高各村基础设施建设履职积极性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定性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群众满意度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经济成本指标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预算金额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51322823T000009850918-瓦钵梁子乡瓦钵村红色美丽村庄试点项目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推动红色村组织振兴，建设红色美丽村庄试点工作，是用好红色资源、传承红色基因的重要举措，是发扬红色精神凝聚奋进力量的重要载体，是推进乡村振兴、促进共同富裕的重要抓手。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500.00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311.70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311.70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500.00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311.70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311.70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新建生态厕所个数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所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新建生态停车场个数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制作《红军长征在瓦钵史料汇编》册数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册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项目完成时间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推动瓦钵村红色美丽村庄建设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定性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良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量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村民满意度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51322823T000009907029-乡镇避险转移经费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用于开展避险转移工作，每转移1人，按20元标准补助。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设计村两委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转移次数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避险转移人员数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240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该项工作完工率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资金兑付率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避险监测覆盖率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避险人员的满意度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项目负责人：杨青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51322824T000011866832-瓦钵梁子乡2024年曲瓦村安全饮水巩固提升项目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该项目的总体目标是提高农村饮水安全保障程度，提高水质达标率、集中供水率、规模化集中供水覆盖人口、自来水普及率和供水保证率，确保供水安全。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186.98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186.98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186.98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186.98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新建或改善脱贫村饮水设施数量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修建取水口池子数量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座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受益人口数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912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修建蓄水池数量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座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铺设管道数量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7267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7267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修建阀门井数量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座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53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饮水设施改造后水质达标率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项目验收合格率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8月25日资金支付率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项目完成及时率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可持续发展指标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项目作用期（年）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受益人口满意度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51322824T000011866837-瓦钵村2024年新型农村集体经济共建项目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该项目的总体目标是在充分运用红色资源，确保村集体经济不流失的基础上，增加集体经济成员收入，实现村集体经济与森工企业转型发展高效融合、齐头并进。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69.22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69.22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69.22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69.22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建伐木记忆小亭面积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42.25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平方米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42.25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建餐饮主题包间数量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建长征精神廊道面积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52.5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平方米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52.5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建文化休憩树池面积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18.75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平方米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18.75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项目验收合格率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8月25日资金支付率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项目使用期限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收益人口满意度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51322824T000012049475-瓦钵村集体经济贝母种植项目（配套设施采购）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围绕贝母种植产业，采购防雹网、灌溉设备、农药化肥等配套种植所需农用物资。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主要功能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和</w:t>
            </w: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目标：完善产业配套基础设施，提高贝母种植标准化和规范化，进一步增强设施化农业水平，以设施化农业促进农村集体经济发展壮大，实现集体经济提质增效。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27.05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27.05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27.05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27.05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发展贝母种植面积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亩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受益村民数量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370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370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新增集体经济个数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项目验收合格率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资金支付进度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项目完成及时率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经济效益指标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年增加集体经济收入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可持续发展指标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项目作用期（年）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受益村民满意度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98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51322825T000012135801-自然灾害应急资金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2024年自然灾害应急项目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4.95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4.95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4.95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4.95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涉及村委会个数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转移群众人数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240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处理应急事件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次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资金使用效益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资金兑付率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应急项目处理率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经济效益指标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预算安排资金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万元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提高群众抗风险能力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80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减少灾害损失率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群众满意度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项目负责人：杨青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51322825T000012966377-村级协理员工资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黑水县瓦钵乡人民政府（行政及参公）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瓦钵梁子乡村级协理员工资，为确保村级协理员工作积极性，充分保障资金的合理使用，合理、合法、合规运用资金，黑水县瓦钵梁子乡常职村级协理员4人。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2.54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2.54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2.54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2.54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涉及村两委个数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工资发放月数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涉及村级协理员人数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资金及时拨付率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提升村级协理员工作积极性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村级协理员满意度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96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96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righ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项目负责人：罗刚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51322824T000010635399-乡综合服务设施项目改造提升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黑水县瓦钵乡人民政府（事业）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完成包含便民服务中心、办公室、职工之家、公共浴室、职工住宿功能区的装修装饰，进一步改善办公条件和职工居住条件。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73.75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建设达标宿舍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处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建设标准化便民服务中心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装修装饰面积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785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平方米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785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竣工验收合格率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项目完工时间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月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提升便民服务率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群众、职工满意度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95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项目负责人：金家序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000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30"/>
                <w:szCs w:val="30"/>
              </w:rPr>
              <w:t>部门预算项目支出绩效自评表（2024年度）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51322825T000012531652-设备采购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9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实施单位 （盖章）</w:t>
            </w:r>
          </w:p>
        </w:tc>
        <w:tc>
          <w:tcPr>
            <w:tcW w:w="12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黑水县瓦钵乡人民政府（事业）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项目基本情况</w:t>
            </w: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1.项目年度目标完成情况</w:t>
            </w: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项目年度目标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年度目标完成情况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23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24年计算机采购</w:t>
            </w:r>
          </w:p>
        </w:tc>
        <w:tc>
          <w:tcPr>
            <w:tcW w:w="164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已完成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2.项目实施内容及过程概述</w:t>
            </w:r>
          </w:p>
        </w:tc>
        <w:tc>
          <w:tcPr>
            <w:tcW w:w="4031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预算执行情况（10分）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年度预算数（万元）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年初预算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调整后预算数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原因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3.38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3.38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i/>
                <w:iCs/>
                <w:color w:val="000000"/>
                <w:kern w:val="0"/>
                <w:sz w:val="18"/>
                <w:szCs w:val="18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其中：财政资金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3.38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3.38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财政专户管理资金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单位资金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0.00%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其他资金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/</w:t>
            </w:r>
          </w:p>
        </w:tc>
        <w:tc>
          <w:tcPr>
            <w:tcW w:w="9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黑体" w:hAnsi="黑体" w:eastAsia="黑体" w:cs="黑体"/>
                <w:i/>
                <w:i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绩效指标（90分）</w:t>
            </w: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指标性质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指标值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度量单位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完成值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权重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得分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未完成原因分析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6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采购数量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涉及职工使用人数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人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涉及办公室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商品合格率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商品采购及时率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＝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提升职工工作效率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职工满意度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≥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%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92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6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经济成本指标</w:t>
            </w:r>
          </w:p>
        </w:tc>
        <w:tc>
          <w:tcPr>
            <w:tcW w:w="7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每台单价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≤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5000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元/台</w:t>
            </w:r>
          </w:p>
        </w:tc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5000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745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9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评价结论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自评得分100分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存在问题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  <w:t>改进措施</w:t>
            </w:r>
          </w:p>
        </w:tc>
        <w:tc>
          <w:tcPr>
            <w:tcW w:w="4756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微软雅黑" w:hAnsi="微软雅黑" w:eastAsia="微软雅黑" w:cs="微软雅黑"/>
                <w:i/>
                <w:iCs/>
                <w:color w:val="00000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kern w:val="0"/>
                <w:sz w:val="16"/>
                <w:szCs w:val="16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57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项目负责人：王强</w:t>
            </w:r>
          </w:p>
        </w:tc>
        <w:tc>
          <w:tcPr>
            <w:tcW w:w="242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财务负责人：泽永吉</w:t>
            </w:r>
          </w:p>
        </w:tc>
      </w:tr>
    </w:tbl>
    <w:p>
      <w:pPr>
        <w:keepNext w:val="0"/>
        <w:keepLines w:val="0"/>
        <w:pageBreakBefore w:val="0"/>
        <w:tabs>
          <w:tab w:val="left" w:pos="1351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??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0885" cy="4641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012" cy="46413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0"/>
                            <w:ind w:right="451" w:rightChars="141"/>
                            <w:jc w:val="right"/>
                            <w:rPr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36.55pt;width:57.5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  <w:ind w:right="451" w:rightChars="141"/>
                      <w:jc w:val="right"/>
                      <w:rPr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F60339"/>
    <w:multiLevelType w:val="singleLevel"/>
    <w:tmpl w:val="39F6033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2710CDF"/>
    <w:multiLevelType w:val="singleLevel"/>
    <w:tmpl w:val="52710CDF"/>
    <w:lvl w:ilvl="0" w:tentative="0">
      <w:start w:val="4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dit="readOnly" w:enforcement="0"/>
  <w:defaultTabStop w:val="420"/>
  <w:drawingGridHorizontalSpacing w:val="160"/>
  <w:drawingGridVerticalSpacing w:val="435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zNjhjNDNiN2RjOWRkY2QxZGViYzI0NTBlYjA3NDAifQ=="/>
  </w:docVars>
  <w:rsids>
    <w:rsidRoot w:val="00172A27"/>
    <w:rsid w:val="00060CFE"/>
    <w:rsid w:val="00213CF6"/>
    <w:rsid w:val="005C7D51"/>
    <w:rsid w:val="00A63199"/>
    <w:rsid w:val="00C34800"/>
    <w:rsid w:val="01BD29C8"/>
    <w:rsid w:val="02025461"/>
    <w:rsid w:val="03F82FC0"/>
    <w:rsid w:val="040C05A4"/>
    <w:rsid w:val="06B74A9B"/>
    <w:rsid w:val="06C12F67"/>
    <w:rsid w:val="07A37A10"/>
    <w:rsid w:val="07EA141D"/>
    <w:rsid w:val="081A225E"/>
    <w:rsid w:val="08646E76"/>
    <w:rsid w:val="08A162D5"/>
    <w:rsid w:val="08AE049D"/>
    <w:rsid w:val="099C43EE"/>
    <w:rsid w:val="09ED5DAA"/>
    <w:rsid w:val="0CA248E3"/>
    <w:rsid w:val="0DAE3513"/>
    <w:rsid w:val="0DBA7DB7"/>
    <w:rsid w:val="0DEB5944"/>
    <w:rsid w:val="10234F21"/>
    <w:rsid w:val="11F76665"/>
    <w:rsid w:val="123A47A4"/>
    <w:rsid w:val="16B65F5A"/>
    <w:rsid w:val="177E2113"/>
    <w:rsid w:val="1A997F2F"/>
    <w:rsid w:val="1AC82188"/>
    <w:rsid w:val="1C3F1C36"/>
    <w:rsid w:val="1CBF5FD1"/>
    <w:rsid w:val="1E201112"/>
    <w:rsid w:val="1F185E6D"/>
    <w:rsid w:val="1F262884"/>
    <w:rsid w:val="1F4D3D68"/>
    <w:rsid w:val="1FB5190D"/>
    <w:rsid w:val="1FE47C93"/>
    <w:rsid w:val="20254A06"/>
    <w:rsid w:val="20FC6049"/>
    <w:rsid w:val="222E44B2"/>
    <w:rsid w:val="22D16A5E"/>
    <w:rsid w:val="2389558B"/>
    <w:rsid w:val="247D6215"/>
    <w:rsid w:val="24EF1412"/>
    <w:rsid w:val="25434489"/>
    <w:rsid w:val="262122BC"/>
    <w:rsid w:val="271635D9"/>
    <w:rsid w:val="27DF39CB"/>
    <w:rsid w:val="27FF7EBB"/>
    <w:rsid w:val="283D6944"/>
    <w:rsid w:val="283F090E"/>
    <w:rsid w:val="29F0536A"/>
    <w:rsid w:val="2B20072F"/>
    <w:rsid w:val="2D4C0DDD"/>
    <w:rsid w:val="2D776B6B"/>
    <w:rsid w:val="2D7B23E8"/>
    <w:rsid w:val="2F0401BB"/>
    <w:rsid w:val="2F117C09"/>
    <w:rsid w:val="2FA84FEB"/>
    <w:rsid w:val="303B7C0D"/>
    <w:rsid w:val="32803FFD"/>
    <w:rsid w:val="32C739DA"/>
    <w:rsid w:val="34DA52F0"/>
    <w:rsid w:val="35150A2C"/>
    <w:rsid w:val="37E34E12"/>
    <w:rsid w:val="38683569"/>
    <w:rsid w:val="39AB5580"/>
    <w:rsid w:val="3B0F4170"/>
    <w:rsid w:val="3B482C8F"/>
    <w:rsid w:val="3B4C2CCE"/>
    <w:rsid w:val="3C055EE8"/>
    <w:rsid w:val="3C357C06"/>
    <w:rsid w:val="3C5E715D"/>
    <w:rsid w:val="3C70304D"/>
    <w:rsid w:val="3DB65202"/>
    <w:rsid w:val="3E467EA9"/>
    <w:rsid w:val="3F5465F5"/>
    <w:rsid w:val="3FD17940"/>
    <w:rsid w:val="3FEBEF7B"/>
    <w:rsid w:val="3FFC1AB1"/>
    <w:rsid w:val="40907B01"/>
    <w:rsid w:val="41570C59"/>
    <w:rsid w:val="41E31B9C"/>
    <w:rsid w:val="42832017"/>
    <w:rsid w:val="434D1CD9"/>
    <w:rsid w:val="438E1A43"/>
    <w:rsid w:val="44B73BE0"/>
    <w:rsid w:val="47985D97"/>
    <w:rsid w:val="485C5EC2"/>
    <w:rsid w:val="49292CBC"/>
    <w:rsid w:val="4B6422B6"/>
    <w:rsid w:val="4D1A2153"/>
    <w:rsid w:val="4EDE412D"/>
    <w:rsid w:val="4FC926E8"/>
    <w:rsid w:val="4FCD72D2"/>
    <w:rsid w:val="50615016"/>
    <w:rsid w:val="50EC24C8"/>
    <w:rsid w:val="51C47ACD"/>
    <w:rsid w:val="521F6F37"/>
    <w:rsid w:val="526A046E"/>
    <w:rsid w:val="53B92A73"/>
    <w:rsid w:val="54280CE4"/>
    <w:rsid w:val="544D7D8B"/>
    <w:rsid w:val="558F7F2F"/>
    <w:rsid w:val="571511AC"/>
    <w:rsid w:val="5818420C"/>
    <w:rsid w:val="583077E2"/>
    <w:rsid w:val="5A85172D"/>
    <w:rsid w:val="5B7F0083"/>
    <w:rsid w:val="5D3E4715"/>
    <w:rsid w:val="5D861C18"/>
    <w:rsid w:val="5EDA6F3C"/>
    <w:rsid w:val="63070BFB"/>
    <w:rsid w:val="63D60815"/>
    <w:rsid w:val="654359FF"/>
    <w:rsid w:val="65D25593"/>
    <w:rsid w:val="66D439F4"/>
    <w:rsid w:val="675C43FC"/>
    <w:rsid w:val="683C2412"/>
    <w:rsid w:val="6B0F5220"/>
    <w:rsid w:val="6D315ADF"/>
    <w:rsid w:val="6D7E46BA"/>
    <w:rsid w:val="6EA6064E"/>
    <w:rsid w:val="7077616F"/>
    <w:rsid w:val="716A38D3"/>
    <w:rsid w:val="723C415D"/>
    <w:rsid w:val="72A51C4F"/>
    <w:rsid w:val="72BF19FC"/>
    <w:rsid w:val="734819F2"/>
    <w:rsid w:val="74E4399C"/>
    <w:rsid w:val="750D2EF3"/>
    <w:rsid w:val="751E18AC"/>
    <w:rsid w:val="753D30AC"/>
    <w:rsid w:val="78A3539C"/>
    <w:rsid w:val="7AE0603D"/>
    <w:rsid w:val="7B10579A"/>
    <w:rsid w:val="7CE46E89"/>
    <w:rsid w:val="7D162B61"/>
    <w:rsid w:val="7DA84FE4"/>
    <w:rsid w:val="7E953898"/>
    <w:rsid w:val="7FF72011"/>
    <w:rsid w:val="C5736F8E"/>
    <w:rsid w:val="F77B524F"/>
    <w:rsid w:val="FF7C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eastAsia="黑体"/>
      <w:b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spacing w:beforeLines="50" w:line="360" w:lineRule="auto"/>
      <w:ind w:firstLine="200" w:firstLineChars="200"/>
    </w:pPr>
    <w:rPr>
      <w:rFonts w:eastAsia="仿宋"/>
      <w:sz w:val="24"/>
      <w:szCs w:val="23"/>
      <w:lang w:eastAsia="ar-SA"/>
    </w:rPr>
  </w:style>
  <w:style w:type="paragraph" w:styleId="6">
    <w:name w:val="Document Map"/>
    <w:basedOn w:val="1"/>
    <w:qFormat/>
    <w:uiPriority w:val="0"/>
    <w:rPr>
      <w:rFonts w:ascii="宋体" w:eastAsia="宋体"/>
      <w:sz w:val="18"/>
      <w:szCs w:val="18"/>
    </w:rPr>
  </w:style>
  <w:style w:type="paragraph" w:styleId="7">
    <w:name w:val="Body Text"/>
    <w:basedOn w:val="1"/>
    <w:next w:val="1"/>
    <w:qFormat/>
    <w:uiPriority w:val="0"/>
    <w:pPr>
      <w:spacing w:after="120"/>
    </w:pPr>
  </w:style>
  <w:style w:type="paragraph" w:styleId="8">
    <w:name w:val="Body Text Indent"/>
    <w:basedOn w:val="1"/>
    <w:qFormat/>
    <w:uiPriority w:val="0"/>
    <w:pPr>
      <w:spacing w:after="120"/>
      <w:ind w:left="200" w:leftChars="200"/>
    </w:pPr>
    <w:rPr>
      <w:rFonts w:ascii="仿宋_GB2312"/>
      <w:szCs w:val="32"/>
    </w:rPr>
  </w:style>
  <w:style w:type="paragraph" w:styleId="9">
    <w:name w:val="Balloon Text"/>
    <w:basedOn w:val="1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sz w:val="18"/>
      <w:szCs w:val="18"/>
    </w:rPr>
  </w:style>
  <w:style w:type="paragraph" w:styleId="12">
    <w:name w:val="toc 1"/>
    <w:basedOn w:val="1"/>
    <w:next w:val="1"/>
    <w:qFormat/>
    <w:uiPriority w:val="0"/>
  </w:style>
  <w:style w:type="paragraph" w:styleId="13">
    <w:name w:val="table of figures"/>
    <w:basedOn w:val="1"/>
    <w:next w:val="1"/>
    <w:qFormat/>
    <w:uiPriority w:val="0"/>
    <w:pPr>
      <w:ind w:left="400" w:leftChars="200" w:hanging="200" w:hangingChars="200"/>
    </w:pPr>
    <w:rPr>
      <w:szCs w:val="32"/>
    </w:rPr>
  </w:style>
  <w:style w:type="paragraph" w:styleId="14">
    <w:name w:val="Body Text First Indent 2"/>
    <w:basedOn w:val="8"/>
    <w:qFormat/>
    <w:uiPriority w:val="0"/>
    <w:pPr>
      <w:ind w:firstLine="200" w:firstLineChars="200"/>
    </w:p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page number"/>
    <w:basedOn w:val="16"/>
    <w:qFormat/>
    <w:uiPriority w:val="0"/>
  </w:style>
  <w:style w:type="paragraph" w:customStyle="1" w:styleId="19">
    <w:name w:val="标题 5（有编号）（绿盟科技）"/>
    <w:next w:val="1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customStyle="1" w:styleId="20">
    <w:name w:val="四号正文"/>
    <w:basedOn w:val="1"/>
    <w:qFormat/>
    <w:uiPriority w:val="0"/>
    <w:pPr>
      <w:spacing w:line="360" w:lineRule="auto"/>
    </w:pPr>
    <w:rPr>
      <w:rFonts w:ascii="??" w:hAnsi="??" w:eastAsia="宋体" w:cs="宋体"/>
      <w:color w:val="000000"/>
      <w:kern w:val="0"/>
      <w:sz w:val="28"/>
      <w:szCs w:val="21"/>
    </w:rPr>
  </w:style>
  <w:style w:type="paragraph" w:customStyle="1" w:styleId="21">
    <w:name w:val="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</w:rPr>
  </w:style>
  <w:style w:type="character" w:customStyle="1" w:styleId="22">
    <w:name w:val="font31"/>
    <w:basedOn w:val="16"/>
    <w:qFormat/>
    <w:uiPriority w:val="0"/>
    <w:rPr>
      <w:rFonts w:ascii="宋体" w:eastAsia="宋体" w:cs="宋体"/>
      <w:color w:val="000000"/>
      <w:sz w:val="24"/>
      <w:szCs w:val="24"/>
      <w:u w:val="none"/>
    </w:rPr>
  </w:style>
  <w:style w:type="character" w:customStyle="1" w:styleId="23">
    <w:name w:val="font51"/>
    <w:basedOn w:val="16"/>
    <w:qFormat/>
    <w:uiPriority w:val="0"/>
    <w:rPr>
      <w:rFonts w:ascii="Wingdings 2" w:hAnsi="Wingdings 2" w:eastAsia="Wingdings 2" w:cs="Wingdings 2"/>
      <w:color w:val="000000"/>
      <w:sz w:val="18"/>
      <w:szCs w:val="18"/>
      <w:u w:val="none"/>
    </w:rPr>
  </w:style>
  <w:style w:type="character" w:customStyle="1" w:styleId="24">
    <w:name w:val="font0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character" w:customStyle="1" w:styleId="25">
    <w:name w:val="font41"/>
    <w:basedOn w:val="16"/>
    <w:qFormat/>
    <w:uiPriority w:val="0"/>
    <w:rPr>
      <w:rFonts w:ascii="宋体" w:eastAsia="宋体" w:cs="宋体"/>
      <w:color w:val="000000"/>
      <w:sz w:val="18"/>
      <w:szCs w:val="18"/>
      <w:u w:val="none"/>
    </w:rPr>
  </w:style>
  <w:style w:type="paragraph" w:customStyle="1" w:styleId="26">
    <w:name w:val="列出段落1"/>
    <w:basedOn w:val="1"/>
    <w:qFormat/>
    <w:uiPriority w:val="0"/>
    <w:pPr>
      <w:ind w:firstLine="200" w:firstLineChars="200"/>
    </w:pPr>
  </w:style>
  <w:style w:type="paragraph" w:customStyle="1" w:styleId="27">
    <w:name w:val="NormalIndent"/>
    <w:next w:val="11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28">
    <w:name w:val="font61"/>
    <w:basedOn w:val="16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29">
    <w:name w:val="font1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PSZX</Company>
  <Pages>68</Pages>
  <Words>6870</Words>
  <Characters>7495</Characters>
  <Lines>1</Lines>
  <Paragraphs>1</Paragraphs>
  <TotalTime>35</TotalTime>
  <ScaleCrop>false</ScaleCrop>
  <LinksUpToDate>false</LinksUpToDate>
  <CharactersWithSpaces>7501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2019-05-30T03:06:00Z</dcterms:created>
  <dc:creator>陈萍</dc:creator>
  <cp:lastModifiedBy>user</cp:lastModifiedBy>
  <cp:lastPrinted>2024-08-08T11:00:00Z</cp:lastPrinted>
  <dcterms:modified xsi:type="dcterms:W3CDTF">2025-09-08T17:27:27Z</dcterms:modified>
  <dc:title>区域性就业培训基地建设项目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DD1BDDEC5711854B28E3A768BB995D50_43</vt:lpwstr>
  </property>
  <property fmtid="{D5CDD505-2E9C-101B-9397-08002B2CF9AE}" pid="4" name="KSOTemplateDocerSaveRecord">
    <vt:lpwstr>eyJoZGlkIjoiZjRiMDkyYTk4ZWY2ZjRmNjBmODM1N2VhY2YxYzg1ZGUiLCJ1c2VySWQiOiI5MTE0MDA4OTIifQ==</vt:lpwstr>
  </property>
</Properties>
</file>