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A17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黑水县瓦钵梁子乡人民政府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val="en-US" w:eastAsia="zh-CN"/>
        </w:rPr>
        <w:t>(事业）</w:t>
      </w:r>
    </w:p>
    <w:p w14:paraId="7D554B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val="en-US" w:eastAsia="zh-CN"/>
        </w:rPr>
        <w:t>2024年整体支出绩效评价报告</w:t>
      </w:r>
    </w:p>
    <w:p w14:paraId="51DFF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szCs w:val="32"/>
          <w:shd w:val="clear" w:color="auto" w:fill="FFFFFF"/>
        </w:rPr>
      </w:pPr>
    </w:p>
    <w:p w14:paraId="6F3A3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一、单位概况</w:t>
      </w:r>
    </w:p>
    <w:p w14:paraId="3C066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（一）机构组成</w:t>
      </w:r>
    </w:p>
    <w:p w14:paraId="6CF1E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黑水县瓦钵梁子乡人民政府，统一社会信用代码：11513228008943206Y，机构地址：四川省阿坝州黑水县瓦钵梁子乡约窝村，法定代表人：张强，机构性质：机关。</w:t>
      </w:r>
    </w:p>
    <w:p w14:paraId="00AED8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 w14:paraId="13607D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 w14:paraId="21EEA5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 w14:paraId="0DE09C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、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 w14:paraId="4D263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5、经济发展和乡村振兴办公室，挂村</w:t>
      </w:r>
      <w:r>
        <w:rPr>
          <w:rFonts w:hint="eastAsia" w:ascii="仿宋_GB2312" w:hAnsi="仿宋" w:cs="仿宋_GB2312"/>
          <w:sz w:val="32"/>
          <w:szCs w:val="32"/>
          <w:lang w:eastAsia="zh-CN"/>
        </w:rPr>
        <w:t>乡</w:t>
      </w:r>
      <w:r>
        <w:rPr>
          <w:rFonts w:hint="eastAsia" w:ascii="仿宋_GB2312" w:hAnsi="仿宋" w:eastAsia="仿宋_GB2312" w:cs="仿宋_GB2312"/>
          <w:sz w:val="32"/>
          <w:szCs w:val="32"/>
        </w:rPr>
        <w:t>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 w14:paraId="40349A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6、生态环境和</w:t>
      </w:r>
      <w:r>
        <w:rPr>
          <w:rFonts w:hint="eastAsia" w:ascii="仿宋_GB2312" w:hAnsi="仿宋" w:cs="仿宋_GB2312"/>
          <w:sz w:val="32"/>
          <w:szCs w:val="32"/>
          <w:lang w:eastAsia="zh-CN"/>
        </w:rPr>
        <w:t>城乡</w:t>
      </w:r>
      <w:r>
        <w:rPr>
          <w:rFonts w:hint="eastAsia" w:ascii="仿宋_GB2312" w:hAnsi="仿宋" w:eastAsia="仿宋_GB2312" w:cs="仿宋_GB2312"/>
          <w:sz w:val="32"/>
          <w:szCs w:val="32"/>
        </w:rPr>
        <w:t>管理办公室。负责辖区内自然资源保护、生态环境保护、</w:t>
      </w:r>
      <w:r>
        <w:rPr>
          <w:rFonts w:hint="eastAsia" w:ascii="仿宋_GB2312" w:hAnsi="仿宋" w:cs="仿宋_GB2312"/>
          <w:sz w:val="32"/>
          <w:szCs w:val="32"/>
          <w:lang w:eastAsia="zh-CN"/>
        </w:rPr>
        <w:t>城乡</w:t>
      </w:r>
      <w:r>
        <w:rPr>
          <w:rFonts w:hint="eastAsia" w:ascii="仿宋_GB2312" w:hAnsi="仿宋" w:eastAsia="仿宋_GB2312" w:cs="仿宋_GB2312"/>
          <w:sz w:val="32"/>
          <w:szCs w:val="32"/>
        </w:rPr>
        <w:t>管理等工作。配合相关部门组织开展工业、生活、生产、经营、农业等污染的监督检查和防控整治工作，指导辖区内生态农业、牧业建设。负责辖区内水资源保护、水环境治理、节约用水、环境卫生管理等工作。参与重大生态破坏事件的调查处理。负责</w:t>
      </w:r>
      <w:r>
        <w:rPr>
          <w:rFonts w:hint="eastAsia" w:ascii="仿宋_GB2312" w:hAnsi="仿宋" w:cs="仿宋_GB2312"/>
          <w:sz w:val="32"/>
          <w:szCs w:val="32"/>
          <w:lang w:eastAsia="zh-CN"/>
        </w:rPr>
        <w:t>城乡</w:t>
      </w:r>
      <w:r>
        <w:rPr>
          <w:rFonts w:hint="eastAsia" w:ascii="仿宋_GB2312" w:hAnsi="仿宋" w:eastAsia="仿宋_GB2312" w:cs="仿宋_GB2312"/>
          <w:sz w:val="32"/>
          <w:szCs w:val="32"/>
        </w:rPr>
        <w:t>公用设施管理、秩序管理（户外广告空间资源和区位设置及外观形式等）、临时摊位和临时停车场的统规划及管理等。完成领导交办的其他工作。</w:t>
      </w:r>
    </w:p>
    <w:p w14:paraId="561D95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3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（二）机构职能</w:t>
      </w:r>
    </w:p>
    <w:p w14:paraId="0B8959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1、加强党的领导，抓好基层党建</w:t>
      </w:r>
    </w:p>
    <w:p w14:paraId="246F1C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 w14:paraId="132E3A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（2）履行党要管党、</w:t>
      </w:r>
      <w:r>
        <w:rPr>
          <w:rFonts w:hint="eastAsia" w:ascii="仿宋_GB2312" w:hAnsi="仿宋" w:cs="仿宋_GB2312"/>
          <w:sz w:val="32"/>
          <w:szCs w:val="32"/>
          <w:lang w:eastAsia="zh-CN"/>
        </w:rPr>
        <w:t>全面</w:t>
      </w:r>
      <w:r>
        <w:rPr>
          <w:rFonts w:hint="eastAsia" w:ascii="仿宋_GB2312" w:hAnsi="仿宋" w:eastAsia="仿宋_GB2312" w:cs="仿宋_GB2312"/>
          <w:sz w:val="32"/>
          <w:szCs w:val="32"/>
        </w:rPr>
        <w:t>从严治党责任，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 w14:paraId="1D9F0B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（3）讨论和决定辖区内政治建设、经济建设、文化建设、社会建设、生态文明建设、法制建设和党的建设以及乡村振兴中的重大问题。其他应当由党委讨论和决定的重大问题。</w:t>
      </w:r>
    </w:p>
    <w:p w14:paraId="1E3BA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 w14:paraId="41DA81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 w14:paraId="6F23E6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6）加强基层社会宣传、舆论引导、精神文明建设、统一战线工作，落实党管意识形态工作责任制，健全完善党建引领基层体系，强化基层治理平台建设，进一步增强党在农村的政治领导力、思想引领力、群众组织力、社会号召力。</w:t>
      </w:r>
    </w:p>
    <w:p w14:paraId="5AEB2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2、统筹经济发展，实施乡村振兴</w:t>
      </w:r>
    </w:p>
    <w:p w14:paraId="476C07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负责辖区经济发展工作，执行辖区内的经济和社会发展计划、预算。参与区域内土地利用、产业发展等规划编制，对区域内重大基础设施建设、重大公共服务资源布局、重大政策提出意见建议。落实辖区内发展规划、专项规划、区域规划、国土空间规划和“四好农村路”建设等。</w:t>
      </w:r>
    </w:p>
    <w:p w14:paraId="7227C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 w14:paraId="6E8BF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（3）指导农村经济发展，推动产业结构调整。保护各种经济组织的合法权益，营造良好的营商环境。</w:t>
      </w:r>
    </w:p>
    <w:p w14:paraId="620A9A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（4）落实财政保障和财政管理有关政策，统筹管理本级财务及集体资产，协助做好税收征管工作，指导、监管村级财务和资产管理工作等。</w:t>
      </w:r>
    </w:p>
    <w:p w14:paraId="624839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3、组织公共服务，着力改善民生</w:t>
      </w:r>
    </w:p>
    <w:p w14:paraId="11A3EF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（1）加强乡综合便民服务平台标准化建设，做好村（社区）服务配套设施和综合服务平台建设，提升便民服务质量。</w:t>
      </w:r>
    </w:p>
    <w:p w14:paraId="4FD47C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 w14:paraId="6BDF93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4、领导基层治理，维护社会治安</w:t>
      </w:r>
    </w:p>
    <w:p w14:paraId="5C8465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 w14:paraId="550175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 w14:paraId="7B7BE2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（3）指导村、村民自治，促进社会组织健康发展，完善村规民约，增强社会自治功能。</w:t>
      </w:r>
    </w:p>
    <w:p w14:paraId="798BA4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（4）负责国防教育，承担国防动员、征兵、民兵预备役、双拥等工作。</w:t>
      </w:r>
    </w:p>
    <w:p w14:paraId="42D9C2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（5）保障各少数民族的合法</w:t>
      </w:r>
      <w:r>
        <w:rPr>
          <w:rFonts w:hint="eastAsia" w:ascii="仿宋_GB2312" w:hAnsi="仿宋" w:cs="仿宋_GB2312"/>
          <w:sz w:val="32"/>
          <w:szCs w:val="32"/>
          <w:lang w:eastAsia="zh-CN"/>
        </w:rPr>
        <w:t>权利</w:t>
      </w:r>
      <w:r>
        <w:rPr>
          <w:rFonts w:hint="eastAsia" w:ascii="仿宋_GB2312" w:hAnsi="仿宋" w:eastAsia="仿宋_GB2312" w:cs="仿宋_GB2312"/>
          <w:sz w:val="32"/>
          <w:szCs w:val="32"/>
        </w:rPr>
        <w:t>和利益，尊重少数民族的风俗习惯。</w:t>
      </w:r>
    </w:p>
    <w:p w14:paraId="06508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（6）保障宪法和法律赋予妇女的男女平等、同工同酬和婚姻自由等各项权利。</w:t>
      </w:r>
    </w:p>
    <w:p w14:paraId="29B5D4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5、完成法律、法规、规章规定和上级交办的其他事项。</w:t>
      </w:r>
    </w:p>
    <w:p w14:paraId="1C0F8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3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（三）人员概况</w:t>
      </w:r>
    </w:p>
    <w:p w14:paraId="5ED77E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单位总编制32人，其中行政编制19人，事业编制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人，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行政工勤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人。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本单位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截至2024年底职工在编30人，公务员19人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，事业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人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,行政工勤2人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。</w:t>
      </w:r>
    </w:p>
    <w:p w14:paraId="33201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二、部门财政资金收支情况</w:t>
      </w:r>
    </w:p>
    <w:p w14:paraId="4669ED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3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（一）部门财政资金收入情况</w:t>
      </w:r>
    </w:p>
    <w:p w14:paraId="2F5A99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本单位本年度收入调整预算数为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万元，收入决算数为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万元，预算完成度为100.00%。本年度支出调整预算数为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万元，支出决算数为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万元，预算支出完成度为100.00%。</w:t>
      </w:r>
    </w:p>
    <w:p w14:paraId="4366D47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3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部门财政资金支出情况</w:t>
      </w:r>
    </w:p>
    <w:p w14:paraId="65C838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本单位本年度总收入为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万元。其中：一般公共预算财政拨款收入为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100.00%；政府性基金预算财政拨款收入为0.00万元，占比0.00%；国有资本经营预算财政拨款收入为0.00)万元，占比0.00%；上级补助收入为0.00万元，占比0.00%；事业收入为0.00万元，占比0.00%；经营收入为0.00万元，占比0.00%；附属单位上缴收入为0.00万元，占比0.00%；其他收入为0.00万元，占比0.00%。本年度总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hAnsi="仿宋" w:eastAsia="仿宋_GB2312" w:cs="仿宋_GB2312"/>
          <w:sz w:val="32"/>
          <w:szCs w:val="32"/>
        </w:rPr>
        <w:t>万元。其中：一般公共服务支出为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%；外交支出为0.00万元，占比0.00%；国防支出为0.00万元，占比0.00%；公共安全支出为0.00万元，占比0.00%；教育支出为0.00万元，占比0.00%；科学技术支出为0.00万元，占比0.00%；文化旅游体育与传媒支出为0.00万元，占比0.00%；社会保障和就业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22.38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8.49</w:t>
      </w:r>
      <w:r>
        <w:rPr>
          <w:rFonts w:hint="eastAsia" w:ascii="仿宋_GB2312" w:hAnsi="仿宋" w:eastAsia="仿宋_GB2312" w:cs="仿宋_GB2312"/>
          <w:sz w:val="32"/>
          <w:szCs w:val="32"/>
        </w:rPr>
        <w:t>%；卫生健康支出为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10.37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3.93</w:t>
      </w:r>
      <w:r>
        <w:rPr>
          <w:rFonts w:hint="eastAsia" w:ascii="仿宋_GB2312" w:hAnsi="仿宋" w:eastAsia="仿宋_GB2312" w:cs="仿宋_GB2312"/>
          <w:sz w:val="32"/>
          <w:szCs w:val="32"/>
        </w:rPr>
        <w:t>%；节能环保支出为0.00万元，占比0.00%；城乡社区支出为0.00万元，占比0.00%；农林水支出为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217.02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82.32</w:t>
      </w:r>
      <w:r>
        <w:rPr>
          <w:rFonts w:hint="eastAsia" w:ascii="仿宋_GB2312" w:hAnsi="仿宋" w:eastAsia="仿宋_GB2312" w:cs="仿宋_GB2312"/>
          <w:sz w:val="32"/>
          <w:szCs w:val="32"/>
        </w:rPr>
        <w:t>%；交通运输支出为0.00万元，占比0.00%；资源勘探工业信息等支出为0.00万元，占比0.00%；商业服务业等支出为0.00万元，占比0.00%；金融支出为0.00万元，占比0.00%；援助其他地区支出为0.00万元，占比0.00%；自然资源海洋气象等支出为0.00万元，占比0.00%；住房保障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13.85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5.25</w:t>
      </w:r>
      <w:r>
        <w:rPr>
          <w:rFonts w:hint="eastAsia" w:ascii="仿宋_GB2312" w:hAnsi="仿宋" w:eastAsia="仿宋_GB2312" w:cs="仿宋_GB2312"/>
          <w:sz w:val="32"/>
          <w:szCs w:val="32"/>
        </w:rPr>
        <w:t>%；粮油物资储备支出为0.00万元，占比0.00%；国有资本经营预算支出为0.00万元，占比0.00%；灾害防治及应急管理支出为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万元，占比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" w:eastAsia="仿宋_GB2312" w:cs="仿宋_GB2312"/>
          <w:sz w:val="32"/>
          <w:szCs w:val="32"/>
        </w:rPr>
        <w:t>%；其他支出为0.00万元，占比0.00%；债务还本支出为0.00万元，占比0.00%；债务付息支出为0.00万元，占比0.00%；抗疫特别国债安排的支出为0.00万元，占比0.00%。</w:t>
      </w:r>
    </w:p>
    <w:p w14:paraId="04D93CB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left="0" w:leftChars="0" w:firstLine="643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结余分配和结转结余情况</w:t>
      </w:r>
    </w:p>
    <w:p w14:paraId="1412DF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leftChars="200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瓦钵梁子乡2024年决算报表结转结余为0元。</w:t>
      </w:r>
    </w:p>
    <w:p w14:paraId="4C16C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 w14:paraId="28C1C0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65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63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</w:t>
      </w:r>
    </w:p>
    <w:p w14:paraId="10AAB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指标分值15分，自评得分15分。</w:t>
      </w:r>
    </w:p>
    <w:p w14:paraId="583DA3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一：基本支出，在职人员工资保险。目标完成情况，截止202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年底如期完成预算</w:t>
      </w:r>
      <w:r>
        <w:rPr>
          <w:rFonts w:hint="eastAsia"/>
          <w:color w:val="000000"/>
          <w:kern w:val="0"/>
          <w:szCs w:val="32"/>
          <w:shd w:val="clear" w:color="auto" w:fill="FFFFFF"/>
          <w:lang w:val="en-US" w:eastAsia="zh-CN"/>
        </w:rPr>
        <w:t>11</w:t>
      </w:r>
      <w:r>
        <w:rPr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 w14:paraId="28C93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23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181C4E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/>
          <w:szCs w:val="32"/>
        </w:rPr>
        <w:t>预算编制质量：</w:t>
      </w:r>
      <w:r>
        <w:rPr>
          <w:rFonts w:hint="eastAsia" w:ascii="仿宋_GB2312"/>
          <w:szCs w:val="32"/>
        </w:rPr>
        <w:t>本单位本年度预算完成度为100.00%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</w:rPr>
        <w:t>本年度预算支出完成度为100.00%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8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分。</w:t>
      </w:r>
    </w:p>
    <w:p w14:paraId="7473C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我单位不涉及该项指标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7BF583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支出执行进度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2024年</w:t>
      </w:r>
      <w:r>
        <w:rPr>
          <w:rFonts w:hint="eastAsia" w:ascii="仿宋_GB2312"/>
          <w:szCs w:val="32"/>
          <w:lang w:eastAsia="zh-CN"/>
        </w:rPr>
        <w:t>按期支付</w:t>
      </w:r>
      <w:r>
        <w:rPr>
          <w:rFonts w:hint="eastAsia" w:ascii="仿宋_GB2312"/>
          <w:szCs w:val="32"/>
        </w:rPr>
        <w:t>，</w:t>
      </w:r>
      <w:r>
        <w:rPr>
          <w:rFonts w:hint="eastAsia" w:ascii="仿宋_GB2312"/>
          <w:szCs w:val="32"/>
          <w:lang w:eastAsia="zh-CN"/>
        </w:rPr>
        <w:t>截止年底</w:t>
      </w:r>
      <w:r>
        <w:rPr>
          <w:rFonts w:hint="eastAsia" w:ascii="仿宋_GB2312"/>
          <w:szCs w:val="32"/>
        </w:rPr>
        <w:t>支付数据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/>
          <w:szCs w:val="32"/>
        </w:rPr>
        <w:t>万元，支付率100%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51E0BC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预算年终结余:2024年无结转结余。</w:t>
      </w:r>
      <w:r>
        <w:rPr>
          <w:rFonts w:hint="eastAsia" w:ascii="仿宋_GB2312"/>
          <w:szCs w:val="32"/>
          <w:lang w:val="zh-CN"/>
        </w:rPr>
        <w:t>指标分值2分，自评得分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27600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严控一般性支出</w:t>
      </w:r>
      <w:r>
        <w:rPr>
          <w:rFonts w:hint="eastAsia" w:ascii="仿宋_GB231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2ABE3F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413CCE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C9D19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财务岗位设置：我乡按照财务制度规定</w:t>
      </w:r>
      <w:r>
        <w:rPr>
          <w:rFonts w:hint="eastAsia"/>
          <w:color w:val="000000"/>
          <w:kern w:val="0"/>
          <w:szCs w:val="32"/>
          <w:shd w:val="clear" w:color="auto" w:fill="FFFFFF"/>
        </w:rPr>
        <w:t>,设立会计、出纳岗位，相互监督。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2746B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</w:pPr>
      <w:r>
        <w:rPr>
          <w:rFonts w:hint="eastAsia" w:ascii="仿宋_GB2312" w:cs="仿宋_GB2312"/>
          <w:szCs w:val="32"/>
        </w:rPr>
        <w:t>资金使用规范：本年度收到预算资金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cs="仿宋_GB2312"/>
          <w:szCs w:val="32"/>
        </w:rPr>
        <w:t>万元，实际使用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263.63</w:t>
      </w:r>
      <w:r>
        <w:rPr>
          <w:rFonts w:hint="eastAsia" w:ascii="仿宋_GB2312" w:cs="仿宋_GB231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43C09C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4134AB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人均资产变化率</w:t>
      </w:r>
      <w:r>
        <w:rPr>
          <w:rFonts w:hint="eastAsia"/>
          <w:color w:val="000000"/>
          <w:kern w:val="0"/>
          <w:szCs w:val="32"/>
          <w:shd w:val="clear" w:color="auto" w:fill="FFFFFF"/>
        </w:rPr>
        <w:t>=(期末人均资产-期初人均资产)/期初人均资产*100%。均符合相关规定，低于规定值。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2D0DC3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固定资产在用率。截止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43B7D6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资产盘活率。资产闲置0万元，资产盘活率达100%。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7685D4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1878CD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采购执行率：采购执行规范性，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3C8856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cs="仿宋_GB2312"/>
          <w:szCs w:val="32"/>
        </w:rPr>
        <w:t>支持中小企业发展。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61EED8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35分，自评得分35分。</w:t>
      </w:r>
    </w:p>
    <w:p w14:paraId="54D8AF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</w:rPr>
        <w:t>常</w:t>
      </w:r>
      <w:r>
        <w:rPr>
          <w:kern w:val="0"/>
          <w:szCs w:val="32"/>
          <w:shd w:val="clear" w:color="auto" w:fill="FFFFFF"/>
        </w:rPr>
        <w:t>年项目绩效分析。</w:t>
      </w:r>
    </w:p>
    <w:p w14:paraId="110608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66C78A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/>
        </w:rPr>
      </w:pPr>
      <w:r>
        <w:rPr>
          <w:rFonts w:hint="eastAsia"/>
          <w:color w:val="000000"/>
          <w:kern w:val="0"/>
          <w:szCs w:val="32"/>
          <w:shd w:val="clear" w:color="auto" w:fill="FFFFFF"/>
        </w:rPr>
        <w:t>决策程序;我乡从项目立项必要性、投入经济性、目标合理性、实施可行性、筹资合规性。</w:t>
      </w:r>
      <w:r>
        <w:rPr>
          <w:rFonts w:hint="eastAsia" w:ascii="仿宋_GB231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cs="仿宋"/>
          <w:szCs w:val="32"/>
          <w:lang w:val="zh-CN"/>
        </w:rPr>
        <w:t>确定项目实施。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2EBD0B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</w:pPr>
      <w:r>
        <w:rPr>
          <w:rFonts w:hint="eastAsia" w:ascii="仿宋_GB2312"/>
        </w:rPr>
        <w:t>项目入库；我乡按照项目建设要求在规定时间完成项目入库。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6E962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  <w:lang w:val="zh-CN"/>
        </w:rPr>
        <w:t>目标设置</w:t>
      </w:r>
      <w:r>
        <w:rPr>
          <w:rFonts w:hint="eastAsia" w:ascii="仿宋_GB2312"/>
          <w:szCs w:val="32"/>
        </w:rPr>
        <w:t>:</w:t>
      </w:r>
      <w:r>
        <w:rPr>
          <w:rFonts w:hint="eastAsia" w:ascii="仿宋_GB2312"/>
          <w:szCs w:val="32"/>
          <w:lang w:val="zh-CN"/>
        </w:rPr>
        <w:t>申报的</w:t>
      </w:r>
      <w:r>
        <w:rPr>
          <w:rFonts w:hint="eastAsia" w:ascii="仿宋_GB2312"/>
          <w:szCs w:val="32"/>
        </w:rPr>
        <w:t>资金项目内容</w:t>
      </w:r>
      <w:r>
        <w:rPr>
          <w:rFonts w:hint="eastAsia" w:ascii="仿宋_GB2312"/>
          <w:szCs w:val="32"/>
          <w:lang w:val="zh-CN"/>
        </w:rPr>
        <w:t>与具体实施内容相符的、申报目标是合理可行</w:t>
      </w:r>
      <w:r>
        <w:rPr>
          <w:rFonts w:hint="eastAsia" w:ascii="仿宋_GB2312" w:cs="仿宋"/>
          <w:szCs w:val="32"/>
          <w:lang w:val="zh-CN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238291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32699C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537ED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项目调整：按照县委资金分配，设立项目，未调整。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10B17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C0693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4676C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目标完成：项目从经济、社会、生态、可持续效益以及服务对象满意度等方面科学制定目标任务。截止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</w:rPr>
        <w:t>年年底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793D7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目标偏离：预算项目绩效目标数量指标实现程度与预期目标无偏离情况。各项目实际工作中达到预期的目标或标准，与设定的绩效目标之间不存在差异。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39AA6D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044D252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rPr>
          <w:rFonts w:eastAsia="楷体_GB2312"/>
          <w:b/>
          <w:bCs/>
          <w:szCs w:val="32"/>
          <w:lang w:val="zh-CN"/>
        </w:rPr>
      </w:pPr>
      <w:r>
        <w:rPr>
          <w:rFonts w:eastAsia="楷体_GB2312"/>
          <w:b/>
          <w:bCs/>
          <w:szCs w:val="32"/>
          <w:lang w:val="zh-CN"/>
        </w:rPr>
        <w:t>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 w14:paraId="5E9A08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b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年3月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日在黑水县人民政府信息公开网站上公开了《瓦钵梁子乡人民202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年预算编制说明》。202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年度瓦钵梁子乡人民政府部门决算编制说明》。</w:t>
      </w:r>
    </w:p>
    <w:p w14:paraId="10E147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 w14:paraId="38F7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rPr>
          <w:rFonts w:ascii="仿宋" w:eastAsia="仿宋" w:cs="??_GB231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??_GB2312"/>
          <w:szCs w:val="32"/>
        </w:rPr>
        <w:t>我乡严格对照评分标准，</w:t>
      </w:r>
      <w:r>
        <w:rPr>
          <w:rFonts w:ascii="仿宋" w:eastAsia="仿宋" w:cs="??_GB2312"/>
          <w:szCs w:val="32"/>
        </w:rPr>
        <w:t>202</w:t>
      </w:r>
      <w:r>
        <w:rPr>
          <w:rFonts w:hint="eastAsia" w:ascii="仿宋" w:eastAsia="仿宋" w:cs="??_GB2312"/>
          <w:szCs w:val="32"/>
        </w:rPr>
        <w:t>4年度财政部门整体支出绩效评价自评分数为97分（详情见附件）。</w:t>
      </w:r>
    </w:p>
    <w:p w14:paraId="725A7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 w14:paraId="36CABC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1、预算编制不够精确，财政资金紧张，存在中期调整取消资金的情况。</w:t>
      </w:r>
    </w:p>
    <w:p w14:paraId="76A5F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2、因本部门整体支出预算资金的安排及使用上有不可预见性。</w:t>
      </w:r>
    </w:p>
    <w:p w14:paraId="14DA7A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contextualSpacing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 w14:paraId="2137D4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一是重视绩效管理，切实履行好职责。努力提升工作绩效，围绕财政项目计划安排，合理使用财政资金，让财政监督职责发挥作用。</w:t>
      </w:r>
    </w:p>
    <w:p w14:paraId="4EBBA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 w14:paraId="6E3D3D40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4F35E7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szCs w:val="32"/>
        </w:rPr>
      </w:pPr>
      <w:r>
        <w:rPr>
          <w:color w:val="000000"/>
          <w:kern w:val="0"/>
          <w:szCs w:val="32"/>
          <w:shd w:val="clear" w:color="auto" w:fill="FFFFFF"/>
        </w:rPr>
        <w:t>附表：</w:t>
      </w:r>
      <w:r>
        <w:rPr>
          <w:rFonts w:hint="eastAsia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/>
          <w:szCs w:val="32"/>
        </w:rPr>
        <w:t>部门预算绩效自评打分表</w:t>
      </w:r>
    </w:p>
    <w:p w14:paraId="2E3A34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600" w:firstLineChars="500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szCs w:val="32"/>
        </w:rPr>
        <w:t>2.</w:t>
      </w:r>
      <w:r>
        <w:rPr>
          <w:color w:val="000000"/>
          <w:kern w:val="0"/>
          <w:szCs w:val="32"/>
          <w:shd w:val="clear" w:color="auto" w:fill="FFFFFF"/>
        </w:rPr>
        <w:t>部门整体绩效目标完成情况自评表</w:t>
      </w:r>
    </w:p>
    <w:p w14:paraId="72AFE151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1600" w:firstLineChars="500"/>
        <w:rPr>
          <w:rFonts w:ascii="Times New Roman"/>
        </w:rPr>
      </w:pPr>
      <w:r>
        <w:rPr>
          <w:rFonts w:hint="eastAsia"/>
          <w:color w:val="000000"/>
          <w:kern w:val="0"/>
          <w:shd w:val="clear" w:color="auto" w:fill="FFFFFF"/>
        </w:rPr>
        <w:t>3.</w:t>
      </w:r>
      <w:r>
        <w:rPr>
          <w:rFonts w:ascii="Times New Roman"/>
        </w:rPr>
        <w:t>部门预算项目支出绩效评价表（2024年度）</w:t>
      </w:r>
    </w:p>
    <w:p w14:paraId="79B10F97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4DB4C11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4A14989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1772F17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2C98F46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3C94437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22E80C9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10E873B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5AE05FFB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492395C2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3606C5FE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0A8CBA3C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 w14:paraId="488D3F3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</w:rPr>
      </w:pPr>
      <w:r>
        <w:rPr>
          <w:rFonts w:hint="eastAsia" w:ascii="Times New Roman"/>
        </w:rPr>
        <w:t>附件1</w:t>
      </w:r>
    </w:p>
    <w:tbl>
      <w:tblPr>
        <w:tblStyle w:val="15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7553"/>
        <w:gridCol w:w="455"/>
        <w:gridCol w:w="549"/>
      </w:tblGrid>
      <w:tr w14:paraId="24CA8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0D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D3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8"/>
                <w:szCs w:val="48"/>
              </w:rPr>
            </w:pP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8"/>
                <w:szCs w:val="48"/>
              </w:rPr>
              <w:t>部门预算绩效评价指标体系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1DC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8"/>
                <w:szCs w:val="4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68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</w:p>
        </w:tc>
      </w:tr>
    </w:tbl>
    <w:p w14:paraId="4E85B341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tbl>
      <w:tblPr>
        <w:tblStyle w:val="15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699"/>
        <w:gridCol w:w="703"/>
        <w:gridCol w:w="456"/>
        <w:gridCol w:w="1485"/>
        <w:gridCol w:w="936"/>
        <w:gridCol w:w="3167"/>
        <w:gridCol w:w="456"/>
        <w:gridCol w:w="456"/>
      </w:tblGrid>
      <w:tr w14:paraId="0B699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B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绩效评价指标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指标分值</w:t>
            </w: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82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3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C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评分方法</w:t>
            </w:r>
          </w:p>
        </w:tc>
        <w:tc>
          <w:tcPr>
            <w:tcW w:w="18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C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评分说明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99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7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 w14:paraId="4C7D8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74C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727F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BC0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6A4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5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D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6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4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1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 w14:paraId="595E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665FD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4236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F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48A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F10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 w14:paraId="5049D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D2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（65分）</w:t>
            </w: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56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3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在职人员工资保险履职效果</w:t>
            </w:r>
          </w:p>
        </w:tc>
        <w:tc>
          <w:tcPr>
            <w:tcW w:w="18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2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C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部门整体绩效目标中选定3-5个核心职能目标，反映该项职能目标完成效果情况</w:t>
            </w:r>
          </w:p>
        </w:tc>
        <w:tc>
          <w:tcPr>
            <w:tcW w:w="3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C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4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我单位2023年如期完成项目指标内容，最终项指标得分=3÷3×100%×15=15核心职能目标一：基本支出，在职人员工资保险。目标完成情况，截止2024年底我单位如期完成预算30人全年工资保险发放。该资金开支范围、标准及支付进度，支付依据合规合法，资金支付与绩效目标相符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核心职能目标二：项目支出，基础组织运行及公共运行维护费。目标完成情况，截止2024年底我单位如期完成4个村日常办公费8万元，维修维护费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25.53万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元支付。该资金开支范围、标准及支付进度，支付依据合规合法，资金支付与预算相符。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核心职能目标三：项目支出，村干部工资保险。目标完成情况，截止2024年底我单位如期完成4个村33名村干部全年工资绩效发放。该资金开支范围、标准及支付进度，支付依据合规合法，资金支付与预算相符。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C8E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53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3044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F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F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E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基础组织运行及公共运行维护费履职效果</w:t>
            </w:r>
          </w:p>
        </w:tc>
        <w:tc>
          <w:tcPr>
            <w:tcW w:w="18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0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6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8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F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E0C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C63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E00C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0D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2D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9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村干部工资保险履职效果</w:t>
            </w:r>
          </w:p>
        </w:tc>
        <w:tc>
          <w:tcPr>
            <w:tcW w:w="18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E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A5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F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4FA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510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F7DB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F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C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32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1B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47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部门是否严格按要求编制年初部门预算，年初预算编制的科学性和准确性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8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A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该项指标得分=（1-财政拨款预算偏离度）×100%×4+（1-资产配置预算偏离度）×100%×2+（1-政府采购预算偏离度）×100%×2。偏离度=|预算执行数-年初预算数|÷年初预算数。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ADD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D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3E90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3E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2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C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4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3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部门统筹自有收入程度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3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D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该项指标得分=（部门自有收入全年执行数÷部门自有收入年初预算数）×100%×2+（财政核定的综合补助比例÷按实际执行测算的综合补助比例）×100%×2。我单位该指标不涉及。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BFC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7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0C18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6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41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3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支出执行进度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EC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C2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部门1至6月、1至10月预算执行情况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1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A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该项指标得分=（1至6月预算执行数÷（部门预算数×50%）×2）+（1-1至6月支出预警金额占比×0.8-1至6月支出违规金额占比×0.2）+（1至10月预算执行数÷（部门预算数×83.33%）×2）+（1-1至10月支出预警金额占比×0.8-1至10月支出违规金额占比×0.2）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E74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8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C0DE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7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9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3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2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9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部门整体年终预算结余情况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3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6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该项指标得分=（1-部门整体预算结余率）×100%×2。部门整体预算结余率为当年年终部门预算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销金额和结转金额占部门预算总金额的比率。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32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9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3D82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C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2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45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0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2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09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该项指标得分=基础分值+加分值。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1.基础分值。一般性支出财政拨款年初预算较上年实现压减得1分；一般性支出财政拨款预算执行较上年实现压减得1分。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2.加分值。一般性支出财政拨款年初预算较上年每压减1%得0.2分，累计不超过1分；一般性支出财政拨款预算执行较上年每压减1%得0.4分，累计不超过2分。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F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70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981E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D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A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73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7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A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部门财务管理制度建立情况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4A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A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部门已制定内部财务管理制度等制度机制的，得2分。财务管理制度得到落实，得2分。否则该项不得分。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6D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5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52E5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4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E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4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A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BC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部门财务岗位设置是否符合相关财务管理制度要求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7A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28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部门合理设置财务工作岗位，明确职责权限，并严格实行不相容岗位分离的，得2分。否则该项不得分。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2FD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1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6802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40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B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A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2B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16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部门资金使用是否符合相关财务管理制度规定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3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7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部门资金使用不符合相关财务管理制度规定的，发现一处扣1分，扣完为止。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C32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F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60D5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0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80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E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F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6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部门人均资产变化情况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E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D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人均资产变化率为X，省直行政事业单位人均资产变化率为N，则：X≤N，得1.5分；N＜X≤1.2N，得0.9分；1.2N＜X≤1.4N，得0.6分；X＞1.4N，得0.3分。部门人均资产增长率为X，同期省级财政收入增长率为N，则：X≤0，得1.5分；0＜X≤N，得0.9分；N＜X≤2N，得0.6分；X＞2N，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D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F9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A2B8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A1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5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C5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2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3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部门资产超最低使用年限情况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8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F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办公家具超最低使用年限资产利用率=超最低使用年限的办公家具账面价值÷办公家具账面价值×100%。办公家具超最低使用年限资产利用率为X，省直行政事业单位平均值为N，则：X＞N，得1.5分；0.8N＜X≤N，得0.9分；0.6N＜X≤0.8N，得0.6分；X≤0.6N，得0.3分。部门办公设备超最低使用年限资产利用率=超最低使用年限的办公设备账面价值÷办公设备账面价值×100%。办公设备超最低使用年限资产利用率为X，省直行政事业单位平均值为N，则：X＞N，得1.5分；0.8N＜X≤N，得0.9分；0.6N＜X≤0.8N，得0.6分；X≤0.6N，得0.3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1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5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13E8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1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（65分）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3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53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A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62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部门闲置一年以上的资产盘活情况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5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7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闲置资产占比变化率=(本年闲置资产账面价值÷本年总资产账面价值)÷(上一年度闲置资产账面价值÷上一年度总资产账面价值)×100%，变化率在60%以下的得2.4分，60%-80%的得1.8分，80-100%的得1.2分，100%以上的不得分。两年均无闲置资产或上年度有闲置资产评价年度无闲置资产的，该项指标得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8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B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EA9C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38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4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7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55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0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部门是否严格执行政府采购促进中小企业发展相关管理办法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0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2B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对适宜由中小企业提供的采购项目和采购包，预留采购份额专门面向中小企业采购，并在采购预算中单独列示，不符合要求的扣3分。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14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6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A9DB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DA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5B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3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9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6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部门政府采购项目资金支付比例情况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A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B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该项指标得分=当年政府采购实际支付总金额÷（当年政府采购总预算数-当年已完成采购项目节约金额）×100%×3。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0DC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4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7B15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A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（35分）</w:t>
            </w: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DF7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3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1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4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部门预算项目设立是否按规定履行评估论证、申报程序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1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1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部门未履行事前评估程序的部门预算阶段项目（含一次性项目）数量÷部门预算阶段项目（含一次性项目）总数×100%×4。抽评的部门预算阶段项目（含一次性项目）总数10个以下的全部纳入，每增加5个多纳入1个，最多不超过30个，下同。若无部门预算阶段项目（含一次性项目），则主要查看部门预算项目整体决策程序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2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F5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8FC8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18C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1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2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07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A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F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绩效目标与计划期内的任务量、预算安排不相匹配的部门预算阶段项目（含一次性项目）数量÷部门预算阶段项目（含一次性项目）总数×100%×4。若无部门预算阶段项目（含一次性项目），则抽评涉及核心业务、资金量大的其他部门预算项目，下同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8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9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8232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9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40C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1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E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7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部门预算项目是否在规定时间完成项目入库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5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F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该项指标得分=4-规定时间未入财政库部门预算阶段项目（含一次性项目）数量÷最终安排部门预算阶段项目（含一次性项目）总数×100%×4。规定时间以当年9月30日为准。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14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8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B9FF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B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BAF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1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C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1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部门预算项目实际列支内容是否与绩效目标设置方向相符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A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F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该项指标得分=4-实际列支内容与绩效目标设置方向不相符的部门预算阶段项目（含一次性项目）数量÷部门预算阶段项目（含一次性项目）总数×100%×4。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B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4F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520A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6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FA3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5E9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D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4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部门预算项目是否采取对应调整措施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A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B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该项指标得分=4-应采取未采取收回预算、调整目标等处置措施的部门预算阶段项目（含一次性项目）数量÷应采取收回预算、调整目标等处置措施的部门预算阶段项目（含一次性项目）总数×100%×4。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3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5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A66B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7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A7DC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1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A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部门预算项目预算执行情况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41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8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该项指标得分=预算结余率小于10%的常年项目数量÷部门预算常年项目总数×100%×2+预算结余率小于10%的一次性项目和阶段项目数量÷部门预算一次性项目和阶段项目总数×100%×2。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8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A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57C0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25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9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7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81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A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部门预算项目绩效目标数量指标完成情况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1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B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该项指标得分=完成绩效目标数量指标的部门预算阶段项目（含一次性项目）数量÷部门预算阶段项目（含一次性项目）总数×100%×4。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E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A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764E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F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0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B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5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26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部门预算项目绩效目标数量指标实现程度与预期目标的偏离情况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2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C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已完成预期指标值的数量指标中偏离度在30%内的指标个数÷已完成预期指标值的数量指标个数×100%×4。偏离度=|（绩效指标实际完成值-设定预期指标值）÷设定预期指标值|。部门预算阶段项目（含一次性项目）绩效目标实际完成值偏离预期指标30%以上（含30%）的，不计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D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C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2A26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F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6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E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0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2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部门预算项目绩效目标效益指标实施效果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6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A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该项指标得分=完成绩效目标效益指标的部门预算阶段项目（含一次性项目）数量÷部门预算阶段项目（含一次性项目）总数×100%×3。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E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4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AD36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4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8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预算绩效存在问题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1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7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预算管理和绩效管理工作存在问题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1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0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依据评价年度人大监督、巡视巡察、审计监督、财会监督等结果以及评价指标体系涉及的履职效果、预算管理、财务管理、资产管理、采购管理、项目绩效等方面出现的问题，每有一个问题点扣1分，扣完为止。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2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4E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A7B3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8F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8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66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C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被评价对象工作配合情况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7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B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评价工作开展过程中，被评价对象拖延推诿、提交资料不及时等拒不配合评价工作的，每发现一次扣1分，扣完为止。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4A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D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27F200C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09A653CF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5F2A1CD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142901CC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0B57A21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246E891F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55B7681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7DA9C5D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3A013DF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66650D29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67B831B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0A590EC1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5C60E1B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3BB95E1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2F633669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2D57BA99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489A1AC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 w14:paraId="1A1587B7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  <w:r>
        <w:rPr>
          <w:rFonts w:hint="eastAsia" w:ascii="Times New Roman" w:eastAsia="黑体"/>
          <w:sz w:val="24"/>
          <w:szCs w:val="24"/>
        </w:rPr>
        <w:t>附件2</w:t>
      </w:r>
    </w:p>
    <w:tbl>
      <w:tblPr>
        <w:tblStyle w:val="15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154"/>
        <w:gridCol w:w="1160"/>
        <w:gridCol w:w="1778"/>
        <w:gridCol w:w="922"/>
        <w:gridCol w:w="1076"/>
        <w:gridCol w:w="689"/>
        <w:gridCol w:w="545"/>
        <w:gridCol w:w="822"/>
      </w:tblGrid>
      <w:tr w14:paraId="0A68A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89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0"/>
                <w:szCs w:val="30"/>
              </w:rPr>
              <w:t>部门整体支出绩效目标表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5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6D44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FE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（2024年度）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AB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DA1F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9B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金额单位：万元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7B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1F37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67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部门名称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8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</w:tr>
      <w:tr w14:paraId="57DEE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D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年度部门整体支出预算</w:t>
            </w: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E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资金总额</w:t>
            </w:r>
          </w:p>
        </w:tc>
        <w:tc>
          <w:tcPr>
            <w:tcW w:w="14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E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财政拨款</w:t>
            </w:r>
          </w:p>
        </w:tc>
        <w:tc>
          <w:tcPr>
            <w:tcW w:w="17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6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</w:tr>
      <w:tr w14:paraId="21DFA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1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C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1499.25</w:t>
            </w:r>
          </w:p>
        </w:tc>
        <w:tc>
          <w:tcPr>
            <w:tcW w:w="14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D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1499.25</w:t>
            </w:r>
          </w:p>
        </w:tc>
        <w:tc>
          <w:tcPr>
            <w:tcW w:w="17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3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69E5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4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449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1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2024年我乡将紧紧围绕县委、县政府决策部署，以习近平新时代中国特色社会主义思想为指引，围绕经济发展、乡村振兴、民生工程等重点工作，不忘初心、牢记使命、提振精神、加压奋进，争取各项工作实现新突破。 </w:t>
            </w:r>
          </w:p>
        </w:tc>
      </w:tr>
      <w:tr w14:paraId="6DF39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0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年度主要任务</w:t>
            </w: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9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任务名称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B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主要内容</w:t>
            </w:r>
          </w:p>
        </w:tc>
      </w:tr>
      <w:tr w14:paraId="39A89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1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5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加强意识形态，牢牢掌握意识形态工作领导权。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A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一是加强思想政治引领，不断提高党员干部学习力。二是严格落实意识形态工作责任制，不断增强党的领导力。三是加强意识形态阵地管控，不断增强党的创造力。</w:t>
            </w:r>
          </w:p>
        </w:tc>
      </w:tr>
      <w:tr w14:paraId="44594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1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D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加强作风建设，扎实推进党员干部党风廉政建设 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66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以公平正直的态度讲法治。以风清气正的维度讲廉政。</w:t>
            </w:r>
          </w:p>
        </w:tc>
      </w:tr>
      <w:tr w14:paraId="27D35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E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1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加大防范力度，扎实推进森林草原防灭火工作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9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全面筑牢森林草原防灭火屏障。</w:t>
            </w:r>
          </w:p>
        </w:tc>
      </w:tr>
      <w:tr w14:paraId="616A5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7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加强组织建设，充分发挥基层党组织战斗堡垒作用。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D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发挥党委“领头羊”的作用，做到班子团结，工作认真，努力建设廉洁、高效的党委政府。二是加强基层党支部建设。以加强基层党支部的执政能力建设为重点，提高基层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党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支部党员的党风党纪，进一步激发基层党组织活力，发挥基层党组织战斗堡垒作用。三是加强村党支部书记队伍建设。充分发挥村支部书记抓党建的关键作用。年内各村党支部书记进行一次集中培训，增强村党支部书记抓好党建、促进发展、联系群众的意识，提高村党支部书记的工作能力。 </w:t>
            </w:r>
          </w:p>
        </w:tc>
      </w:tr>
      <w:tr w14:paraId="02050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B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FB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加强项目推进，促进全乡各项事业再上新台阶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B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强化重点项目支撑引领。</w:t>
            </w:r>
          </w:p>
        </w:tc>
      </w:tr>
      <w:tr w14:paraId="137BD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2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年度绩效指标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B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3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E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D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绩效指标性质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18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绩效指标值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F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绩效度量单位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C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6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实际完成指标值</w:t>
            </w:r>
          </w:p>
        </w:tc>
      </w:tr>
      <w:tr w14:paraId="0CD15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1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A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8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8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村级运行费用预计项目安排个数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6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F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51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1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B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4个</w:t>
            </w:r>
          </w:p>
        </w:tc>
      </w:tr>
      <w:tr w14:paraId="5721E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6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1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5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0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发放</w:t>
            </w:r>
            <w:bookmarkStart w:id="0" w:name="_GoBack"/>
            <w:bookmarkEnd w:id="0"/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村干部报酬、保险人数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5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4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D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1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3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33人</w:t>
            </w:r>
          </w:p>
        </w:tc>
      </w:tr>
      <w:tr w14:paraId="707EC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A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8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8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9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发放全乡职工报酬、保险人数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F3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C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7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E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C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30人</w:t>
            </w:r>
          </w:p>
        </w:tc>
      </w:tr>
      <w:tr w14:paraId="7FDE7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0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B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0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0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开展常态化返贫风险监测户数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8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9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661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5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户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B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F8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661户</w:t>
            </w:r>
          </w:p>
        </w:tc>
      </w:tr>
      <w:tr w14:paraId="4D1BC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3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0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D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6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开展志愿服务活动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5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B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3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B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1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10次</w:t>
            </w:r>
          </w:p>
        </w:tc>
      </w:tr>
      <w:tr w14:paraId="36AF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3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4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6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4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全乡各类政策宣传次数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5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A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2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B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7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5次</w:t>
            </w:r>
          </w:p>
        </w:tc>
      </w:tr>
      <w:tr w14:paraId="4930F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0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F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5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6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推进重点项目数量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5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1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B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C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8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</w:tr>
      <w:tr w14:paraId="60935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E2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C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A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9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召开乡级人民代表大会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5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1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1D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F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1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2次</w:t>
            </w:r>
          </w:p>
        </w:tc>
      </w:tr>
      <w:tr w14:paraId="22ED2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A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7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8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C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F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F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5A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5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B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 w14:paraId="74FC0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2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7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7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8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项目完成时间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C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0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5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E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C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12月</w:t>
            </w:r>
          </w:p>
        </w:tc>
      </w:tr>
      <w:tr w14:paraId="45405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7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8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7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51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提升乡镇综合管理能力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4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B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92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A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7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90%</w:t>
            </w:r>
          </w:p>
        </w:tc>
      </w:tr>
      <w:tr w14:paraId="524B5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32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F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A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E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村民满意度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5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8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2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0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98%</w:t>
            </w:r>
          </w:p>
        </w:tc>
      </w:tr>
    </w:tbl>
    <w:p w14:paraId="0437F09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3EB1C418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6D68A01E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243DAD0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3EABD38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038A6DA1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7DE5928A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69E0D115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126D952F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5BDA4AD4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 w14:paraId="160A3E46">
      <w:pPr>
        <w:keepNext w:val="0"/>
        <w:keepLines w:val="0"/>
        <w:pageBreakBefore w:val="0"/>
        <w:tabs>
          <w:tab w:val="left" w:pos="1351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</w:pPr>
      <w:r>
        <w:rPr>
          <w:rFonts w:hint="eastAsia"/>
        </w:rPr>
        <w:t>附件3：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66"/>
        <w:gridCol w:w="983"/>
        <w:gridCol w:w="1297"/>
        <w:gridCol w:w="400"/>
        <w:gridCol w:w="928"/>
        <w:gridCol w:w="396"/>
        <w:gridCol w:w="846"/>
        <w:gridCol w:w="486"/>
        <w:gridCol w:w="486"/>
        <w:gridCol w:w="1497"/>
      </w:tblGrid>
      <w:tr w14:paraId="4CC81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0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 w14:paraId="2FA7B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5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84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51322824T000010635399-乡综合服务设施项目改造提升</w:t>
            </w:r>
          </w:p>
        </w:tc>
      </w:tr>
      <w:tr w14:paraId="16574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9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2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D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53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36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9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黑水县瓦钵乡人民政府（事业）</w:t>
            </w:r>
          </w:p>
        </w:tc>
      </w:tr>
      <w:tr w14:paraId="7E54F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F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6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9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2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B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8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C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 w14:paraId="1DBB5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2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5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21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1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完成包含便民服务中心、办公室、职工之家、公共浴室、职工住宿功能区的装修装饰，进一步改善办公条件和职工居住条件。</w:t>
            </w:r>
          </w:p>
        </w:tc>
        <w:tc>
          <w:tcPr>
            <w:tcW w:w="182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F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 w14:paraId="6E12F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8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3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3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3828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0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2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F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0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9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CE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0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B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 w14:paraId="35B57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A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4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A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8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02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8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1F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0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5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 w14:paraId="1F939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0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96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8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4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A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0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3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A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FC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 w14:paraId="7657E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0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E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0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94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9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C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1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9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5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 w14:paraId="1FED9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1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4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0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5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7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22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2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C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7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 w14:paraId="1C37F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2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A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7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E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C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C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5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5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82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1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 w14:paraId="15A92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6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1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7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5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C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4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E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77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E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9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 w14:paraId="1A307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7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0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5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0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0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建设达标宿舍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2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14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7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处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8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8E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3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7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3801B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1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1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4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9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建设标准化便民服务中心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2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5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D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9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A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44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5D31E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5B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3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8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C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装修装饰面积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E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8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785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F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C1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785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6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A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D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47515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A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F0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C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6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竣工验收合格率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E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F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C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2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4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4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5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6EDF9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98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A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1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0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项目完工时间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F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2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B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E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0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8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D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0622B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0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34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B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4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提升便民服务率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B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F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5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1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9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6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5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38A6E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8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9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3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群众、职工满意度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0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1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9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7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B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0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3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 w14:paraId="04E8D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638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1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1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B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0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A6A2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3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5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 w14:paraId="6DE43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2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 w14:paraId="2B0C4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5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68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B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 w14:paraId="54CD1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4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5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55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 w14:paraId="3B072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6E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8E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E2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39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DE8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20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B4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2B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49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E3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2D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7F4BA56C">
      <w:pPr>
        <w:keepNext w:val="0"/>
        <w:keepLines w:val="0"/>
        <w:pageBreakBefore w:val="0"/>
        <w:tabs>
          <w:tab w:val="left" w:pos="1351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41923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08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012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14:paraId="541DE7BC">
                          <w:pPr>
                            <w:pStyle w:val="10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00E42DAA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9D0hbXAAAABAEAAA8AAAAAAAAAAQAgAAAAIgAA&#10;AGRycy9kb3ducmV2LnhtbFBLAQIUABQAAAAIAIdO4kAcitVRCQIAAAIEAAAOAAAAAAAAAAEAIAAA&#10;ACYBAABkcnMvZTJvRG9jLnhtbFBLBQYAAAAABgAGAFkBAACh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541DE7BC">
                    <w:pPr>
                      <w:pStyle w:val="10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 w14:paraId="00E42DAA"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67504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60339"/>
    <w:multiLevelType w:val="singleLevel"/>
    <w:tmpl w:val="39F603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0060CFE"/>
    <w:rsid w:val="00213CF6"/>
    <w:rsid w:val="005C7D51"/>
    <w:rsid w:val="00A63199"/>
    <w:rsid w:val="00C34800"/>
    <w:rsid w:val="01585783"/>
    <w:rsid w:val="01BD29C8"/>
    <w:rsid w:val="02025461"/>
    <w:rsid w:val="03F82FC0"/>
    <w:rsid w:val="040C05A4"/>
    <w:rsid w:val="06B74A9B"/>
    <w:rsid w:val="06C12F67"/>
    <w:rsid w:val="07A37A10"/>
    <w:rsid w:val="07EA141D"/>
    <w:rsid w:val="081A225E"/>
    <w:rsid w:val="08646E76"/>
    <w:rsid w:val="08A162D5"/>
    <w:rsid w:val="08AE049D"/>
    <w:rsid w:val="099C43EE"/>
    <w:rsid w:val="09ED5DAA"/>
    <w:rsid w:val="0CA248E3"/>
    <w:rsid w:val="0CF837EB"/>
    <w:rsid w:val="0DAE3513"/>
    <w:rsid w:val="0DBA7DB7"/>
    <w:rsid w:val="0FEB39D9"/>
    <w:rsid w:val="10234F21"/>
    <w:rsid w:val="16B65F5A"/>
    <w:rsid w:val="177E2113"/>
    <w:rsid w:val="1A997F2F"/>
    <w:rsid w:val="1AC82188"/>
    <w:rsid w:val="1C3F1C36"/>
    <w:rsid w:val="1CBF5FD1"/>
    <w:rsid w:val="1E201112"/>
    <w:rsid w:val="1F262884"/>
    <w:rsid w:val="1F4D3D68"/>
    <w:rsid w:val="1FB5190D"/>
    <w:rsid w:val="1FE47C93"/>
    <w:rsid w:val="20254A06"/>
    <w:rsid w:val="20FC6049"/>
    <w:rsid w:val="222E44B2"/>
    <w:rsid w:val="2389558B"/>
    <w:rsid w:val="247D6215"/>
    <w:rsid w:val="24EF1412"/>
    <w:rsid w:val="25434489"/>
    <w:rsid w:val="262122BC"/>
    <w:rsid w:val="271635D9"/>
    <w:rsid w:val="27C052F3"/>
    <w:rsid w:val="27DF39CB"/>
    <w:rsid w:val="283F090E"/>
    <w:rsid w:val="29F0536A"/>
    <w:rsid w:val="2B20072F"/>
    <w:rsid w:val="2D4C0DDD"/>
    <w:rsid w:val="2D776B6B"/>
    <w:rsid w:val="2D7B23E8"/>
    <w:rsid w:val="2F0401BB"/>
    <w:rsid w:val="2F117C09"/>
    <w:rsid w:val="2FA84FEB"/>
    <w:rsid w:val="303B7C0D"/>
    <w:rsid w:val="32803FFD"/>
    <w:rsid w:val="32C739DA"/>
    <w:rsid w:val="34DA52F0"/>
    <w:rsid w:val="35150A2C"/>
    <w:rsid w:val="36256E14"/>
    <w:rsid w:val="37E34E12"/>
    <w:rsid w:val="38683569"/>
    <w:rsid w:val="39AB5580"/>
    <w:rsid w:val="3B0F4170"/>
    <w:rsid w:val="3B1A7A2C"/>
    <w:rsid w:val="3B482C8F"/>
    <w:rsid w:val="3B4C2CCE"/>
    <w:rsid w:val="3C055EE8"/>
    <w:rsid w:val="3C357C06"/>
    <w:rsid w:val="3C5E715D"/>
    <w:rsid w:val="3C70304D"/>
    <w:rsid w:val="3DB65202"/>
    <w:rsid w:val="3E467EA9"/>
    <w:rsid w:val="3F5465F5"/>
    <w:rsid w:val="3FD17940"/>
    <w:rsid w:val="3FFC1AB1"/>
    <w:rsid w:val="40907B01"/>
    <w:rsid w:val="41570C59"/>
    <w:rsid w:val="41E31B9C"/>
    <w:rsid w:val="42832017"/>
    <w:rsid w:val="438E1A43"/>
    <w:rsid w:val="44B73BE0"/>
    <w:rsid w:val="47985D97"/>
    <w:rsid w:val="485C5EC2"/>
    <w:rsid w:val="49292CBC"/>
    <w:rsid w:val="495530D2"/>
    <w:rsid w:val="4B6422B6"/>
    <w:rsid w:val="4D1A2153"/>
    <w:rsid w:val="4EDE412D"/>
    <w:rsid w:val="4FC926E8"/>
    <w:rsid w:val="4FCD72D2"/>
    <w:rsid w:val="50615016"/>
    <w:rsid w:val="50EC24C8"/>
    <w:rsid w:val="51C47ACD"/>
    <w:rsid w:val="521F6F37"/>
    <w:rsid w:val="526A046E"/>
    <w:rsid w:val="53B92A73"/>
    <w:rsid w:val="54280CE4"/>
    <w:rsid w:val="558F7F2F"/>
    <w:rsid w:val="571511AC"/>
    <w:rsid w:val="5818420C"/>
    <w:rsid w:val="583077E2"/>
    <w:rsid w:val="5A85172D"/>
    <w:rsid w:val="5B7F0083"/>
    <w:rsid w:val="5D3E4715"/>
    <w:rsid w:val="5D861C18"/>
    <w:rsid w:val="5EDA6F3C"/>
    <w:rsid w:val="63070BFB"/>
    <w:rsid w:val="63D60815"/>
    <w:rsid w:val="654359FF"/>
    <w:rsid w:val="65D25593"/>
    <w:rsid w:val="66D439F4"/>
    <w:rsid w:val="675C43FC"/>
    <w:rsid w:val="683C2412"/>
    <w:rsid w:val="6D1B5B49"/>
    <w:rsid w:val="6D315ADF"/>
    <w:rsid w:val="6D7E46BA"/>
    <w:rsid w:val="6EA6064E"/>
    <w:rsid w:val="7077616F"/>
    <w:rsid w:val="716A38D3"/>
    <w:rsid w:val="72A51C4F"/>
    <w:rsid w:val="72BF19FC"/>
    <w:rsid w:val="734819F2"/>
    <w:rsid w:val="74E4399C"/>
    <w:rsid w:val="750D2EF3"/>
    <w:rsid w:val="751E18AC"/>
    <w:rsid w:val="78A3539C"/>
    <w:rsid w:val="7AE0603D"/>
    <w:rsid w:val="7B10579A"/>
    <w:rsid w:val="7CE46E89"/>
    <w:rsid w:val="7D162B61"/>
    <w:rsid w:val="7DA84FE4"/>
    <w:rsid w:val="7E953898"/>
    <w:rsid w:val="FF7C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table of figures"/>
    <w:basedOn w:val="1"/>
    <w:next w:val="1"/>
    <w:qFormat/>
    <w:uiPriority w:val="0"/>
    <w:pPr>
      <w:ind w:left="400" w:leftChars="200" w:hanging="200" w:hangingChars="200"/>
    </w:pPr>
    <w:rPr>
      <w:szCs w:val="32"/>
    </w:rPr>
  </w:style>
  <w:style w:type="paragraph" w:styleId="14">
    <w:name w:val="Body Text First Indent 2"/>
    <w:basedOn w:val="8"/>
    <w:qFormat/>
    <w:uiPriority w:val="0"/>
    <w:pPr>
      <w:ind w:firstLine="200" w:firstLineChars="200"/>
    </w:p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paragraph" w:customStyle="1" w:styleId="19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0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1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2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6">
    <w:name w:val="列出段落1"/>
    <w:basedOn w:val="1"/>
    <w:qFormat/>
    <w:uiPriority w:val="0"/>
    <w:pPr>
      <w:ind w:firstLine="200" w:firstLineChars="200"/>
    </w:pPr>
  </w:style>
  <w:style w:type="paragraph" w:customStyle="1" w:styleId="27">
    <w:name w:val="NormalIndent"/>
    <w:next w:val="1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8">
    <w:name w:val="font61"/>
    <w:basedOn w:val="16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9">
    <w:name w:val="font1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31</Pages>
  <Words>6079</Words>
  <Characters>6498</Characters>
  <Lines>1</Lines>
  <Paragraphs>1</Paragraphs>
  <TotalTime>26</TotalTime>
  <ScaleCrop>false</ScaleCrop>
  <LinksUpToDate>false</LinksUpToDate>
  <CharactersWithSpaces>6499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2019-05-29T19:06:00Z</dcterms:created>
  <dc:creator>陈萍</dc:creator>
  <cp:lastModifiedBy>多喜乐 常安宁</cp:lastModifiedBy>
  <cp:lastPrinted>2024-08-08T03:00:00Z</cp:lastPrinted>
  <dcterms:modified xsi:type="dcterms:W3CDTF">2025-09-02T09:39:22Z</dcterms:modified>
  <dc:title>区域性就业培训基地建设项目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DD1BDDEC5711854B28E3A768BB995D50_43</vt:lpwstr>
  </property>
  <property fmtid="{D5CDD505-2E9C-101B-9397-08002B2CF9AE}" pid="4" name="KSOTemplateDocerSaveRecord">
    <vt:lpwstr>eyJoZGlkIjoiZjRiMDkyYTk4ZWY2ZjRmNjBmODM1N2VhY2YxYzg1ZGUiLCJ1c2VySWQiOiI5MTE0MDA4OTIifQ==</vt:lpwstr>
  </property>
</Properties>
</file>