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outlineLvl w:val="0"/>
        <w:rPr>
          <w:rFonts w:hint="eastAsia" w:ascii="仿宋_GB2312" w:eastAsia="仿宋_GB2312" w:cs="方正小标宋简体"/>
          <w:b/>
          <w:sz w:val="32"/>
          <w:szCs w:val="32"/>
        </w:rPr>
      </w:pPr>
      <w:bookmarkStart w:id="0" w:name="_Toc15396616"/>
      <w:r>
        <w:rPr>
          <w:rFonts w:hint="eastAsia" w:ascii="仿宋_GB2312" w:eastAsia="仿宋_GB2312" w:cs="方正小标宋简体"/>
          <w:b/>
          <w:sz w:val="32"/>
          <w:szCs w:val="32"/>
        </w:rPr>
        <w:t>黑水县瓦钵梁子乡便民和退役军人服务中心</w:t>
      </w:r>
    </w:p>
    <w:p>
      <w:pPr>
        <w:spacing w:line="600" w:lineRule="exact"/>
        <w:jc w:val="center"/>
        <w:outlineLvl w:val="0"/>
        <w:rPr>
          <w:rFonts w:ascii="仿宋_GB2312" w:eastAsia="仿宋_GB2312" w:cs="方正小标宋简体"/>
          <w:b/>
          <w:sz w:val="32"/>
          <w:szCs w:val="32"/>
        </w:rPr>
      </w:pPr>
      <w:r>
        <w:rPr>
          <w:rFonts w:hint="eastAsia" w:ascii="仿宋_GB2312" w:eastAsia="仿宋_GB2312" w:cs="方正小标宋简体"/>
          <w:b/>
          <w:sz w:val="32"/>
          <w:szCs w:val="32"/>
        </w:rPr>
        <w:t>20</w:t>
      </w:r>
      <w:r>
        <w:rPr>
          <w:rFonts w:hint="eastAsia" w:ascii="仿宋_GB2312" w:eastAsia="仿宋_GB2312" w:cs="方正小标宋简体"/>
          <w:b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 w:cs="方正小标宋简体"/>
          <w:b/>
          <w:sz w:val="32"/>
          <w:szCs w:val="32"/>
        </w:rPr>
        <w:t>年部门整体支出绩效评价报告</w:t>
      </w:r>
      <w:bookmarkEnd w:id="0"/>
    </w:p>
    <w:p>
      <w:pPr>
        <w:spacing w:line="580" w:lineRule="exact"/>
        <w:ind w:firstLine="642" w:firstLineChars="200"/>
        <w:rPr>
          <w:rFonts w:ascii="仿宋_GB2312" w:eastAsia="仿宋_GB2312" w:cs="黑体"/>
          <w:b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eastAsia="仿宋_GB2312" w:cs="黑体"/>
          <w:sz w:val="32"/>
          <w:szCs w:val="32"/>
        </w:rPr>
      </w:pPr>
      <w:r>
        <w:rPr>
          <w:rFonts w:hint="eastAsia" w:ascii="仿宋_GB2312" w:eastAsia="仿宋_GB2312" w:cs="黑体"/>
          <w:sz w:val="32"/>
          <w:szCs w:val="32"/>
        </w:rPr>
        <w:t>一、部门（单位）概况</w:t>
      </w:r>
    </w:p>
    <w:p>
      <w:pPr>
        <w:spacing w:line="580" w:lineRule="exact"/>
        <w:ind w:firstLine="640" w:firstLineChars="200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（一）机构组成。</w:t>
      </w:r>
    </w:p>
    <w:p>
      <w:pPr>
        <w:snapToGrid w:val="0"/>
        <w:spacing w:line="360" w:lineRule="auto"/>
        <w:ind w:firstLine="640" w:firstLineChars="200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黑水县瓦钵梁子乡人民政府，取得黑水县机构编制委员会办公室颁发的统一社会信用代码：11513228008943206Y，机构地址：四川省阿坝州黑水县瓦钵梁子乡约窝村，法定代表人：张强，机构性质：机关。</w:t>
      </w:r>
    </w:p>
    <w:p>
      <w:pPr>
        <w:snapToGrid w:val="0"/>
        <w:spacing w:line="360" w:lineRule="auto"/>
        <w:ind w:firstLine="640" w:firstLineChars="200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1.党政办公室，挂财政工作办公室牌子。负责乡党委、人大主席团、政府、政协的日常事务性工作。负责乡机关各方面的综合协调工作。负责综合文秘、档案管理、党政印章管理、信息、机要、保密、后勤保障等工作。组织办理人大代表议案建议、政协委员提案和人大代表、政协委员的联络服务工作。负责集体资产与村级财务的指导管理，管理乡镇行政事业单位和其他组织的各类财政资金等工作。完成领导交办的其他工作。</w:t>
      </w:r>
    </w:p>
    <w:p>
      <w:pPr>
        <w:snapToGrid w:val="0"/>
        <w:spacing w:line="360" w:lineRule="auto"/>
        <w:ind w:firstLine="640" w:firstLineChars="200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2.党建工作办公室，挂群众工作办公室、意识形态工作办公室牌子。负责基层党组织建设、流动党支部建设、党风廉政建设、反腐败等工作。统筹辖区内党员和流动党员的发展、教育、管理和党费收缴工作，指导村（社区）党组织建设管理等工作。负责宣传思想、意识形态、精神文明建设和群众工作。负责本乡机构编制管理及人才队伍建设、干部人事管理、离退休干部管理工作。负责工会、共青团、妇联等群团工作。完成领导交办的其他工作。</w:t>
      </w:r>
    </w:p>
    <w:p>
      <w:pPr>
        <w:snapToGrid w:val="0"/>
        <w:spacing w:line="360" w:lineRule="auto"/>
        <w:ind w:firstLine="640" w:firstLineChars="200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3.社会事务和应急管理办公室，挂安全生产管理委员会办公室牌子。负责公共事务综合管理。统一领导教育体育、科学、卫生健康、民政、文化等社会事业建设工作。负责应急体系建设、制度建设和应急管理工作，负责组织、指导、协调安全生产、自然灾害、防灾减灾救灾等日常工作。负责防汛抗旱、森林草原防灭火、地质灾害防治、卫生防疫等工作。负责应急抢险和应急队伍建设、管理、培训、演习以及应急设备和物资的储备、管理等工作。负责应急值守工作。负责辖区内生产经营单位安全生产状况的监督检查工作，协助有关部门依法履行安全生产监督管理工作。负责农村老旧危房安全排查，落实农村老旧住房安全监管和住房安全宣传引导职责。完成领导交办的其他工作。</w:t>
      </w:r>
    </w:p>
    <w:p>
      <w:pPr>
        <w:snapToGrid w:val="0"/>
        <w:spacing w:line="360" w:lineRule="auto"/>
        <w:ind w:firstLine="640" w:firstLineChars="200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4.维护稳定和基层治理办公室。负责社会治安综合治理工作，组织开展人武、政法、统战、信访、稳定、民宗、群众、防邪和网格化管理等相关工作。负责辖区内法治建设，配合开展调解和帮教管理，承担辖区内矛盾纠纷多元化解协调工作。协助司法机关开展打击违法犯罪和禁毒、扫黑除恶活动。负责流动人口、外来僧道管理。负责基层自治建设和民主法治建设，指导基层群众性自治组织规范化、制度化建设。指导村（居）民委员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会</w:t>
      </w:r>
      <w:r>
        <w:rPr>
          <w:rFonts w:hint="eastAsia" w:ascii="仿宋_GB2312" w:eastAsia="仿宋_GB2312" w:cs="仿宋_GB2312"/>
          <w:sz w:val="32"/>
          <w:szCs w:val="32"/>
        </w:rPr>
        <w:t>换届选举。组织开展法制、综治、平安建设等宣传教育活动，负责基层综治干部和群防群治队伍的教育、培训和管理等工作。负责国防动员和兵役服务工作。完成领导交办的其他工作。</w:t>
      </w:r>
    </w:p>
    <w:p>
      <w:pPr>
        <w:snapToGrid w:val="0"/>
        <w:spacing w:line="360" w:lineRule="auto"/>
        <w:ind w:firstLine="640" w:firstLineChars="200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5.经济发展和乡村振兴办公室，挂村镇规划建设管理办公室、扶贫开发办公室牌子。负责参与拟订乡经济发展规划并组织实施，对辖区内重大基础设施建设、重大公共服务资源布局、重大决策提出意见及建议。负责经济工作的指导、协调、服务和监督管理。负责优化营商环境建设。负责统筹、协调、指导、配合开展辖区内经济结构调整、项目建设、招商引资、旅游开发、移民搬迁、土地流转等工作。负责组织实施扶贫开发、乡村振兴、农村人居环境整治，推动宜居乡村建设。统筹、指导、监管辖区内农业农村、林业、水利等工作。指导农民合作经济组织、农村集体经济组织建设和发展。负责村镇规划建设管理，统筹农村基础设施建设等工作。完成领导交办的其他工作。</w:t>
      </w:r>
    </w:p>
    <w:p>
      <w:pPr>
        <w:spacing w:line="580" w:lineRule="exact"/>
        <w:ind w:firstLine="640" w:firstLineChars="200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（二）机构职能。</w:t>
      </w:r>
    </w:p>
    <w:p>
      <w:pPr>
        <w:snapToGrid w:val="0"/>
        <w:spacing w:line="520" w:lineRule="exact"/>
        <w:ind w:firstLine="642" w:firstLineChars="200"/>
        <w:rPr>
          <w:rFonts w:hint="eastAsia"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（一）加强党的领导，抓好基层党建</w:t>
      </w:r>
    </w:p>
    <w:p>
      <w:pPr>
        <w:snapToGrid w:val="0"/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1.履行政治领导责任，做好理论武装和思想政治工作，负责学习、宣传、贯彻执行党的理论和路线方针政策，贯彻落实党中央、省委、州委、县委的决策部署，发挥好把方向、管大局、保落实的重要作用。</w:t>
      </w:r>
    </w:p>
    <w:p>
      <w:pPr>
        <w:snapToGrid w:val="0"/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2.落实党建工作责任制，推动全面从严治党向基层延伸。认真履行党风廉政建设主体责任，维护和执行党的纪律，监督党员干部和其他任何工作人员严格遵守国家法律法规。</w:t>
      </w:r>
    </w:p>
    <w:p>
      <w:pPr>
        <w:snapToGrid w:val="0"/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3.讨论和决定辖区内政治建设、经济建设、文化建设、社会建设、生态文明建设、法制建设和党的建设以及乡村振兴中的重大问题。其他应当由党委讨论和决定的重大问题。</w:t>
      </w:r>
    </w:p>
    <w:p>
      <w:pPr>
        <w:snapToGrid w:val="0"/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4.贯彻党管干部原则，加强干部队伍建设，完善干部培养选拔机制，加强干部教育管理监督。贯彻党管人才原则，加强人才队伍建设。加强对本乡工会、共青团、妇联等群团工作的领导。</w:t>
      </w:r>
    </w:p>
    <w:p>
      <w:pPr>
        <w:snapToGrid w:val="0"/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.指导农村党建，落实基层党建工作责任制，严格抓好基层党组织建设各项制度，统筹抓好乡机关、村（社区）、驻辖区单位、行业、“两新”组织等党建工作，推进全面从严治党，强化“两个责任”，落实农村基层党建工作要求。</w:t>
      </w:r>
    </w:p>
    <w:p>
      <w:pPr>
        <w:snapToGrid w:val="0"/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6.加强基层社会宣传、舆论引导、精神文明建设、统一战线工作，落实党管意识形态工作责任制，健全完善党建引领基层体系，强化基层治理平台建设。</w:t>
      </w:r>
    </w:p>
    <w:p>
      <w:pPr>
        <w:snapToGrid w:val="0"/>
        <w:spacing w:line="520" w:lineRule="exact"/>
        <w:ind w:firstLine="642" w:firstLineChars="200"/>
        <w:rPr>
          <w:rFonts w:hint="eastAsia"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（二）统筹经济发展，实施乡村振兴</w:t>
      </w:r>
    </w:p>
    <w:p>
      <w:pPr>
        <w:snapToGrid w:val="0"/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1.负责辖区经济发展工作，执行辖区内的经济和社会发展计划、预算。参与区域内土地利用、产业发展等规划编制，对区域内重大基础设施建设、重大公共服务资源布局、</w:t>
      </w:r>
      <w:r>
        <w:rPr>
          <w:rFonts w:hint="eastAsia" w:ascii="仿宋_GB2312" w:eastAsia="仿宋_GB2312"/>
          <w:sz w:val="32"/>
          <w:szCs w:val="32"/>
          <w:lang w:eastAsia="zh-CN"/>
        </w:rPr>
        <w:t>重大决策</w:t>
      </w:r>
      <w:r>
        <w:rPr>
          <w:rFonts w:hint="eastAsia" w:ascii="仿宋_GB2312" w:eastAsia="仿宋_GB2312"/>
          <w:sz w:val="32"/>
          <w:szCs w:val="32"/>
        </w:rPr>
        <w:t>提出意见建议。落实辖区内发展规划、专项规划、区域规划、国土空间规划和“四好农村路”建设等。</w:t>
      </w:r>
    </w:p>
    <w:p>
      <w:pPr>
        <w:snapToGrid w:val="0"/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2.贯彻落实中央、省、州、县关于实施脱贫攻坚、乡村振兴战略的决策部署，提升农业发展质量，加强农村人居环境整治，推进宜居乡村建设，增强乡村振兴内生动力。</w:t>
      </w:r>
    </w:p>
    <w:p>
      <w:pPr>
        <w:snapToGrid w:val="0"/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3.指导农村经济发展，推动产业结构调整。保护各种经济组织的合法权益，营造良好的营商环境。</w:t>
      </w:r>
    </w:p>
    <w:p>
      <w:pPr>
        <w:snapToGrid w:val="0"/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4.落实财政保障和财政管理有关政策，统筹管理本级财务及集体资产，协助做好税收征管工作，指导、监管村级财务和资产管理工作等。</w:t>
      </w:r>
    </w:p>
    <w:p>
      <w:pPr>
        <w:snapToGrid w:val="0"/>
        <w:spacing w:line="520" w:lineRule="exact"/>
        <w:ind w:firstLine="642" w:firstLineChars="200"/>
        <w:rPr>
          <w:rFonts w:hint="eastAsia"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（三）组织公共服务，着力改善民生</w:t>
      </w:r>
    </w:p>
    <w:p>
      <w:pPr>
        <w:snapToGrid w:val="0"/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1.加强乡综合便民服务平台标准化建设，做好村（社区）服务配套设施和综合服务平台建设，提升便民服务质量。</w:t>
      </w:r>
    </w:p>
    <w:p>
      <w:pPr>
        <w:snapToGrid w:val="0"/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负责教育体育、劳动就业、社会保障、卫生健康、计划生育、医疗保障、低保救助、助老助残、殡葬管理、文化旅游、民族宗教、移民搬迁、农技推广、农民工、妇女和未成年人保护等公共服务工作，承担组织领导、推进实施、综合协调等职责。</w:t>
      </w:r>
    </w:p>
    <w:p>
      <w:pPr>
        <w:snapToGrid w:val="0"/>
        <w:spacing w:line="520" w:lineRule="exact"/>
        <w:ind w:firstLine="642" w:firstLineChars="200"/>
        <w:rPr>
          <w:rFonts w:hint="eastAsia"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（四）领导基层治理，维护社会治安</w:t>
      </w:r>
    </w:p>
    <w:p>
      <w:pPr>
        <w:snapToGrid w:val="0"/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负责辖区公共安全及安全生产监管、应急管理工作。构建公共安全防控体系，建立应对突发紧急事件的处理预案，做好安全生产、防汛、消防、森林（草原）防灭火、减灾救灾、防疫、气象灾害防御、食品药品安全、地质灾害防治等应急管理工作，加强监督检查、隐患排查，落实安全生产责任制。负责辖区内生态环境保护和自然资源管理等工作。</w:t>
      </w:r>
    </w:p>
    <w:p>
      <w:pPr>
        <w:snapToGrid w:val="0"/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承担辖区社会治安综合治理工作，加强法制建设和社会治安综合治理。贯彻落实社会矛盾纠纷排查调处机制，及时化解辖区社会矛盾纠纷，确保社会稳定。协助司法机关开展打击各类刑事犯罪和禁毒、扫黑除恶等活动，稳妥处理突发性、群体性事件，确保人民群众生命财产安全。</w:t>
      </w:r>
    </w:p>
    <w:p>
      <w:pPr>
        <w:snapToGrid w:val="0"/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3.指导村（社区）村民（居民）自治，促进社会组织健康发展，完善村规民约，增强社会自治功能。</w:t>
      </w:r>
    </w:p>
    <w:p>
      <w:pPr>
        <w:snapToGrid w:val="0"/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4.负责国防教育，承担国防动员、征兵、民兵预备役、双拥等工作。</w:t>
      </w:r>
    </w:p>
    <w:p>
      <w:pPr>
        <w:snapToGrid w:val="0"/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5.保障各少数民族的</w:t>
      </w:r>
      <w:r>
        <w:rPr>
          <w:rFonts w:hint="eastAsia" w:ascii="仿宋_GB2312" w:eastAsia="仿宋_GB2312"/>
          <w:sz w:val="32"/>
          <w:szCs w:val="32"/>
          <w:lang w:eastAsia="zh-CN"/>
        </w:rPr>
        <w:t>合法权利</w:t>
      </w:r>
      <w:r>
        <w:rPr>
          <w:rFonts w:hint="eastAsia" w:ascii="仿宋_GB2312" w:eastAsia="仿宋_GB2312"/>
          <w:sz w:val="32"/>
          <w:szCs w:val="32"/>
        </w:rPr>
        <w:t>和利益，尊重少数民族的风俗习惯，坚决与民族分裂活动和邪教组织斗争。</w:t>
      </w:r>
    </w:p>
    <w:p>
      <w:pPr>
        <w:snapToGrid w:val="0"/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6.保障宪法和法律赋予妇女的男女平等、同工同酬和婚姻自由等各项权利。</w:t>
      </w:r>
    </w:p>
    <w:p>
      <w:pPr>
        <w:snapToGrid w:val="0"/>
        <w:spacing w:line="520" w:lineRule="exact"/>
        <w:ind w:firstLine="642" w:firstLineChars="200"/>
      </w:pPr>
      <w:r>
        <w:rPr>
          <w:rFonts w:hint="eastAsia" w:ascii="仿宋_GB2312" w:eastAsia="仿宋_GB2312"/>
          <w:b/>
          <w:bCs/>
          <w:sz w:val="32"/>
          <w:szCs w:val="32"/>
        </w:rPr>
        <w:t>（五）完成法律、法规、规章规定和上级交办的其他事项。</w:t>
      </w:r>
    </w:p>
    <w:p>
      <w:pPr>
        <w:spacing w:line="580" w:lineRule="exact"/>
        <w:ind w:firstLine="640" w:firstLineChars="200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（三）人员概况。</w:t>
      </w:r>
    </w:p>
    <w:p>
      <w:pPr>
        <w:snapToGrid w:val="0"/>
        <w:spacing w:line="520" w:lineRule="exact"/>
        <w:ind w:firstLine="640" w:firstLineChars="200"/>
      </w:pP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我单位总编制31人，其中行政编制18人，事业工勤编制2人，行政工勤2人，事业编制9人。截至2025年底职工在编27人，事业9人，公务员16人，行政工勤2人。</w:t>
      </w:r>
    </w:p>
    <w:p>
      <w:pPr>
        <w:spacing w:line="580" w:lineRule="exact"/>
        <w:ind w:firstLine="640" w:firstLineChars="200"/>
        <w:rPr>
          <w:rFonts w:ascii="仿宋_GB2312" w:eastAsia="仿宋_GB2312" w:cs="黑体"/>
          <w:sz w:val="32"/>
          <w:szCs w:val="32"/>
        </w:rPr>
      </w:pPr>
      <w:r>
        <w:rPr>
          <w:rFonts w:hint="eastAsia" w:ascii="仿宋_GB2312" w:eastAsia="仿宋_GB2312" w:cs="黑体"/>
          <w:sz w:val="32"/>
          <w:szCs w:val="32"/>
        </w:rPr>
        <w:t>二、部门财政资金收支情况</w:t>
      </w:r>
    </w:p>
    <w:p>
      <w:pPr>
        <w:spacing w:line="580" w:lineRule="exact"/>
        <w:ind w:firstLine="640" w:firstLineChars="200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（一）部门财政资金收入情况。</w:t>
      </w:r>
    </w:p>
    <w:p>
      <w:pPr>
        <w:snapToGrid w:val="0"/>
        <w:spacing w:line="520" w:lineRule="exact"/>
        <w:ind w:firstLine="640" w:firstLineChars="200"/>
        <w:rPr>
          <w:rFonts w:hint="eastAsia" w:ascii="仿宋_GB2312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本单位本年度收入调整预算数为</w:t>
      </w:r>
      <w:bookmarkStart w:id="1" w:name="OLE_LINK2"/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1,151.98</w:t>
      </w:r>
      <w:bookmarkEnd w:id="1"/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万元，收入决算数为1,151.98万元，预算完成度为100.00%。本年度支出调整预算数为1,151.98万元，支出决算数为1,151.98万元，预算支出完成度为100.00%。</w:t>
      </w:r>
    </w:p>
    <w:p>
      <w:pPr>
        <w:numPr>
          <w:ilvl w:val="0"/>
          <w:numId w:val="1"/>
        </w:numPr>
        <w:spacing w:line="580" w:lineRule="exact"/>
        <w:ind w:left="0" w:firstLine="640" w:firstLineChars="200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部门财政资金支出情况。</w:t>
      </w:r>
    </w:p>
    <w:p>
      <w:pPr>
        <w:spacing w:line="580" w:lineRule="exact"/>
        <w:ind w:firstLine="640" w:firstLineChars="200"/>
        <w:rPr>
          <w:rFonts w:hint="eastAsia" w:ascii="仿宋_GB2312" w:eastAsia="仿宋_GB2312" w:cs="黑体"/>
          <w:sz w:val="32"/>
          <w:szCs w:val="32"/>
        </w:rPr>
      </w:pPr>
      <w:r>
        <w:rPr>
          <w:rFonts w:hint="eastAsia" w:ascii="仿宋_GB2312" w:eastAsia="仿宋_GB2312" w:cs="黑体"/>
          <w:sz w:val="32"/>
          <w:szCs w:val="32"/>
        </w:rPr>
        <w:t>黑水县瓦钵梁子乡人民政府2025年年初本年度总支出为1,151.98万元。其中：一般公共服务支出为365.59万元，占比31.74%；社会保障和就业支出为75.96万元，占比6.59%；卫生健康支出为31.69万元，占比2.75%；农林水支出为633.13万元，占比54.96%；住房保障支出为45.61万元，占比3.96%。</w:t>
      </w:r>
    </w:p>
    <w:p>
      <w:pPr>
        <w:numPr>
          <w:ilvl w:val="0"/>
          <w:numId w:val="2"/>
        </w:numPr>
        <w:spacing w:line="580" w:lineRule="exact"/>
        <w:ind w:left="0" w:firstLine="640" w:firstLineChars="200"/>
        <w:rPr>
          <w:rFonts w:hint="eastAsia" w:ascii="仿宋_GB2312" w:eastAsia="仿宋_GB2312" w:cs="黑体"/>
          <w:sz w:val="32"/>
          <w:szCs w:val="32"/>
        </w:rPr>
      </w:pPr>
      <w:r>
        <w:rPr>
          <w:rFonts w:hint="eastAsia" w:ascii="仿宋_GB2312" w:eastAsia="仿宋_GB2312" w:cs="黑体"/>
          <w:sz w:val="32"/>
          <w:szCs w:val="32"/>
        </w:rPr>
        <w:t>部门整体预算绩效管理情况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  <w:lang w:val="zh-CN"/>
        </w:rPr>
      </w:pPr>
      <w:r>
        <w:rPr>
          <w:rFonts w:ascii="仿宋_GB2312" w:eastAsia="仿宋_GB2312" w:cs="仿宋_GB2312"/>
          <w:sz w:val="32"/>
          <w:szCs w:val="32"/>
          <w:lang w:val="zh-CN"/>
        </w:rPr>
        <w:t>（一）部门预算总体绩效分析。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指标分值</w:t>
      </w:r>
      <w:r>
        <w:rPr>
          <w:rFonts w:hint="eastAsia" w:ascii="仿宋_GB2312" w:eastAsia="仿宋_GB2312" w:cs="仿宋_GB2312"/>
          <w:sz w:val="32"/>
          <w:szCs w:val="32"/>
        </w:rPr>
        <w:t>65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分，自评得分</w:t>
      </w:r>
      <w:r>
        <w:rPr>
          <w:rFonts w:hint="eastAsia" w:ascii="仿宋_GB2312" w:eastAsia="仿宋_GB2312" w:cs="仿宋_GB2312"/>
          <w:sz w:val="32"/>
          <w:szCs w:val="32"/>
        </w:rPr>
        <w:t>63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分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eastAsia="仿宋_GB2312" w:cs="仿宋_GB2312"/>
          <w:sz w:val="32"/>
          <w:szCs w:val="32"/>
        </w:rPr>
        <w:t>1.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履职效能。</w:t>
      </w:r>
      <w:r>
        <w:rPr>
          <w:rFonts w:ascii="仿宋_GB2312" w:eastAsia="仿宋_GB2312" w:cs="仿宋_GB2312"/>
          <w:sz w:val="32"/>
          <w:szCs w:val="32"/>
          <w:lang w:val="zh-CN"/>
        </w:rPr>
        <w:t>指标分值15分，自评得分15分。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eastAsia="仿宋_GB2312" w:cs="仿宋_GB2312"/>
          <w:sz w:val="32"/>
          <w:szCs w:val="32"/>
          <w:lang w:val="zh-CN"/>
        </w:rPr>
        <w:t>核心职能目标</w:t>
      </w:r>
      <w:r>
        <w:rPr>
          <w:rFonts w:ascii="仿宋_GB2312" w:eastAsia="仿宋_GB2312" w:cs="仿宋_GB2312"/>
          <w:sz w:val="32"/>
          <w:szCs w:val="32"/>
          <w:lang w:val="zh-CN"/>
        </w:rPr>
        <w:t>一：基本支出，在职人员工资保险。目标完成情况，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截止到2025年</w:t>
      </w:r>
      <w:r>
        <w:rPr>
          <w:rFonts w:ascii="仿宋_GB2312" w:eastAsia="仿宋_GB2312" w:cs="仿宋_GB2312"/>
          <w:sz w:val="32"/>
          <w:szCs w:val="32"/>
          <w:lang w:val="zh-CN"/>
        </w:rPr>
        <w:t>底我单位如期完成预算</w:t>
      </w:r>
      <w:r>
        <w:rPr>
          <w:rFonts w:hint="eastAsia" w:ascii="仿宋_GB2312" w:eastAsia="仿宋_GB2312" w:cs="仿宋_GB2312"/>
          <w:sz w:val="32"/>
          <w:szCs w:val="32"/>
        </w:rPr>
        <w:t>26</w:t>
      </w:r>
      <w:r>
        <w:rPr>
          <w:rFonts w:ascii="仿宋_GB2312" w:eastAsia="仿宋_GB2312" w:cs="仿宋_GB2312"/>
          <w:sz w:val="32"/>
          <w:szCs w:val="32"/>
          <w:lang w:val="zh-CN"/>
        </w:rPr>
        <w:t>人全年工资保险发放。该资金开支范围、标准及支付进度，支付依据合规合法，资金支付与绩效目标相符。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eastAsia="仿宋_GB2312" w:cs="仿宋_GB2312"/>
          <w:sz w:val="32"/>
          <w:szCs w:val="32"/>
          <w:lang w:val="zh-CN"/>
        </w:rPr>
        <w:t>核心职能目标</w:t>
      </w:r>
      <w:r>
        <w:rPr>
          <w:rFonts w:ascii="仿宋_GB2312" w:eastAsia="仿宋_GB2312" w:cs="仿宋_GB2312"/>
          <w:sz w:val="32"/>
          <w:szCs w:val="32"/>
          <w:lang w:val="zh-CN"/>
        </w:rPr>
        <w:t>二：项目支出，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基层组织</w:t>
      </w:r>
      <w:r>
        <w:rPr>
          <w:rFonts w:ascii="仿宋_GB2312" w:eastAsia="仿宋_GB2312" w:cs="仿宋_GB2312"/>
          <w:sz w:val="32"/>
          <w:szCs w:val="32"/>
          <w:lang w:val="zh-CN"/>
        </w:rPr>
        <w:t>运行及</w:t>
      </w:r>
      <w:bookmarkStart w:id="2" w:name="OLE_LINK3"/>
      <w:r>
        <w:rPr>
          <w:rFonts w:ascii="仿宋_GB2312" w:eastAsia="仿宋_GB2312" w:cs="仿宋_GB2312"/>
          <w:sz w:val="32"/>
          <w:szCs w:val="32"/>
          <w:lang w:val="zh-CN"/>
        </w:rPr>
        <w:t>公共运行维护</w:t>
      </w:r>
      <w:bookmarkEnd w:id="2"/>
      <w:r>
        <w:rPr>
          <w:rFonts w:ascii="仿宋_GB2312" w:eastAsia="仿宋_GB2312" w:cs="仿宋_GB2312"/>
          <w:sz w:val="32"/>
          <w:szCs w:val="32"/>
          <w:lang w:val="zh-CN"/>
        </w:rPr>
        <w:t>费。目标完成情况，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截止到2025年</w:t>
      </w:r>
      <w:r>
        <w:rPr>
          <w:rFonts w:ascii="仿宋_GB2312" w:eastAsia="仿宋_GB2312" w:cs="仿宋_GB2312"/>
          <w:sz w:val="32"/>
          <w:szCs w:val="32"/>
          <w:lang w:val="zh-CN"/>
        </w:rPr>
        <w:t>底我单位如期完成4个村日常办公费8万元，维修维护费</w:t>
      </w:r>
      <w:r>
        <w:rPr>
          <w:rFonts w:hint="eastAsia" w:ascii="仿宋_GB2312" w:eastAsia="仿宋_GB2312" w:cs="仿宋_GB2312"/>
          <w:sz w:val="32"/>
          <w:szCs w:val="32"/>
        </w:rPr>
        <w:t>27.27</w:t>
      </w:r>
      <w:r>
        <w:rPr>
          <w:rFonts w:ascii="仿宋_GB2312" w:eastAsia="仿宋_GB2312" w:cs="仿宋_GB2312"/>
          <w:sz w:val="32"/>
          <w:szCs w:val="32"/>
          <w:lang w:val="zh-CN"/>
        </w:rPr>
        <w:t>万元支付。该资金开支范围、标准及支付进度，支付依据合规合法，资金支付与预算相符。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eastAsia="仿宋_GB2312" w:cs="仿宋_GB2312"/>
          <w:sz w:val="32"/>
          <w:szCs w:val="32"/>
          <w:lang w:val="zh-CN"/>
        </w:rPr>
        <w:t>核心职能目标</w:t>
      </w:r>
      <w:r>
        <w:rPr>
          <w:rFonts w:ascii="仿宋_GB2312" w:eastAsia="仿宋_GB2312" w:cs="仿宋_GB2312"/>
          <w:sz w:val="32"/>
          <w:szCs w:val="32"/>
          <w:lang w:val="zh-CN"/>
        </w:rPr>
        <w:t>三：项目支出，村干部工资保险。目标完成情况，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截止到2025年</w:t>
      </w:r>
      <w:r>
        <w:rPr>
          <w:rFonts w:ascii="仿宋_GB2312" w:eastAsia="仿宋_GB2312" w:cs="仿宋_GB2312"/>
          <w:sz w:val="32"/>
          <w:szCs w:val="32"/>
          <w:lang w:val="zh-CN"/>
        </w:rPr>
        <w:t>底我单位如期完成4个村33名村干部全年工资绩效发放。该资金开支范围、标准及支付进度，支付依据合规合法，资金支付与预算相符。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eastAsia="仿宋_GB2312" w:cs="仿宋_GB2312"/>
          <w:sz w:val="32"/>
          <w:szCs w:val="32"/>
        </w:rPr>
        <w:t>2.</w:t>
      </w:r>
      <w:r>
        <w:rPr>
          <w:rFonts w:ascii="仿宋_GB2312" w:eastAsia="仿宋_GB2312" w:cs="仿宋_GB2312"/>
          <w:sz w:val="32"/>
          <w:szCs w:val="32"/>
          <w:lang w:val="zh-CN"/>
        </w:rPr>
        <w:t>预算管理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。</w:t>
      </w:r>
      <w:r>
        <w:rPr>
          <w:rFonts w:ascii="仿宋_GB2312" w:eastAsia="仿宋_GB2312" w:cs="仿宋_GB2312"/>
          <w:sz w:val="32"/>
          <w:szCs w:val="32"/>
          <w:lang w:val="zh-CN"/>
        </w:rPr>
        <w:t>指标分值25分，自评得分</w:t>
      </w:r>
      <w:r>
        <w:rPr>
          <w:rFonts w:hint="eastAsia" w:ascii="仿宋_GB2312" w:eastAsia="仿宋_GB2312" w:cs="仿宋_GB2312"/>
          <w:sz w:val="32"/>
          <w:szCs w:val="32"/>
        </w:rPr>
        <w:t>22</w:t>
      </w:r>
      <w:r>
        <w:rPr>
          <w:rFonts w:ascii="仿宋_GB2312" w:eastAsia="仿宋_GB2312" w:cs="仿宋_GB2312"/>
          <w:sz w:val="32"/>
          <w:szCs w:val="32"/>
          <w:lang w:val="zh-CN"/>
        </w:rPr>
        <w:t>分。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  <w:lang w:val="zh-CN"/>
        </w:rPr>
      </w:pPr>
      <w:r>
        <w:rPr>
          <w:rFonts w:ascii="仿宋_GB2312" w:eastAsia="仿宋_GB2312" w:cs="仿宋_GB2312"/>
          <w:sz w:val="32"/>
          <w:szCs w:val="32"/>
        </w:rPr>
        <w:t>预算编制质量：</w:t>
      </w:r>
      <w:r>
        <w:rPr>
          <w:rFonts w:hint="eastAsia" w:ascii="仿宋_GB2312" w:eastAsia="仿宋_GB2312" w:cs="仿宋_GB2312"/>
          <w:sz w:val="32"/>
          <w:szCs w:val="32"/>
        </w:rPr>
        <w:t>本单位本年度收入年初预算数为755.84万元，收入决算数为1,151.98万元，预算完成度为100.00%</w:t>
      </w:r>
      <w:r>
        <w:rPr>
          <w:rFonts w:ascii="仿宋_GB2312" w:eastAsia="仿宋_GB2312" w:cs="仿宋_GB2312"/>
          <w:sz w:val="32"/>
          <w:szCs w:val="32"/>
        </w:rPr>
        <w:t>。</w:t>
      </w:r>
      <w:r>
        <w:rPr>
          <w:rFonts w:hint="eastAsia" w:ascii="仿宋_GB2312" w:eastAsia="仿宋_GB2312" w:cs="仿宋_GB2312"/>
          <w:sz w:val="32"/>
          <w:szCs w:val="32"/>
        </w:rPr>
        <w:t>本年度支出年初预算数为755.84万元，支出决算数为1,151.98万元，预算支出完成度为100.00%</w:t>
      </w:r>
      <w:r>
        <w:rPr>
          <w:rFonts w:ascii="仿宋_GB2312" w:eastAsia="仿宋_GB2312" w:cs="仿宋_GB2312"/>
          <w:sz w:val="32"/>
          <w:szCs w:val="32"/>
        </w:rPr>
        <w:t>。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指标分值</w:t>
      </w:r>
      <w:r>
        <w:rPr>
          <w:rFonts w:hint="eastAsia" w:ascii="仿宋_GB2312" w:eastAsia="仿宋_GB2312" w:cs="仿宋_GB2312"/>
          <w:sz w:val="32"/>
          <w:szCs w:val="32"/>
        </w:rPr>
        <w:t>8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分，自评得分</w:t>
      </w:r>
      <w:r>
        <w:rPr>
          <w:rFonts w:hint="eastAsia" w:ascii="仿宋_GB2312" w:eastAsia="仿宋_GB2312" w:cs="仿宋_GB2312"/>
          <w:sz w:val="32"/>
          <w:szCs w:val="32"/>
        </w:rPr>
        <w:t>6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分。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  <w:lang w:val="zh-CN"/>
        </w:rPr>
      </w:pPr>
      <w:r>
        <w:rPr>
          <w:rFonts w:ascii="仿宋_GB2312" w:eastAsia="仿宋_GB2312" w:cs="仿宋_GB2312"/>
          <w:sz w:val="32"/>
          <w:szCs w:val="32"/>
          <w:lang w:val="zh-CN"/>
        </w:rPr>
        <w:t>单位收入统筹</w:t>
      </w:r>
      <w:r>
        <w:rPr>
          <w:rFonts w:ascii="仿宋_GB2312" w:eastAsia="仿宋_GB2312" w:cs="仿宋_GB2312"/>
          <w:sz w:val="32"/>
          <w:szCs w:val="32"/>
        </w:rPr>
        <w:t>：</w:t>
      </w:r>
      <w:r>
        <w:rPr>
          <w:rFonts w:hint="eastAsia" w:ascii="仿宋_GB2312" w:eastAsia="仿宋_GB2312" w:cs="仿宋_GB2312"/>
          <w:sz w:val="32"/>
          <w:szCs w:val="32"/>
        </w:rPr>
        <w:t>我单位不涉及该项指标</w:t>
      </w:r>
      <w:r>
        <w:rPr>
          <w:rFonts w:ascii="仿宋_GB2312" w:eastAsia="仿宋_GB2312" w:cs="仿宋_GB2312"/>
          <w:sz w:val="32"/>
          <w:szCs w:val="32"/>
        </w:rPr>
        <w:t>。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指标分值</w:t>
      </w:r>
      <w:r>
        <w:rPr>
          <w:rFonts w:hint="eastAsia" w:ascii="仿宋_GB2312" w:eastAsia="仿宋_GB2312" w:cs="仿宋_GB2312"/>
          <w:sz w:val="32"/>
          <w:szCs w:val="32"/>
        </w:rPr>
        <w:t>4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分，自评得分</w:t>
      </w:r>
      <w:r>
        <w:rPr>
          <w:rFonts w:hint="eastAsia" w:ascii="仿宋_GB2312" w:eastAsia="仿宋_GB2312" w:cs="仿宋_GB2312"/>
          <w:sz w:val="32"/>
          <w:szCs w:val="32"/>
        </w:rPr>
        <w:t>4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分。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eastAsia="仿宋_GB2312" w:cs="仿宋_GB2312"/>
          <w:sz w:val="32"/>
          <w:szCs w:val="32"/>
        </w:rPr>
        <w:t>支出执行进度</w:t>
      </w:r>
      <w:r>
        <w:rPr>
          <w:rFonts w:ascii="仿宋_GB2312" w:eastAsia="仿宋_GB2312" w:cs="仿宋_GB2312"/>
          <w:sz w:val="32"/>
          <w:szCs w:val="32"/>
        </w:rPr>
        <w:t>：</w:t>
      </w:r>
      <w:r>
        <w:rPr>
          <w:rFonts w:hint="eastAsia" w:ascii="仿宋_GB2312" w:eastAsia="仿宋_GB2312" w:cs="仿宋_GB2312"/>
          <w:sz w:val="32"/>
          <w:szCs w:val="32"/>
        </w:rPr>
        <w:t>2025年1-6月支付情况：预算数据913.19万元，支付数据903.77万元，支付率98.97.14%。1-12月预算数据1217.7万元，支付数据1207.17万元，支付率99.14%</w:t>
      </w:r>
      <w:r>
        <w:rPr>
          <w:rFonts w:ascii="仿宋_GB2312" w:eastAsia="仿宋_GB2312" w:cs="仿宋_GB2312"/>
          <w:sz w:val="32"/>
          <w:szCs w:val="32"/>
        </w:rPr>
        <w:t>。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指标分值</w:t>
      </w:r>
      <w:r>
        <w:rPr>
          <w:rFonts w:hint="eastAsia" w:ascii="仿宋_GB2312" w:eastAsia="仿宋_GB2312" w:cs="仿宋_GB2312"/>
          <w:sz w:val="32"/>
          <w:szCs w:val="32"/>
        </w:rPr>
        <w:t>6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分，自评得分</w:t>
      </w:r>
      <w:r>
        <w:rPr>
          <w:rFonts w:hint="eastAsia" w:ascii="仿宋_GB2312" w:eastAsia="仿宋_GB2312" w:cs="仿宋_GB2312"/>
          <w:sz w:val="32"/>
          <w:szCs w:val="32"/>
        </w:rPr>
        <w:t>5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分。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预算年终结余:2025年无结转结余。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指标分值2分，自评得分</w:t>
      </w:r>
      <w:r>
        <w:rPr>
          <w:rFonts w:hint="eastAsia" w:ascii="仿宋_GB2312" w:eastAsia="仿宋_GB2312" w:cs="仿宋_GB2312"/>
          <w:sz w:val="32"/>
          <w:szCs w:val="32"/>
        </w:rPr>
        <w:t>2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分。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严控一般性支出</w:t>
      </w:r>
      <w:r>
        <w:rPr>
          <w:rFonts w:hint="eastAsia" w:ascii="仿宋_GB2312" w:eastAsia="仿宋_GB2312" w:cs="仿宋_GB2312"/>
          <w:sz w:val="32"/>
          <w:szCs w:val="32"/>
        </w:rPr>
        <w:t>：我单位严控“三公”经费、会议、培训、差旅、办节办展、办公设备购置、信息网络及软件购置更新、课题经费等8项一般性支出。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指标分值</w:t>
      </w:r>
      <w:r>
        <w:rPr>
          <w:rFonts w:hint="eastAsia" w:ascii="仿宋_GB2312" w:eastAsia="仿宋_GB2312" w:cs="仿宋_GB2312"/>
          <w:sz w:val="32"/>
          <w:szCs w:val="32"/>
        </w:rPr>
        <w:t>5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分，自评得分</w:t>
      </w:r>
      <w:r>
        <w:rPr>
          <w:rFonts w:hint="eastAsia" w:ascii="仿宋_GB2312" w:eastAsia="仿宋_GB2312" w:cs="仿宋_GB2312"/>
          <w:sz w:val="32"/>
          <w:szCs w:val="32"/>
        </w:rPr>
        <w:t>5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分。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eastAsia="仿宋_GB2312" w:cs="仿宋_GB2312"/>
          <w:sz w:val="32"/>
          <w:szCs w:val="32"/>
        </w:rPr>
        <w:t>3.</w:t>
      </w:r>
      <w:r>
        <w:rPr>
          <w:rFonts w:ascii="仿宋_GB2312" w:eastAsia="仿宋_GB2312" w:cs="仿宋_GB2312"/>
          <w:sz w:val="32"/>
          <w:szCs w:val="32"/>
          <w:lang w:val="zh-CN"/>
        </w:rPr>
        <w:t>财务管理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。</w:t>
      </w:r>
      <w:r>
        <w:rPr>
          <w:rFonts w:ascii="仿宋_GB2312" w:eastAsia="仿宋_GB2312" w:cs="仿宋_GB2312"/>
          <w:sz w:val="32"/>
          <w:szCs w:val="32"/>
          <w:lang w:val="zh-CN"/>
        </w:rPr>
        <w:t>指标分值</w:t>
      </w:r>
      <w:r>
        <w:rPr>
          <w:rFonts w:hint="eastAsia" w:ascii="仿宋_GB2312" w:eastAsia="仿宋_GB2312" w:cs="仿宋_GB2312"/>
          <w:sz w:val="32"/>
          <w:szCs w:val="32"/>
        </w:rPr>
        <w:t>10</w:t>
      </w:r>
      <w:r>
        <w:rPr>
          <w:rFonts w:ascii="仿宋_GB2312" w:eastAsia="仿宋_GB2312" w:cs="仿宋_GB2312"/>
          <w:sz w:val="32"/>
          <w:szCs w:val="32"/>
          <w:lang w:val="zh-CN"/>
        </w:rPr>
        <w:t>分，自评得分</w:t>
      </w:r>
      <w:r>
        <w:rPr>
          <w:rFonts w:hint="eastAsia" w:ascii="仿宋_GB2312" w:eastAsia="仿宋_GB2312" w:cs="仿宋_GB2312"/>
          <w:sz w:val="32"/>
          <w:szCs w:val="32"/>
        </w:rPr>
        <w:t>10</w:t>
      </w:r>
      <w:r>
        <w:rPr>
          <w:rFonts w:ascii="仿宋_GB2312" w:eastAsia="仿宋_GB2312" w:cs="仿宋_GB2312"/>
          <w:sz w:val="32"/>
          <w:szCs w:val="32"/>
          <w:lang w:val="zh-CN"/>
        </w:rPr>
        <w:t>分。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eastAsia="仿宋_GB2312" w:cs="仿宋_GB2312"/>
          <w:sz w:val="32"/>
          <w:szCs w:val="32"/>
          <w:lang w:val="zh-CN"/>
        </w:rPr>
        <w:t>财务管理制度：强化制度建设。不断强化财务管理制度建设，依据相关法律、法规及管理办法，制定符合我乡财务制度，着重从预算绩效管理主要内容和环节，规范操作程序和质量控制要求，构建起工作有指导、实施有方案、内部有规程等相互支撑制度体系。指标分值</w:t>
      </w:r>
      <w:r>
        <w:rPr>
          <w:rFonts w:hint="eastAsia" w:ascii="仿宋_GB2312" w:eastAsia="仿宋_GB2312" w:cs="仿宋_GB2312"/>
          <w:sz w:val="32"/>
          <w:szCs w:val="32"/>
        </w:rPr>
        <w:t>4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分，自评得分</w:t>
      </w:r>
      <w:r>
        <w:rPr>
          <w:rFonts w:hint="eastAsia" w:ascii="仿宋_GB2312" w:eastAsia="仿宋_GB2312" w:cs="仿宋_GB2312"/>
          <w:sz w:val="32"/>
          <w:szCs w:val="32"/>
        </w:rPr>
        <w:t>4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分。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val="zh-CN"/>
        </w:rPr>
        <w:t>财务岗位设置：我乡按照财务制度规定</w:t>
      </w:r>
      <w:r>
        <w:rPr>
          <w:rFonts w:hint="eastAsia" w:ascii="仿宋_GB2312" w:eastAsia="仿宋_GB2312" w:cs="仿宋_GB2312"/>
          <w:sz w:val="32"/>
          <w:szCs w:val="32"/>
        </w:rPr>
        <w:t>,设立会计、出纳岗位，相互监督。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指标分值</w:t>
      </w:r>
      <w:r>
        <w:rPr>
          <w:rFonts w:hint="eastAsia" w:ascii="仿宋_GB2312" w:eastAsia="仿宋_GB2312" w:cs="仿宋_GB2312"/>
          <w:sz w:val="32"/>
          <w:szCs w:val="32"/>
        </w:rPr>
        <w:t>2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分，自评得分</w:t>
      </w:r>
      <w:r>
        <w:rPr>
          <w:rFonts w:hint="eastAsia" w:ascii="仿宋_GB2312" w:eastAsia="仿宋_GB2312" w:cs="仿宋_GB2312"/>
          <w:sz w:val="32"/>
          <w:szCs w:val="32"/>
        </w:rPr>
        <w:t>2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分。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资金使用规范：本年度收到预算资金1217.7万元，实际使用1207.17万元。资金使用过程中严格按照单位财务管理制度要求执行，提高资金使用的合规性。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指标分值</w:t>
      </w:r>
      <w:r>
        <w:rPr>
          <w:rFonts w:hint="eastAsia" w:ascii="仿宋_GB2312" w:eastAsia="仿宋_GB2312" w:cs="仿宋_GB2312"/>
          <w:sz w:val="32"/>
          <w:szCs w:val="32"/>
        </w:rPr>
        <w:t>4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分，自评得分</w:t>
      </w:r>
      <w:r>
        <w:rPr>
          <w:rFonts w:hint="eastAsia" w:ascii="仿宋_GB2312" w:eastAsia="仿宋_GB2312" w:cs="仿宋_GB2312"/>
          <w:sz w:val="32"/>
          <w:szCs w:val="32"/>
        </w:rPr>
        <w:t>4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分。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eastAsia="仿宋_GB2312" w:cs="仿宋_GB2312"/>
          <w:sz w:val="32"/>
          <w:szCs w:val="32"/>
        </w:rPr>
        <w:t>4.</w:t>
      </w:r>
      <w:r>
        <w:rPr>
          <w:rFonts w:ascii="仿宋_GB2312" w:eastAsia="仿宋_GB2312" w:cs="仿宋_GB2312"/>
          <w:sz w:val="32"/>
          <w:szCs w:val="32"/>
          <w:lang w:val="zh-CN"/>
        </w:rPr>
        <w:t>资产管理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。</w:t>
      </w:r>
      <w:r>
        <w:rPr>
          <w:rFonts w:ascii="仿宋_GB2312" w:eastAsia="仿宋_GB2312" w:cs="仿宋_GB2312"/>
          <w:sz w:val="32"/>
          <w:szCs w:val="32"/>
          <w:lang w:val="zh-CN"/>
        </w:rPr>
        <w:t>指标分值</w:t>
      </w:r>
      <w:r>
        <w:rPr>
          <w:rFonts w:hint="eastAsia" w:ascii="仿宋_GB2312" w:eastAsia="仿宋_GB2312" w:cs="仿宋_GB2312"/>
          <w:sz w:val="32"/>
          <w:szCs w:val="32"/>
        </w:rPr>
        <w:t>9</w:t>
      </w:r>
      <w:r>
        <w:rPr>
          <w:rFonts w:ascii="仿宋_GB2312" w:eastAsia="仿宋_GB2312" w:cs="仿宋_GB2312"/>
          <w:sz w:val="32"/>
          <w:szCs w:val="32"/>
          <w:lang w:val="zh-CN"/>
        </w:rPr>
        <w:t>分，自评得分</w:t>
      </w:r>
      <w:r>
        <w:rPr>
          <w:rFonts w:hint="eastAsia" w:ascii="仿宋_GB2312" w:eastAsia="仿宋_GB2312" w:cs="仿宋_GB2312"/>
          <w:sz w:val="32"/>
          <w:szCs w:val="32"/>
        </w:rPr>
        <w:t>9</w:t>
      </w:r>
      <w:r>
        <w:rPr>
          <w:rFonts w:ascii="仿宋_GB2312" w:eastAsia="仿宋_GB2312" w:cs="仿宋_GB2312"/>
          <w:sz w:val="32"/>
          <w:szCs w:val="32"/>
          <w:lang w:val="zh-CN"/>
        </w:rPr>
        <w:t>分。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val="zh-CN"/>
        </w:rPr>
        <w:t>人均资产变化率</w:t>
      </w:r>
      <w:r>
        <w:rPr>
          <w:rFonts w:hint="eastAsia" w:ascii="仿宋_GB2312" w:eastAsia="仿宋_GB2312" w:cs="仿宋_GB2312"/>
          <w:sz w:val="32"/>
          <w:szCs w:val="32"/>
        </w:rPr>
        <w:t>=(期末人均资产-期初人均资产)/期初人均资产*100%。均符合相关规定，低于规定值。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指标分值</w:t>
      </w:r>
      <w:r>
        <w:rPr>
          <w:rFonts w:hint="eastAsia" w:ascii="仿宋_GB2312" w:eastAsia="仿宋_GB2312" w:cs="仿宋_GB2312"/>
          <w:sz w:val="32"/>
          <w:szCs w:val="32"/>
        </w:rPr>
        <w:t>3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分，自评得分</w:t>
      </w:r>
      <w:r>
        <w:rPr>
          <w:rFonts w:hint="eastAsia" w:ascii="仿宋_GB2312" w:eastAsia="仿宋_GB2312" w:cs="仿宋_GB2312"/>
          <w:sz w:val="32"/>
          <w:szCs w:val="32"/>
        </w:rPr>
        <w:t>3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分。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固定资产在用率。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截止到2025年</w:t>
      </w:r>
      <w:r>
        <w:rPr>
          <w:rFonts w:ascii="仿宋_GB2312" w:eastAsia="仿宋_GB2312" w:cs="仿宋_GB2312"/>
          <w:sz w:val="32"/>
          <w:szCs w:val="32"/>
        </w:rPr>
        <w:t>12</w:t>
      </w:r>
      <w:r>
        <w:rPr>
          <w:rFonts w:hint="eastAsia" w:ascii="仿宋_GB2312" w:eastAsia="仿宋_GB2312" w:cs="仿宋_GB2312"/>
          <w:sz w:val="32"/>
          <w:szCs w:val="32"/>
        </w:rPr>
        <w:t>月</w:t>
      </w:r>
      <w:r>
        <w:rPr>
          <w:rFonts w:ascii="仿宋_GB2312" w:eastAsia="仿宋_GB2312" w:cs="仿宋_GB2312"/>
          <w:sz w:val="32"/>
          <w:szCs w:val="32"/>
        </w:rPr>
        <w:t>31</w:t>
      </w:r>
      <w:r>
        <w:rPr>
          <w:rFonts w:hint="eastAsia" w:ascii="仿宋_GB2312" w:eastAsia="仿宋_GB2312" w:cs="仿宋_GB2312"/>
          <w:sz w:val="32"/>
          <w:szCs w:val="32"/>
        </w:rPr>
        <w:t>日，固定资产总计576.97万元，在用的固定资产总计576.97万元，固定资产在用率达</w:t>
      </w:r>
      <w:r>
        <w:rPr>
          <w:rFonts w:ascii="仿宋_GB2312" w:eastAsia="仿宋_GB2312" w:cs="仿宋_GB2312"/>
          <w:sz w:val="32"/>
          <w:szCs w:val="32"/>
        </w:rPr>
        <w:t>100%</w:t>
      </w:r>
      <w:r>
        <w:rPr>
          <w:rFonts w:hint="eastAsia" w:ascii="仿宋_GB2312" w:eastAsia="仿宋_GB2312" w:cs="仿宋_GB2312"/>
          <w:sz w:val="32"/>
          <w:szCs w:val="32"/>
        </w:rPr>
        <w:t>。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指标分值</w:t>
      </w:r>
      <w:r>
        <w:rPr>
          <w:rFonts w:hint="eastAsia" w:ascii="仿宋_GB2312" w:eastAsia="仿宋_GB2312" w:cs="仿宋_GB2312"/>
          <w:sz w:val="32"/>
          <w:szCs w:val="32"/>
        </w:rPr>
        <w:t>3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分，自评得分</w:t>
      </w:r>
      <w:r>
        <w:rPr>
          <w:rFonts w:hint="eastAsia" w:ascii="仿宋_GB2312" w:eastAsia="仿宋_GB2312" w:cs="仿宋_GB2312"/>
          <w:sz w:val="32"/>
          <w:szCs w:val="32"/>
        </w:rPr>
        <w:t>3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分。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资产盘活率。资产闲置0万元，资产盘活率达100%。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指标分值</w:t>
      </w:r>
      <w:r>
        <w:rPr>
          <w:rFonts w:hint="eastAsia" w:ascii="仿宋_GB2312" w:eastAsia="仿宋_GB2312" w:cs="仿宋_GB2312"/>
          <w:sz w:val="32"/>
          <w:szCs w:val="32"/>
        </w:rPr>
        <w:t>3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分，自评得分</w:t>
      </w:r>
      <w:r>
        <w:rPr>
          <w:rFonts w:hint="eastAsia" w:ascii="仿宋_GB2312" w:eastAsia="仿宋_GB2312" w:cs="仿宋_GB2312"/>
          <w:sz w:val="32"/>
          <w:szCs w:val="32"/>
        </w:rPr>
        <w:t>3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分。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eastAsia="仿宋_GB2312" w:cs="仿宋_GB2312"/>
          <w:sz w:val="32"/>
          <w:szCs w:val="32"/>
        </w:rPr>
        <w:t>5.</w:t>
      </w:r>
      <w:r>
        <w:rPr>
          <w:rFonts w:ascii="仿宋_GB2312" w:eastAsia="仿宋_GB2312" w:cs="仿宋_GB2312"/>
          <w:sz w:val="32"/>
          <w:szCs w:val="32"/>
          <w:lang w:val="zh-CN"/>
        </w:rPr>
        <w:t>采购管理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。</w:t>
      </w:r>
      <w:r>
        <w:rPr>
          <w:rFonts w:ascii="仿宋_GB2312" w:eastAsia="仿宋_GB2312" w:cs="仿宋_GB2312"/>
          <w:sz w:val="32"/>
          <w:szCs w:val="32"/>
          <w:lang w:val="zh-CN"/>
        </w:rPr>
        <w:t>指标分值</w:t>
      </w:r>
      <w:r>
        <w:rPr>
          <w:rFonts w:hint="eastAsia" w:ascii="仿宋_GB2312" w:eastAsia="仿宋_GB2312" w:cs="仿宋_GB2312"/>
          <w:sz w:val="32"/>
          <w:szCs w:val="32"/>
        </w:rPr>
        <w:t>6</w:t>
      </w:r>
      <w:r>
        <w:rPr>
          <w:rFonts w:ascii="仿宋_GB2312" w:eastAsia="仿宋_GB2312" w:cs="仿宋_GB2312"/>
          <w:sz w:val="32"/>
          <w:szCs w:val="32"/>
          <w:lang w:val="zh-CN"/>
        </w:rPr>
        <w:t>分，自评得分</w:t>
      </w:r>
      <w:r>
        <w:rPr>
          <w:rFonts w:hint="eastAsia" w:ascii="仿宋_GB2312" w:eastAsia="仿宋_GB2312" w:cs="仿宋_GB2312"/>
          <w:sz w:val="32"/>
          <w:szCs w:val="32"/>
        </w:rPr>
        <w:t>6</w:t>
      </w:r>
      <w:r>
        <w:rPr>
          <w:rFonts w:ascii="仿宋_GB2312" w:eastAsia="仿宋_GB2312" w:cs="仿宋_GB2312"/>
          <w:sz w:val="32"/>
          <w:szCs w:val="32"/>
          <w:lang w:val="zh-CN"/>
        </w:rPr>
        <w:t>分。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采购执行率：采购执行规范性，2025年年度政府采购货物计划252.36万元，支出252.36万元；</w:t>
      </w:r>
      <w:bookmarkStart w:id="3" w:name="OLE_LINK4"/>
      <w:r>
        <w:rPr>
          <w:rFonts w:hint="eastAsia" w:ascii="仿宋_GB2312" w:eastAsia="仿宋_GB2312" w:cs="仿宋_GB2312"/>
          <w:sz w:val="32"/>
          <w:szCs w:val="32"/>
        </w:rPr>
        <w:t>政府采购工程计划250万元，</w:t>
      </w:r>
      <w:bookmarkEnd w:id="3"/>
      <w:r>
        <w:rPr>
          <w:rFonts w:hint="eastAsia" w:ascii="仿宋_GB2312" w:eastAsia="仿宋_GB2312" w:cs="仿宋_GB2312"/>
          <w:sz w:val="32"/>
          <w:szCs w:val="32"/>
        </w:rPr>
        <w:t>支出250万元；政府采购服务计划250万元，</w:t>
      </w:r>
      <w:bookmarkStart w:id="4" w:name="OLE_LINK5"/>
      <w:r>
        <w:rPr>
          <w:rFonts w:hint="eastAsia" w:ascii="仿宋_GB2312" w:eastAsia="仿宋_GB2312" w:cs="仿宋_GB2312"/>
          <w:sz w:val="32"/>
          <w:szCs w:val="32"/>
        </w:rPr>
        <w:t>政府采购服务</w:t>
      </w:r>
      <w:bookmarkEnd w:id="4"/>
      <w:r>
        <w:rPr>
          <w:rFonts w:hint="eastAsia" w:ascii="仿宋_GB2312" w:eastAsia="仿宋_GB2312" w:cs="仿宋_GB2312"/>
          <w:sz w:val="32"/>
          <w:szCs w:val="32"/>
        </w:rPr>
        <w:t>支出2.36万元。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指标分值</w:t>
      </w:r>
      <w:r>
        <w:rPr>
          <w:rFonts w:hint="eastAsia" w:ascii="仿宋_GB2312" w:eastAsia="仿宋_GB2312" w:cs="仿宋_GB2312"/>
          <w:sz w:val="32"/>
          <w:szCs w:val="32"/>
        </w:rPr>
        <w:t>3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分，自评得分</w:t>
      </w:r>
      <w:r>
        <w:rPr>
          <w:rFonts w:hint="eastAsia" w:ascii="仿宋_GB2312" w:eastAsia="仿宋_GB2312" w:cs="仿宋_GB2312"/>
          <w:sz w:val="32"/>
          <w:szCs w:val="32"/>
        </w:rPr>
        <w:t>3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分。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eastAsia="仿宋_GB2312" w:cs="仿宋_GB2312"/>
          <w:sz w:val="32"/>
          <w:szCs w:val="32"/>
        </w:rPr>
        <w:t>支持中小企业发展：政府采购授予中小企业合同金额0万元，其中：授予小微企业合同金额</w:t>
      </w:r>
      <w:r>
        <w:rPr>
          <w:rFonts w:ascii="仿宋_GB2312" w:eastAsia="仿宋_GB2312" w:cs="仿宋_GB2312"/>
          <w:sz w:val="32"/>
          <w:szCs w:val="32"/>
        </w:rPr>
        <w:t>0</w:t>
      </w:r>
      <w:r>
        <w:rPr>
          <w:rFonts w:hint="eastAsia" w:ascii="仿宋_GB2312" w:eastAsia="仿宋_GB2312" w:cs="仿宋_GB2312"/>
          <w:sz w:val="32"/>
          <w:szCs w:val="32"/>
        </w:rPr>
        <w:t>万元。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指标分值</w:t>
      </w:r>
      <w:r>
        <w:rPr>
          <w:rFonts w:hint="eastAsia" w:ascii="仿宋_GB2312" w:eastAsia="仿宋_GB2312" w:cs="仿宋_GB2312"/>
          <w:sz w:val="32"/>
          <w:szCs w:val="32"/>
        </w:rPr>
        <w:t>3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分，自评得分</w:t>
      </w:r>
      <w:r>
        <w:rPr>
          <w:rFonts w:hint="eastAsia" w:ascii="仿宋_GB2312" w:eastAsia="仿宋_GB2312" w:cs="仿宋_GB2312"/>
          <w:sz w:val="32"/>
          <w:szCs w:val="32"/>
        </w:rPr>
        <w:t>3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分。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  <w:lang w:val="zh-CN"/>
        </w:rPr>
        <w:t>（二）部门预算项目绩效分析。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指标分值</w:t>
      </w:r>
      <w:r>
        <w:rPr>
          <w:rFonts w:hint="eastAsia" w:ascii="仿宋_GB2312" w:eastAsia="仿宋_GB2312" w:cs="仿宋_GB2312"/>
          <w:sz w:val="32"/>
          <w:szCs w:val="32"/>
        </w:rPr>
        <w:t>35分，自评得分35分。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  <w:lang w:val="zh-CN"/>
        </w:rPr>
      </w:pPr>
      <w:r>
        <w:rPr>
          <w:rFonts w:ascii="仿宋_GB2312" w:eastAsia="仿宋_GB2312" w:cs="仿宋_GB2312"/>
          <w:sz w:val="32"/>
          <w:szCs w:val="32"/>
        </w:rPr>
        <w:t>常年项目绩效分析。</w:t>
      </w:r>
      <w:r>
        <w:rPr>
          <w:rFonts w:ascii="仿宋_GB2312" w:eastAsia="仿宋_GB2312" w:cs="仿宋_GB2312"/>
          <w:sz w:val="32"/>
          <w:szCs w:val="32"/>
          <w:lang w:val="zh-CN"/>
        </w:rPr>
        <w:t>该类项目总数</w:t>
      </w:r>
      <w:r>
        <w:rPr>
          <w:rFonts w:hint="eastAsia" w:ascii="仿宋_GB2312" w:eastAsia="仿宋_GB2312" w:cs="仿宋_GB2312"/>
          <w:sz w:val="32"/>
          <w:szCs w:val="32"/>
        </w:rPr>
        <w:t>10</w:t>
      </w:r>
      <w:r>
        <w:rPr>
          <w:rFonts w:ascii="仿宋_GB2312" w:eastAsia="仿宋_GB2312" w:cs="仿宋_GB2312"/>
          <w:sz w:val="32"/>
          <w:szCs w:val="32"/>
          <w:lang w:val="zh-CN"/>
        </w:rPr>
        <w:t>个，涉及预算总金额</w:t>
      </w:r>
      <w:r>
        <w:rPr>
          <w:rFonts w:hint="eastAsia" w:ascii="仿宋_GB2312" w:eastAsia="仿宋_GB2312" w:cs="仿宋_GB2312"/>
          <w:sz w:val="32"/>
          <w:szCs w:val="32"/>
        </w:rPr>
        <w:t>654.24</w:t>
      </w:r>
      <w:r>
        <w:rPr>
          <w:rFonts w:ascii="仿宋_GB2312" w:eastAsia="仿宋_GB2312" w:cs="仿宋_GB2312"/>
          <w:sz w:val="32"/>
          <w:szCs w:val="32"/>
          <w:lang w:val="zh-CN"/>
        </w:rPr>
        <w:t>万元，1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—</w:t>
      </w:r>
      <w:r>
        <w:rPr>
          <w:rFonts w:ascii="仿宋_GB2312" w:eastAsia="仿宋_GB2312" w:cs="仿宋_GB2312"/>
          <w:sz w:val="32"/>
          <w:szCs w:val="32"/>
          <w:lang w:val="zh-CN"/>
        </w:rPr>
        <w:t>1</w:t>
      </w:r>
      <w:r>
        <w:rPr>
          <w:rFonts w:ascii="仿宋_GB2312" w:eastAsia="仿宋_GB2312" w:cs="仿宋_GB2312"/>
          <w:sz w:val="32"/>
          <w:szCs w:val="32"/>
        </w:rPr>
        <w:t>2</w:t>
      </w:r>
      <w:r>
        <w:rPr>
          <w:rFonts w:ascii="仿宋_GB2312" w:eastAsia="仿宋_GB2312" w:cs="仿宋_GB2312"/>
          <w:sz w:val="32"/>
          <w:szCs w:val="32"/>
          <w:lang w:val="zh-CN"/>
        </w:rPr>
        <w:t>月预算执行总体进度为</w:t>
      </w:r>
      <w:r>
        <w:rPr>
          <w:rFonts w:hint="eastAsia" w:ascii="仿宋_GB2312" w:eastAsia="仿宋_GB2312" w:cs="仿宋_GB2312"/>
          <w:sz w:val="32"/>
          <w:szCs w:val="32"/>
        </w:rPr>
        <w:t>100</w:t>
      </w:r>
      <w:r>
        <w:rPr>
          <w:rFonts w:ascii="仿宋_GB2312" w:eastAsia="仿宋_GB2312" w:cs="仿宋_GB2312"/>
          <w:sz w:val="32"/>
          <w:szCs w:val="32"/>
          <w:lang w:val="zh-CN"/>
        </w:rPr>
        <w:t>%，其中：预算结余率大于</w:t>
      </w:r>
      <w:r>
        <w:rPr>
          <w:rFonts w:ascii="仿宋_GB2312" w:eastAsia="仿宋_GB2312" w:cs="仿宋_GB2312"/>
          <w:sz w:val="32"/>
          <w:szCs w:val="32"/>
        </w:rPr>
        <w:t>10%</w:t>
      </w:r>
      <w:r>
        <w:rPr>
          <w:rFonts w:ascii="仿宋_GB2312" w:eastAsia="仿宋_GB2312" w:cs="仿宋_GB2312"/>
          <w:sz w:val="32"/>
          <w:szCs w:val="32"/>
          <w:lang w:val="zh-CN"/>
        </w:rPr>
        <w:t>的项目共计</w:t>
      </w:r>
      <w:r>
        <w:rPr>
          <w:rFonts w:hint="eastAsia" w:ascii="仿宋_GB2312" w:eastAsia="仿宋_GB2312" w:cs="仿宋_GB2312"/>
          <w:sz w:val="32"/>
          <w:szCs w:val="32"/>
        </w:rPr>
        <w:t>0</w:t>
      </w:r>
      <w:r>
        <w:rPr>
          <w:rFonts w:ascii="仿宋_GB2312" w:eastAsia="仿宋_GB2312" w:cs="仿宋_GB2312"/>
          <w:sz w:val="32"/>
          <w:szCs w:val="32"/>
          <w:lang w:val="zh-CN"/>
        </w:rPr>
        <w:t>个。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  <w:lang w:val="zh-CN"/>
        </w:rPr>
      </w:pPr>
      <w:r>
        <w:rPr>
          <w:rFonts w:ascii="仿宋_GB2312" w:eastAsia="仿宋_GB2312" w:cs="仿宋_GB2312"/>
          <w:sz w:val="32"/>
          <w:szCs w:val="32"/>
        </w:rPr>
        <w:t>阶段（</w:t>
      </w:r>
      <w:r>
        <w:rPr>
          <w:rFonts w:hint="eastAsia" w:ascii="仿宋_GB2312" w:eastAsia="仿宋_GB2312" w:cs="仿宋_GB2312"/>
          <w:sz w:val="32"/>
          <w:szCs w:val="32"/>
        </w:rPr>
        <w:t>含</w:t>
      </w:r>
      <w:r>
        <w:rPr>
          <w:rFonts w:ascii="仿宋_GB2312" w:eastAsia="仿宋_GB2312" w:cs="仿宋_GB2312"/>
          <w:sz w:val="32"/>
          <w:szCs w:val="32"/>
        </w:rPr>
        <w:t>一次性）项目绩效分析。</w:t>
      </w:r>
      <w:r>
        <w:rPr>
          <w:rFonts w:ascii="仿宋_GB2312" w:eastAsia="仿宋_GB2312" w:cs="仿宋_GB2312"/>
          <w:sz w:val="32"/>
          <w:szCs w:val="32"/>
          <w:lang w:val="zh-CN"/>
        </w:rPr>
        <w:t>该类项目总数</w:t>
      </w:r>
      <w:r>
        <w:rPr>
          <w:rFonts w:hint="eastAsia" w:ascii="仿宋_GB2312" w:eastAsia="仿宋_GB2312" w:cs="仿宋_GB2312"/>
          <w:sz w:val="32"/>
          <w:szCs w:val="32"/>
        </w:rPr>
        <w:t>40</w:t>
      </w:r>
      <w:r>
        <w:rPr>
          <w:rFonts w:ascii="仿宋_GB2312" w:eastAsia="仿宋_GB2312" w:cs="仿宋_GB2312"/>
          <w:sz w:val="32"/>
          <w:szCs w:val="32"/>
          <w:lang w:val="zh-CN"/>
        </w:rPr>
        <w:t>个，涉及预算总金额</w:t>
      </w:r>
      <w:r>
        <w:rPr>
          <w:rFonts w:hint="eastAsia" w:ascii="仿宋_GB2312" w:eastAsia="仿宋_GB2312" w:cs="仿宋_GB2312"/>
          <w:sz w:val="32"/>
          <w:szCs w:val="32"/>
        </w:rPr>
        <w:t>563.44</w:t>
      </w:r>
      <w:r>
        <w:rPr>
          <w:rFonts w:ascii="仿宋_GB2312" w:eastAsia="仿宋_GB2312" w:cs="仿宋_GB2312"/>
          <w:sz w:val="32"/>
          <w:szCs w:val="32"/>
          <w:lang w:val="zh-CN"/>
        </w:rPr>
        <w:t>万元，1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—</w:t>
      </w:r>
      <w:r>
        <w:rPr>
          <w:rFonts w:ascii="仿宋_GB2312" w:eastAsia="仿宋_GB2312" w:cs="仿宋_GB2312"/>
          <w:sz w:val="32"/>
          <w:szCs w:val="32"/>
          <w:lang w:val="zh-CN"/>
        </w:rPr>
        <w:t>1</w:t>
      </w:r>
      <w:r>
        <w:rPr>
          <w:rFonts w:ascii="仿宋_GB2312" w:eastAsia="仿宋_GB2312" w:cs="仿宋_GB2312"/>
          <w:sz w:val="32"/>
          <w:szCs w:val="32"/>
        </w:rPr>
        <w:t>2</w:t>
      </w:r>
      <w:r>
        <w:rPr>
          <w:rFonts w:ascii="仿宋_GB2312" w:eastAsia="仿宋_GB2312" w:cs="仿宋_GB2312"/>
          <w:sz w:val="32"/>
          <w:szCs w:val="32"/>
          <w:lang w:val="zh-CN"/>
        </w:rPr>
        <w:t>月预算执行总体进度为</w:t>
      </w:r>
      <w:r>
        <w:rPr>
          <w:rFonts w:hint="eastAsia" w:ascii="仿宋_GB2312" w:eastAsia="仿宋_GB2312" w:cs="仿宋_GB2312"/>
          <w:sz w:val="32"/>
          <w:szCs w:val="32"/>
        </w:rPr>
        <w:t>98.13</w:t>
      </w:r>
      <w:r>
        <w:rPr>
          <w:rFonts w:ascii="仿宋_GB2312" w:eastAsia="仿宋_GB2312" w:cs="仿宋_GB2312"/>
          <w:sz w:val="32"/>
          <w:szCs w:val="32"/>
          <w:lang w:val="zh-CN"/>
        </w:rPr>
        <w:t>%，其中：预算结余率大于</w:t>
      </w:r>
      <w:r>
        <w:rPr>
          <w:rFonts w:ascii="仿宋_GB2312" w:eastAsia="仿宋_GB2312" w:cs="仿宋_GB2312"/>
          <w:sz w:val="32"/>
          <w:szCs w:val="32"/>
        </w:rPr>
        <w:t>10%</w:t>
      </w:r>
      <w:r>
        <w:rPr>
          <w:rFonts w:ascii="仿宋_GB2312" w:eastAsia="仿宋_GB2312" w:cs="仿宋_GB2312"/>
          <w:sz w:val="32"/>
          <w:szCs w:val="32"/>
          <w:lang w:val="zh-CN"/>
        </w:rPr>
        <w:t>的项目共计</w:t>
      </w:r>
      <w:r>
        <w:rPr>
          <w:rFonts w:hint="eastAsia" w:ascii="仿宋_GB2312" w:eastAsia="仿宋_GB2312" w:cs="仿宋_GB2312"/>
          <w:sz w:val="32"/>
          <w:szCs w:val="32"/>
        </w:rPr>
        <w:t>0</w:t>
      </w:r>
      <w:r>
        <w:rPr>
          <w:rFonts w:ascii="仿宋_GB2312" w:eastAsia="仿宋_GB2312" w:cs="仿宋_GB2312"/>
          <w:sz w:val="32"/>
          <w:szCs w:val="32"/>
          <w:lang w:val="zh-CN"/>
        </w:rPr>
        <w:t>个。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eastAsia="仿宋_GB2312" w:cs="仿宋_GB2312"/>
          <w:sz w:val="32"/>
          <w:szCs w:val="32"/>
        </w:rPr>
        <w:t>1.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项目决策。</w:t>
      </w:r>
      <w:r>
        <w:rPr>
          <w:rFonts w:ascii="仿宋_GB2312" w:eastAsia="仿宋_GB2312" w:cs="仿宋_GB2312"/>
          <w:sz w:val="32"/>
          <w:szCs w:val="32"/>
          <w:lang w:val="zh-CN"/>
        </w:rPr>
        <w:t>指标分值</w:t>
      </w:r>
      <w:r>
        <w:rPr>
          <w:rFonts w:hint="eastAsia" w:ascii="仿宋_GB2312" w:eastAsia="仿宋_GB2312" w:cs="仿宋_GB2312"/>
          <w:sz w:val="32"/>
          <w:szCs w:val="32"/>
        </w:rPr>
        <w:t>12</w:t>
      </w:r>
      <w:r>
        <w:rPr>
          <w:rFonts w:ascii="仿宋_GB2312" w:eastAsia="仿宋_GB2312" w:cs="仿宋_GB2312"/>
          <w:sz w:val="32"/>
          <w:szCs w:val="32"/>
          <w:lang w:val="zh-CN"/>
        </w:rPr>
        <w:t>分，自评得分</w:t>
      </w:r>
      <w:r>
        <w:rPr>
          <w:rFonts w:hint="eastAsia" w:ascii="仿宋_GB2312" w:eastAsia="仿宋_GB2312" w:cs="仿宋_GB2312"/>
          <w:sz w:val="32"/>
          <w:szCs w:val="32"/>
        </w:rPr>
        <w:t>12</w:t>
      </w:r>
      <w:r>
        <w:rPr>
          <w:rFonts w:ascii="仿宋_GB2312" w:eastAsia="仿宋_GB2312" w:cs="仿宋_GB2312"/>
          <w:sz w:val="32"/>
          <w:szCs w:val="32"/>
          <w:lang w:val="zh-CN"/>
        </w:rPr>
        <w:t>分。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决策程序;我乡从项目立项必要性、投入经济性、目标合理性、实施可行性、筹资合规性。按照厉行节约的要求，结合项目开支情况结合实际需求、相关费用标准及市场价格水平，重点对目标数量是否合理、投入是否经济、预算测算是否准确、测算过程是否详细、测算依据是否充分等方面进行了分析。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确定项目实施。指标分值</w:t>
      </w:r>
      <w:r>
        <w:rPr>
          <w:rFonts w:hint="eastAsia" w:ascii="仿宋_GB2312" w:eastAsia="仿宋_GB2312" w:cs="仿宋_GB2312"/>
          <w:sz w:val="32"/>
          <w:szCs w:val="32"/>
        </w:rPr>
        <w:t>4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分，自评得分</w:t>
      </w:r>
      <w:r>
        <w:rPr>
          <w:rFonts w:hint="eastAsia" w:ascii="仿宋_GB2312" w:eastAsia="仿宋_GB2312" w:cs="仿宋_GB2312"/>
          <w:sz w:val="32"/>
          <w:szCs w:val="32"/>
        </w:rPr>
        <w:t>4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分。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项目入库；我乡按照项目建设要求在规定时间完成项目入库。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指标分值</w:t>
      </w:r>
      <w:r>
        <w:rPr>
          <w:rFonts w:hint="eastAsia" w:ascii="仿宋_GB2312" w:eastAsia="仿宋_GB2312" w:cs="仿宋_GB2312"/>
          <w:sz w:val="32"/>
          <w:szCs w:val="32"/>
        </w:rPr>
        <w:t>4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分，自评得分</w:t>
      </w:r>
      <w:r>
        <w:rPr>
          <w:rFonts w:hint="eastAsia" w:ascii="仿宋_GB2312" w:eastAsia="仿宋_GB2312" w:cs="仿宋_GB2312"/>
          <w:sz w:val="32"/>
          <w:szCs w:val="32"/>
        </w:rPr>
        <w:t>4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分。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val="zh-CN"/>
        </w:rPr>
        <w:t>目标设置</w:t>
      </w:r>
      <w:r>
        <w:rPr>
          <w:rFonts w:hint="eastAsia" w:ascii="仿宋_GB2312" w:eastAsia="仿宋_GB2312" w:cs="仿宋_GB2312"/>
          <w:sz w:val="32"/>
          <w:szCs w:val="32"/>
        </w:rPr>
        <w:t>: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申报的</w:t>
      </w:r>
      <w:r>
        <w:rPr>
          <w:rFonts w:hint="eastAsia" w:ascii="仿宋_GB2312" w:eastAsia="仿宋_GB2312" w:cs="仿宋_GB2312"/>
          <w:sz w:val="32"/>
          <w:szCs w:val="32"/>
        </w:rPr>
        <w:t>资金项目内容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与具体实施内容相符的、申报目标是合理可行。指标分值</w:t>
      </w:r>
      <w:r>
        <w:rPr>
          <w:rFonts w:hint="eastAsia" w:ascii="仿宋_GB2312" w:eastAsia="仿宋_GB2312" w:cs="仿宋_GB2312"/>
          <w:sz w:val="32"/>
          <w:szCs w:val="32"/>
        </w:rPr>
        <w:t>4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分，自评得分</w:t>
      </w:r>
      <w:r>
        <w:rPr>
          <w:rFonts w:hint="eastAsia" w:ascii="仿宋_GB2312" w:eastAsia="仿宋_GB2312" w:cs="仿宋_GB2312"/>
          <w:sz w:val="32"/>
          <w:szCs w:val="32"/>
        </w:rPr>
        <w:t>4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分。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eastAsia="仿宋_GB2312" w:cs="仿宋_GB2312"/>
          <w:sz w:val="32"/>
          <w:szCs w:val="32"/>
        </w:rPr>
        <w:t>2.项目执行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。</w:t>
      </w:r>
      <w:r>
        <w:rPr>
          <w:rFonts w:ascii="仿宋_GB2312" w:eastAsia="仿宋_GB2312" w:cs="仿宋_GB2312"/>
          <w:sz w:val="32"/>
          <w:szCs w:val="32"/>
          <w:lang w:val="zh-CN"/>
        </w:rPr>
        <w:t>指标分值</w:t>
      </w:r>
      <w:r>
        <w:rPr>
          <w:rFonts w:hint="eastAsia" w:ascii="仿宋_GB2312" w:eastAsia="仿宋_GB2312" w:cs="仿宋_GB2312"/>
          <w:sz w:val="32"/>
          <w:szCs w:val="32"/>
        </w:rPr>
        <w:t>12</w:t>
      </w:r>
      <w:r>
        <w:rPr>
          <w:rFonts w:ascii="仿宋_GB2312" w:eastAsia="仿宋_GB2312" w:cs="仿宋_GB2312"/>
          <w:sz w:val="32"/>
          <w:szCs w:val="32"/>
          <w:lang w:val="zh-CN"/>
        </w:rPr>
        <w:t>分，自评得分</w:t>
      </w:r>
      <w:r>
        <w:rPr>
          <w:rFonts w:hint="eastAsia" w:ascii="仿宋_GB2312" w:eastAsia="仿宋_GB2312" w:cs="仿宋_GB2312"/>
          <w:sz w:val="32"/>
          <w:szCs w:val="32"/>
        </w:rPr>
        <w:t>12</w:t>
      </w:r>
      <w:r>
        <w:rPr>
          <w:rFonts w:ascii="仿宋_GB2312" w:eastAsia="仿宋_GB2312" w:cs="仿宋_GB2312"/>
          <w:sz w:val="32"/>
          <w:szCs w:val="32"/>
          <w:lang w:val="zh-CN"/>
        </w:rPr>
        <w:t>分。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eastAsia="仿宋_GB2312" w:cs="仿宋_GB2312"/>
          <w:sz w:val="32"/>
          <w:szCs w:val="32"/>
        </w:rPr>
        <w:t>执行同向：各项目实际列支内容是否与绩效目标设置方向相符。项目组织管理架构及具体实施流程，包括机构设置、监管措施、执行相关管理制度等符合相关规定。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指标分值</w:t>
      </w:r>
      <w:r>
        <w:rPr>
          <w:rFonts w:hint="eastAsia" w:ascii="仿宋_GB2312" w:eastAsia="仿宋_GB2312" w:cs="仿宋_GB2312"/>
          <w:sz w:val="32"/>
          <w:szCs w:val="32"/>
        </w:rPr>
        <w:t>4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分，自评得分</w:t>
      </w:r>
      <w:r>
        <w:rPr>
          <w:rFonts w:hint="eastAsia" w:ascii="仿宋_GB2312" w:eastAsia="仿宋_GB2312" w:cs="仿宋_GB2312"/>
          <w:sz w:val="32"/>
          <w:szCs w:val="32"/>
        </w:rPr>
        <w:t>4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分。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eastAsia="仿宋_GB2312" w:cs="仿宋_GB2312"/>
          <w:sz w:val="32"/>
          <w:szCs w:val="32"/>
        </w:rPr>
        <w:t>项目调整：按照县委资金分配，设立项目，未调整。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指标分值</w:t>
      </w:r>
      <w:r>
        <w:rPr>
          <w:rFonts w:hint="eastAsia" w:ascii="仿宋_GB2312" w:eastAsia="仿宋_GB2312" w:cs="仿宋_GB2312"/>
          <w:sz w:val="32"/>
          <w:szCs w:val="32"/>
        </w:rPr>
        <w:t>4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分，自评得分</w:t>
      </w:r>
      <w:r>
        <w:rPr>
          <w:rFonts w:hint="eastAsia" w:ascii="仿宋_GB2312" w:eastAsia="仿宋_GB2312" w:cs="仿宋_GB2312"/>
          <w:sz w:val="32"/>
          <w:szCs w:val="32"/>
        </w:rPr>
        <w:t>4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分。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执行结果：资金开支范围、标准及支付进度，支付依据合规合法，资金支付与预算相符。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指标分值</w:t>
      </w:r>
      <w:r>
        <w:rPr>
          <w:rFonts w:hint="eastAsia" w:ascii="仿宋_GB2312" w:eastAsia="仿宋_GB2312" w:cs="仿宋_GB2312"/>
          <w:sz w:val="32"/>
          <w:szCs w:val="32"/>
        </w:rPr>
        <w:t>4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分，自评得分</w:t>
      </w:r>
      <w:r>
        <w:rPr>
          <w:rFonts w:hint="eastAsia" w:ascii="仿宋_GB2312" w:eastAsia="仿宋_GB2312" w:cs="仿宋_GB2312"/>
          <w:sz w:val="32"/>
          <w:szCs w:val="32"/>
        </w:rPr>
        <w:t>4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分。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eastAsia="仿宋_GB2312" w:cs="仿宋_GB2312"/>
          <w:sz w:val="32"/>
          <w:szCs w:val="32"/>
        </w:rPr>
        <w:t>3.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目标实现。</w:t>
      </w:r>
      <w:r>
        <w:rPr>
          <w:rFonts w:ascii="仿宋_GB2312" w:eastAsia="仿宋_GB2312" w:cs="仿宋_GB2312"/>
          <w:sz w:val="32"/>
          <w:szCs w:val="32"/>
          <w:lang w:val="zh-CN"/>
        </w:rPr>
        <w:t>指标分值</w:t>
      </w:r>
      <w:r>
        <w:rPr>
          <w:rFonts w:hint="eastAsia" w:ascii="仿宋_GB2312" w:eastAsia="仿宋_GB2312" w:cs="仿宋_GB2312"/>
          <w:sz w:val="32"/>
          <w:szCs w:val="32"/>
        </w:rPr>
        <w:t>11</w:t>
      </w:r>
      <w:r>
        <w:rPr>
          <w:rFonts w:ascii="仿宋_GB2312" w:eastAsia="仿宋_GB2312" w:cs="仿宋_GB2312"/>
          <w:sz w:val="32"/>
          <w:szCs w:val="32"/>
          <w:lang w:val="zh-CN"/>
        </w:rPr>
        <w:t>分，自评得分</w:t>
      </w:r>
      <w:r>
        <w:rPr>
          <w:rFonts w:hint="eastAsia" w:ascii="仿宋_GB2312" w:eastAsia="仿宋_GB2312" w:cs="仿宋_GB2312"/>
          <w:sz w:val="32"/>
          <w:szCs w:val="32"/>
        </w:rPr>
        <w:t>11</w:t>
      </w:r>
      <w:r>
        <w:rPr>
          <w:rFonts w:ascii="仿宋_GB2312" w:eastAsia="仿宋_GB2312" w:cs="仿宋_GB2312"/>
          <w:sz w:val="32"/>
          <w:szCs w:val="32"/>
          <w:lang w:val="zh-CN"/>
        </w:rPr>
        <w:t>分。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eastAsia="仿宋_GB2312" w:cs="仿宋_GB2312"/>
          <w:sz w:val="32"/>
          <w:szCs w:val="32"/>
          <w:lang w:val="zh-CN"/>
        </w:rPr>
        <w:t>目标完成：项目从经济、社会、生态、可持续效益以及服务对象满意度等方面科学制定目标任务。截止到2025年</w:t>
      </w:r>
      <w:r>
        <w:rPr>
          <w:rFonts w:hint="eastAsia" w:ascii="仿宋_GB2312" w:eastAsia="仿宋_GB2312" w:cs="仿宋_GB2312"/>
          <w:sz w:val="32"/>
          <w:szCs w:val="32"/>
        </w:rPr>
        <w:t>年底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项目按照目标任务完成数量、质量、时效、成本等计划完成目标。指标分值</w:t>
      </w:r>
      <w:r>
        <w:rPr>
          <w:rFonts w:hint="eastAsia" w:ascii="仿宋_GB2312" w:eastAsia="仿宋_GB2312" w:cs="仿宋_GB2312"/>
          <w:sz w:val="32"/>
          <w:szCs w:val="32"/>
        </w:rPr>
        <w:t>4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分，自评得分</w:t>
      </w:r>
      <w:r>
        <w:rPr>
          <w:rFonts w:hint="eastAsia" w:ascii="仿宋_GB2312" w:eastAsia="仿宋_GB2312" w:cs="仿宋_GB2312"/>
          <w:sz w:val="32"/>
          <w:szCs w:val="32"/>
        </w:rPr>
        <w:t>4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分。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eastAsia="仿宋_GB2312" w:cs="仿宋_GB2312"/>
          <w:sz w:val="32"/>
          <w:szCs w:val="32"/>
          <w:lang w:val="zh-CN"/>
        </w:rPr>
        <w:t>目标偏离：预算项目绩效目标数量指标实现程度与预期目标的无偏离情况。各项目实际工作中达到预期的目标或标准，与设定的绩效目标之间不存在差异。指标分值</w:t>
      </w:r>
      <w:r>
        <w:rPr>
          <w:rFonts w:hint="eastAsia" w:ascii="仿宋_GB2312" w:eastAsia="仿宋_GB2312" w:cs="仿宋_GB2312"/>
          <w:sz w:val="32"/>
          <w:szCs w:val="32"/>
        </w:rPr>
        <w:t>4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分，自评得分</w:t>
      </w:r>
      <w:r>
        <w:rPr>
          <w:rFonts w:hint="eastAsia" w:ascii="仿宋_GB2312" w:eastAsia="仿宋_GB2312" w:cs="仿宋_GB2312"/>
          <w:sz w:val="32"/>
          <w:szCs w:val="32"/>
        </w:rPr>
        <w:t>4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分。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eastAsia="仿宋_GB2312" w:cs="仿宋_GB2312"/>
          <w:sz w:val="32"/>
          <w:szCs w:val="32"/>
          <w:lang w:val="zh-CN"/>
        </w:rPr>
        <w:t>实现效果：加快构建全方位、全过程、全覆盖预算绩效管理体系，财政资源配置效率和资金使用效益实现“双提升”。指标分值</w:t>
      </w:r>
      <w:r>
        <w:rPr>
          <w:rFonts w:hint="eastAsia" w:ascii="仿宋_GB2312" w:eastAsia="仿宋_GB2312" w:cs="仿宋_GB2312"/>
          <w:sz w:val="32"/>
          <w:szCs w:val="32"/>
        </w:rPr>
        <w:t>3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分，自评得分</w:t>
      </w:r>
      <w:r>
        <w:rPr>
          <w:rFonts w:hint="eastAsia" w:ascii="仿宋_GB2312" w:eastAsia="仿宋_GB2312" w:cs="仿宋_GB2312"/>
          <w:sz w:val="32"/>
          <w:szCs w:val="32"/>
        </w:rPr>
        <w:t>3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分。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州级部门</w:t>
      </w:r>
      <w:r>
        <w:rPr>
          <w:rFonts w:hint="eastAsia" w:ascii="仿宋_GB2312" w:eastAsia="仿宋_GB2312" w:cs="仿宋_GB2312"/>
          <w:sz w:val="32"/>
          <w:szCs w:val="32"/>
        </w:rPr>
        <w:t>对</w:t>
      </w:r>
      <w:r>
        <w:rPr>
          <w:rFonts w:ascii="仿宋_GB2312" w:eastAsia="仿宋_GB2312" w:cs="仿宋_GB2312"/>
          <w:sz w:val="32"/>
          <w:szCs w:val="32"/>
        </w:rPr>
        <w:t>一般公共预算、政府性基金预算、国有资本经营预算安排的常年项目、阶段项目绩效目标完成情况</w:t>
      </w:r>
      <w:r>
        <w:rPr>
          <w:rFonts w:hint="eastAsia" w:ascii="仿宋_GB2312" w:eastAsia="仿宋_GB2312" w:cs="仿宋_GB2312"/>
          <w:sz w:val="32"/>
          <w:szCs w:val="32"/>
        </w:rPr>
        <w:t>，以及</w:t>
      </w:r>
      <w:r>
        <w:rPr>
          <w:rFonts w:ascii="仿宋_GB2312" w:eastAsia="仿宋_GB2312" w:cs="仿宋_GB2312"/>
          <w:sz w:val="32"/>
          <w:szCs w:val="32"/>
        </w:rPr>
        <w:t>债券资金、政府购买服务</w:t>
      </w:r>
      <w:r>
        <w:rPr>
          <w:rFonts w:hint="eastAsia" w:ascii="仿宋_GB2312" w:eastAsia="仿宋_GB2312" w:cs="仿宋_GB2312"/>
          <w:sz w:val="32"/>
          <w:szCs w:val="32"/>
        </w:rPr>
        <w:t>有关情况</w:t>
      </w:r>
      <w:r>
        <w:rPr>
          <w:rFonts w:ascii="仿宋_GB2312" w:eastAsia="仿宋_GB2312" w:cs="仿宋_GB2312"/>
          <w:sz w:val="32"/>
          <w:szCs w:val="32"/>
        </w:rPr>
        <w:t>进行梳理阐述。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  <w:lang w:val="zh-CN"/>
        </w:rPr>
      </w:pPr>
      <w:r>
        <w:rPr>
          <w:rFonts w:ascii="仿宋_GB2312" w:eastAsia="仿宋_GB2312" w:cs="仿宋_GB2312"/>
          <w:sz w:val="32"/>
          <w:szCs w:val="32"/>
          <w:lang w:val="zh-CN"/>
        </w:rPr>
        <w:t>（三）绩效结果应用情况。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我单位单位于202</w:t>
      </w:r>
      <w:r>
        <w:rPr>
          <w:rFonts w:hint="eastAsia" w:ascii="仿宋_GB2312" w:eastAsia="仿宋_GB2312" w:cs="仿宋_GB2312"/>
          <w:sz w:val="32"/>
          <w:szCs w:val="32"/>
        </w:rPr>
        <w:t>5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年3月</w:t>
      </w:r>
      <w:r>
        <w:rPr>
          <w:rFonts w:hint="eastAsia" w:ascii="仿宋_GB2312" w:eastAsia="仿宋_GB2312" w:cs="仿宋_GB2312"/>
          <w:sz w:val="32"/>
          <w:szCs w:val="32"/>
        </w:rPr>
        <w:t>4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日在黑水县人民政府信息公开网站上公开了《瓦钵梁子乡人民202</w:t>
      </w:r>
      <w:r>
        <w:rPr>
          <w:rFonts w:hint="eastAsia" w:ascii="仿宋_GB2312" w:eastAsia="仿宋_GB2312" w:cs="仿宋_GB2312"/>
          <w:sz w:val="32"/>
          <w:szCs w:val="32"/>
        </w:rPr>
        <w:t>5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年预算编制说明》。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eastAsia="仿宋_GB2312" w:cs="仿宋_GB2312"/>
          <w:sz w:val="32"/>
          <w:szCs w:val="32"/>
          <w:lang w:val="zh-CN"/>
        </w:rPr>
        <w:t>202</w:t>
      </w:r>
      <w:r>
        <w:rPr>
          <w:rFonts w:hint="eastAsia" w:ascii="仿宋_GB2312" w:eastAsia="仿宋_GB2312" w:cs="仿宋_GB2312"/>
          <w:sz w:val="32"/>
          <w:szCs w:val="32"/>
        </w:rPr>
        <w:t>5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年</w:t>
      </w:r>
      <w:r>
        <w:rPr>
          <w:rFonts w:hint="eastAsia" w:ascii="仿宋_GB2312" w:eastAsia="仿宋_GB2312" w:cs="仿宋_GB2312"/>
          <w:sz w:val="32"/>
          <w:szCs w:val="32"/>
        </w:rPr>
        <w:t>9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月</w:t>
      </w:r>
      <w:r>
        <w:rPr>
          <w:rFonts w:hint="eastAsia" w:ascii="仿宋_GB2312" w:eastAsia="仿宋_GB2312" w:cs="仿宋_GB2312"/>
          <w:sz w:val="32"/>
          <w:szCs w:val="32"/>
        </w:rPr>
        <w:t>20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日在黑水县人民政府信息公开网站上公开了《202</w:t>
      </w:r>
      <w:r>
        <w:rPr>
          <w:rFonts w:hint="eastAsia" w:ascii="仿宋_GB2312" w:eastAsia="仿宋_GB2312" w:cs="仿宋_GB2312"/>
          <w:sz w:val="32"/>
          <w:szCs w:val="32"/>
        </w:rPr>
        <w:t>4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年度瓦钵梁子乡人民政府部门决算编制说明》。由于202</w:t>
      </w:r>
      <w:r>
        <w:rPr>
          <w:rFonts w:hint="eastAsia" w:ascii="仿宋_GB2312" w:eastAsia="仿宋_GB2312" w:cs="仿宋_GB2312"/>
          <w:sz w:val="32"/>
          <w:szCs w:val="32"/>
        </w:rPr>
        <w:t>5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年尚未进行决算批复，故</w:t>
      </w:r>
      <w:bookmarkStart w:id="9" w:name="_GoBack"/>
      <w:bookmarkEnd w:id="9"/>
      <w:r>
        <w:rPr>
          <w:rFonts w:hint="eastAsia" w:ascii="仿宋_GB2312" w:eastAsia="仿宋_GB2312" w:cs="仿宋_GB2312"/>
          <w:sz w:val="32"/>
          <w:szCs w:val="32"/>
          <w:lang w:val="zh-CN"/>
        </w:rPr>
        <w:t>无法决算公开。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eastAsia="仿宋_GB2312" w:cs="仿宋_GB2312"/>
          <w:sz w:val="32"/>
          <w:szCs w:val="32"/>
          <w:lang w:val="zh-CN"/>
        </w:rPr>
        <w:t>绩效信息公开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eastAsia="仿宋_GB2312" w:cs="仿宋_GB2312"/>
          <w:sz w:val="32"/>
          <w:szCs w:val="32"/>
          <w:lang w:val="zh-CN"/>
        </w:rPr>
        <w:t>我单位单位于202</w:t>
      </w:r>
      <w:r>
        <w:rPr>
          <w:rFonts w:hint="eastAsia" w:ascii="仿宋_GB2312" w:eastAsia="仿宋_GB2312" w:cs="仿宋_GB2312"/>
          <w:sz w:val="32"/>
          <w:szCs w:val="32"/>
        </w:rPr>
        <w:t>5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年</w:t>
      </w:r>
      <w:r>
        <w:rPr>
          <w:rFonts w:hint="eastAsia" w:ascii="仿宋_GB2312" w:eastAsia="仿宋_GB2312" w:cs="仿宋_GB2312"/>
          <w:sz w:val="32"/>
          <w:szCs w:val="32"/>
        </w:rPr>
        <w:t>9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月</w:t>
      </w:r>
      <w:r>
        <w:rPr>
          <w:rFonts w:hint="eastAsia" w:ascii="仿宋_GB2312" w:eastAsia="仿宋_GB2312" w:cs="仿宋_GB2312"/>
          <w:sz w:val="32"/>
          <w:szCs w:val="32"/>
        </w:rPr>
        <w:t>20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日在黑水县政府信息公开网站上公开了《202</w:t>
      </w:r>
      <w:r>
        <w:rPr>
          <w:rFonts w:hint="eastAsia" w:ascii="仿宋_GB2312" w:eastAsia="仿宋_GB2312" w:cs="仿宋_GB2312"/>
          <w:sz w:val="32"/>
          <w:szCs w:val="32"/>
        </w:rPr>
        <w:t>4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年度瓦钵梁子乡人民政府部门决算编制说明》，说明中公开了预算绩效管理工作开展情况，并公开了202</w:t>
      </w:r>
      <w:r>
        <w:rPr>
          <w:rFonts w:hint="eastAsia" w:ascii="仿宋_GB2312" w:eastAsia="仿宋_GB2312" w:cs="仿宋_GB2312"/>
          <w:sz w:val="32"/>
          <w:szCs w:val="32"/>
        </w:rPr>
        <w:t>4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年整体支出绩效报告。由于202</w:t>
      </w:r>
      <w:r>
        <w:rPr>
          <w:rFonts w:hint="eastAsia" w:ascii="仿宋_GB2312" w:eastAsia="仿宋_GB2312" w:cs="仿宋_GB2312"/>
          <w:sz w:val="32"/>
          <w:szCs w:val="32"/>
        </w:rPr>
        <w:t>5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年尚未进行决算批复，无法进行公开。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(</w:t>
      </w:r>
      <w:r>
        <w:rPr>
          <w:rFonts w:ascii="仿宋_GB2312" w:eastAsia="仿宋_GB2312" w:cs="仿宋_GB2312"/>
          <w:sz w:val="32"/>
          <w:szCs w:val="32"/>
          <w:lang w:val="zh-CN"/>
        </w:rPr>
        <w:t>围绕内部应用情况、信息公开情况、整改反馈情况进行分析。</w:t>
      </w:r>
      <w:r>
        <w:rPr>
          <w:rFonts w:hint="eastAsia" w:ascii="仿宋_GB2312" w:eastAsia="仿宋_GB2312" w:cs="仿宋_GB2312"/>
          <w:sz w:val="32"/>
          <w:szCs w:val="32"/>
        </w:rPr>
        <w:t>)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四、评价结论及建议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  <w:lang w:val="zh-CN"/>
        </w:rPr>
        <w:t>（一）评价结论。</w:t>
      </w:r>
      <w:r>
        <w:rPr>
          <w:rFonts w:hint="eastAsia" w:ascii="仿宋_GB2312" w:eastAsia="仿宋_GB2312" w:cs="仿宋_GB2312"/>
          <w:sz w:val="32"/>
          <w:szCs w:val="32"/>
        </w:rPr>
        <w:t>我乡严格对照评分标准，</w:t>
      </w:r>
      <w:r>
        <w:rPr>
          <w:rFonts w:ascii="仿宋_GB2312" w:eastAsia="仿宋_GB2312" w:cs="仿宋_GB2312"/>
          <w:sz w:val="32"/>
          <w:szCs w:val="32"/>
        </w:rPr>
        <w:t>202</w:t>
      </w:r>
      <w:r>
        <w:rPr>
          <w:rFonts w:hint="eastAsia" w:ascii="仿宋_GB2312" w:eastAsia="仿宋_GB2312" w:cs="仿宋_GB2312"/>
          <w:sz w:val="32"/>
          <w:szCs w:val="32"/>
        </w:rPr>
        <w:t>5年度财政局部门整体支出绩效评价自评分数为97分（详情见附件）。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  <w:lang w:val="zh-CN"/>
        </w:rPr>
      </w:pPr>
      <w:r>
        <w:rPr>
          <w:rFonts w:ascii="仿宋_GB2312" w:eastAsia="仿宋_GB2312" w:cs="仿宋_GB2312"/>
          <w:sz w:val="32"/>
          <w:szCs w:val="32"/>
          <w:lang w:val="zh-CN"/>
        </w:rPr>
        <w:t>（二）存在问题。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eastAsia="仿宋_GB2312" w:cs="仿宋_GB2312"/>
          <w:sz w:val="32"/>
          <w:szCs w:val="32"/>
          <w:lang w:val="zh-CN"/>
        </w:rPr>
        <w:t>1、预算编制不够精确，财政资金紧张，存在中期调整取消资金的情况。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val="zh-CN"/>
        </w:rPr>
        <w:t>2、因本部门整体支出预算资金的安排及使用上有不可预见性。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  <w:lang w:val="zh-CN"/>
        </w:rPr>
      </w:pPr>
      <w:r>
        <w:rPr>
          <w:rFonts w:ascii="仿宋_GB2312" w:eastAsia="仿宋_GB2312" w:cs="仿宋_GB2312"/>
          <w:sz w:val="32"/>
          <w:szCs w:val="32"/>
          <w:lang w:val="zh-CN"/>
        </w:rPr>
        <w:t>改进建议。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一是重视绩效管理，切实履行好职责。努力提升工作绩效，围绕财政项目计划安排，合理使用财政资金，让财政监督职责发挥作用。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二是建立长效机制。把绩效评价作为部门内控的日常工作，建立绩效评价管理工作考核长效机制。科学设定绩效目标，加强预算执行管理。</w:t>
      </w:r>
    </w:p>
    <w:p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</w:p>
    <w:p>
      <w:pPr>
        <w:spacing w:line="578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  <w:shd w:val="clear" w:color="auto" w:fill="FFFFFF"/>
        </w:rPr>
      </w:pPr>
      <w:r>
        <w:rPr>
          <w:rFonts w:eastAsia="仿宋_GB2312"/>
          <w:color w:val="000000"/>
          <w:kern w:val="0"/>
          <w:sz w:val="32"/>
          <w:szCs w:val="32"/>
          <w:shd w:val="clear" w:color="auto" w:fill="FFFFFF"/>
        </w:rPr>
        <w:t>附表：</w:t>
      </w:r>
      <w:r>
        <w:rPr>
          <w:rFonts w:hint="eastAsia" w:eastAsia="仿宋_GB2312"/>
          <w:color w:val="000000"/>
          <w:kern w:val="0"/>
          <w:sz w:val="32"/>
          <w:szCs w:val="32"/>
          <w:shd w:val="clear" w:color="auto" w:fill="FFFFFF"/>
        </w:rPr>
        <w:t>1.部门预算绩效自评打分表</w:t>
      </w:r>
    </w:p>
    <w:p>
      <w:pPr>
        <w:spacing w:line="578" w:lineRule="exact"/>
        <w:ind w:firstLine="1600" w:firstLineChars="500"/>
        <w:jc w:val="left"/>
        <w:rPr>
          <w:rFonts w:eastAsia="仿宋_GB2312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eastAsia="仿宋_GB2312"/>
          <w:color w:val="000000"/>
          <w:kern w:val="0"/>
          <w:sz w:val="32"/>
          <w:szCs w:val="32"/>
          <w:shd w:val="clear" w:color="auto" w:fill="FFFFFF"/>
        </w:rPr>
        <w:t>2.</w:t>
      </w:r>
      <w:r>
        <w:rPr>
          <w:rFonts w:eastAsia="仿宋_GB2312"/>
          <w:color w:val="000000"/>
          <w:kern w:val="0"/>
          <w:sz w:val="32"/>
          <w:szCs w:val="32"/>
          <w:shd w:val="clear" w:color="auto" w:fill="FFFFFF"/>
        </w:rPr>
        <w:t>部门整体</w:t>
      </w:r>
      <w:r>
        <w:rPr>
          <w:rFonts w:hint="eastAsia" w:eastAsia="仿宋_GB2312"/>
          <w:color w:val="000000"/>
          <w:kern w:val="0"/>
          <w:sz w:val="32"/>
          <w:szCs w:val="32"/>
          <w:shd w:val="clear" w:color="auto" w:fill="FFFFFF"/>
        </w:rPr>
        <w:t>支出</w:t>
      </w:r>
      <w:r>
        <w:rPr>
          <w:rFonts w:eastAsia="仿宋_GB2312"/>
          <w:color w:val="000000"/>
          <w:kern w:val="0"/>
          <w:sz w:val="32"/>
          <w:szCs w:val="32"/>
          <w:shd w:val="clear" w:color="auto" w:fill="FFFFFF"/>
        </w:rPr>
        <w:t>绩效目标完成情况自评表</w:t>
      </w:r>
    </w:p>
    <w:p>
      <w:pPr>
        <w:rPr>
          <w:rFonts w:ascii="仿宋_GB2312" w:eastAsia="仿宋_GB2312" w:cs="仿宋_GB2312"/>
          <w:sz w:val="32"/>
          <w:szCs w:val="32"/>
        </w:rPr>
      </w:pPr>
    </w:p>
    <w:p>
      <w:pPr>
        <w:rPr>
          <w:rFonts w:ascii="仿宋_GB2312" w:eastAsia="仿宋_GB2312" w:cs="仿宋_GB2312"/>
          <w:sz w:val="32"/>
          <w:szCs w:val="32"/>
        </w:rPr>
      </w:pPr>
    </w:p>
    <w:p>
      <w:pPr>
        <w:spacing w:line="578" w:lineRule="exact"/>
        <w:jc w:val="left"/>
        <w:rPr>
          <w:rFonts w:eastAsia="黑体"/>
          <w:sz w:val="32"/>
          <w:shd w:val="clear" w:color="auto" w:fill="auto"/>
        </w:rPr>
      </w:pPr>
      <w:r>
        <w:rPr>
          <w:rFonts w:eastAsia="黑体"/>
          <w:sz w:val="32"/>
          <w:shd w:val="clear" w:color="auto" w:fill="auto"/>
        </w:rPr>
        <w:t>附表</w:t>
      </w:r>
      <w:r>
        <w:rPr>
          <w:rFonts w:hint="eastAsia" w:eastAsia="黑体"/>
          <w:sz w:val="32"/>
          <w:shd w:val="clear" w:color="auto" w:fill="auto"/>
        </w:rPr>
        <w:t>1</w:t>
      </w:r>
    </w:p>
    <w:p>
      <w:pPr>
        <w:widowControl/>
        <w:spacing w:line="600" w:lineRule="exact"/>
        <w:jc w:val="center"/>
        <w:textAlignment w:val="center"/>
        <w:rPr>
          <w:rFonts w:eastAsia="方正小标宋简体"/>
          <w:color w:val="000000"/>
          <w:kern w:val="0"/>
          <w:sz w:val="44"/>
          <w:szCs w:val="44"/>
        </w:rPr>
      </w:pPr>
      <w:r>
        <w:rPr>
          <w:rFonts w:hint="eastAsia" w:eastAsia="方正小标宋简体"/>
          <w:color w:val="000000"/>
          <w:kern w:val="0"/>
          <w:sz w:val="44"/>
          <w:szCs w:val="44"/>
        </w:rPr>
        <w:t>部门预算绩效自评打分表</w:t>
      </w:r>
    </w:p>
    <w:tbl>
      <w:tblPr>
        <w:tblStyle w:val="8"/>
        <w:tblW w:w="1091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7"/>
        <w:gridCol w:w="1201"/>
        <w:gridCol w:w="1929"/>
        <w:gridCol w:w="717"/>
        <w:gridCol w:w="4760"/>
        <w:gridCol w:w="730"/>
        <w:gridCol w:w="47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49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cs="黑体"/>
                <w:color w:val="000000"/>
                <w:sz w:val="24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</w:rPr>
              <w:t>绩效评价指标指标分值</w:t>
            </w:r>
          </w:p>
        </w:tc>
        <w:tc>
          <w:tcPr>
            <w:tcW w:w="47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cs="黑体"/>
                <w:color w:val="000000"/>
                <w:sz w:val="24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</w:rPr>
              <w:t>指标解释</w:t>
            </w:r>
          </w:p>
        </w:tc>
        <w:tc>
          <w:tcPr>
            <w:tcW w:w="7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cs="黑体"/>
                <w:color w:val="000000"/>
                <w:kern w:val="0"/>
                <w:sz w:val="24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</w:rPr>
              <w:t>自评得分</w:t>
            </w:r>
          </w:p>
        </w:tc>
        <w:tc>
          <w:tcPr>
            <w:tcW w:w="47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cs="黑体"/>
                <w:color w:val="000000"/>
                <w:kern w:val="0"/>
                <w:sz w:val="24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cs="黑体"/>
                <w:color w:val="000000"/>
                <w:sz w:val="24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</w:rPr>
              <w:t>一级指标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cs="黑体"/>
                <w:color w:val="000000"/>
                <w:sz w:val="24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</w:rPr>
              <w:t>二级指标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cs="黑体"/>
                <w:color w:val="000000"/>
                <w:sz w:val="24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</w:rPr>
              <w:t>三级指标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eastAsia="黑体" w:cs="黑体"/>
                <w:color w:val="000000"/>
                <w:sz w:val="24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4"/>
              </w:rPr>
              <w:t>指标</w:t>
            </w:r>
            <w:r>
              <w:rPr>
                <w:rFonts w:hint="eastAsia" w:ascii="黑体" w:eastAsia="黑体" w:cs="黑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黑体" w:eastAsia="黑体" w:cs="黑体"/>
                <w:color w:val="000000"/>
                <w:kern w:val="0"/>
                <w:sz w:val="24"/>
              </w:rPr>
              <w:t>分值</w:t>
            </w:r>
          </w:p>
        </w:tc>
        <w:tc>
          <w:tcPr>
            <w:tcW w:w="4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7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47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09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b/>
                <w:color w:val="000000"/>
                <w:kern w:val="0"/>
                <w:sz w:val="24"/>
              </w:rPr>
              <w:t>总体绩效（65分）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b/>
                <w:color w:val="000000"/>
                <w:kern w:val="0"/>
                <w:sz w:val="24"/>
              </w:rPr>
              <w:t>履职效能</w:t>
            </w:r>
            <w:r>
              <w:rPr>
                <w:rFonts w:hint="eastAsia" w:ascii="宋体" w:eastAsia="宋体" w:cs="宋体"/>
                <w:b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eastAsia="宋体" w:cs="宋体"/>
                <w:b/>
                <w:color w:val="000000"/>
                <w:kern w:val="0"/>
                <w:sz w:val="24"/>
              </w:rPr>
              <w:t>（15分）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XX履职效果</w:t>
            </w:r>
          </w:p>
        </w:tc>
        <w:tc>
          <w:tcPr>
            <w:tcW w:w="7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15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部门整体绩效目标中选定3-5个核心职能目标，反映该项职能目标完成效果情况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bookmarkStart w:id="5" w:name="OLE_LINK7"/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15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b/>
                <w:color w:val="000000"/>
                <w:kern w:val="0"/>
                <w:sz w:val="24"/>
              </w:rPr>
              <w:t>预算管理</w:t>
            </w:r>
            <w:r>
              <w:rPr>
                <w:rFonts w:hint="eastAsia" w:ascii="宋体" w:eastAsia="宋体" w:cs="宋体"/>
                <w:b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eastAsia="宋体" w:cs="宋体"/>
                <w:b/>
                <w:color w:val="000000"/>
                <w:kern w:val="0"/>
                <w:sz w:val="24"/>
              </w:rPr>
              <w:t>（25分）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预算编制质量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8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部门是否严格按要求编制年初部门预算，年初预算编制的科学性和准确性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6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单位收入统筹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部门统筹自有收入努力程度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支出执行管理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6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部门1至6月、1至10月预算执行情况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5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预算年终结余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部门整体年终预算结余情况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严控一般性支出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5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部门严控“三公”经费、会议、培训、差旅、办节办展、办公设备购置、信息化建设和运维、课题经费、竞赛活动、规划编制一般性支出情况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5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b/>
                <w:color w:val="000000"/>
                <w:kern w:val="0"/>
                <w:sz w:val="24"/>
              </w:rPr>
              <w:t>财务管理</w:t>
            </w:r>
            <w:r>
              <w:rPr>
                <w:rFonts w:hint="eastAsia" w:ascii="宋体" w:eastAsia="宋体" w:cs="宋体"/>
                <w:b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eastAsia="宋体" w:cs="宋体"/>
                <w:b/>
                <w:color w:val="000000"/>
                <w:kern w:val="0"/>
                <w:sz w:val="24"/>
              </w:rPr>
              <w:t>（10分）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财务管理制度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部门财务管理制度建立情况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财务岗位设置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部门财务岗位设置是否符合相关财务管理制度要求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资金使用规范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部门资金使用是否符合相关财务管理制度规定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b/>
                <w:color w:val="000000"/>
                <w:kern w:val="0"/>
                <w:sz w:val="24"/>
              </w:rPr>
              <w:t>资产管理</w:t>
            </w:r>
            <w:r>
              <w:rPr>
                <w:rFonts w:hint="eastAsia" w:ascii="宋体" w:eastAsia="宋体" w:cs="宋体"/>
                <w:b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eastAsia="宋体" w:cs="宋体"/>
                <w:b/>
                <w:color w:val="000000"/>
                <w:kern w:val="0"/>
                <w:sz w:val="24"/>
              </w:rPr>
              <w:t>（9分）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人均资产变化率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部门人均资产变化情况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资产利用率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部门资产超最低使用年限情况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b/>
                <w:color w:val="000000"/>
                <w:kern w:val="0"/>
                <w:sz w:val="24"/>
              </w:rPr>
              <w:t>资产管理</w:t>
            </w:r>
            <w:r>
              <w:rPr>
                <w:rFonts w:hint="eastAsia" w:ascii="宋体" w:eastAsia="宋体" w:cs="宋体"/>
                <w:b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eastAsia="宋体" w:cs="宋体"/>
                <w:b/>
                <w:color w:val="000000"/>
                <w:kern w:val="0"/>
                <w:sz w:val="24"/>
              </w:rPr>
              <w:t>（9分）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资产盘活率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部门闲置一年以上的资产盘活情况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b/>
                <w:color w:val="000000"/>
                <w:kern w:val="0"/>
                <w:sz w:val="24"/>
              </w:rPr>
              <w:t>采购管理</w:t>
            </w:r>
            <w:r>
              <w:rPr>
                <w:rFonts w:hint="eastAsia" w:ascii="宋体" w:eastAsia="宋体" w:cs="宋体"/>
                <w:b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eastAsia="宋体" w:cs="宋体"/>
                <w:b/>
                <w:color w:val="000000"/>
                <w:kern w:val="0"/>
                <w:sz w:val="24"/>
              </w:rPr>
              <w:t>（6分）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支持中小企业发展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部门是否严格执行政府采购促进中小企业发展相关管理办法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109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采购执行率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部门政府采购项目资金支付比例情况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b/>
                <w:color w:val="000000"/>
                <w:kern w:val="0"/>
                <w:sz w:val="24"/>
              </w:rPr>
              <w:t>项目绩效（35分）</w:t>
            </w:r>
          </w:p>
        </w:tc>
        <w:tc>
          <w:tcPr>
            <w:tcW w:w="1201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b/>
                <w:color w:val="000000"/>
                <w:kern w:val="0"/>
                <w:sz w:val="24"/>
              </w:rPr>
              <w:t>项目决策</w:t>
            </w:r>
            <w:r>
              <w:rPr>
                <w:rFonts w:hint="eastAsia" w:ascii="宋体" w:eastAsia="宋体" w:cs="宋体"/>
                <w:b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eastAsia="宋体" w:cs="宋体"/>
                <w:b/>
                <w:color w:val="000000"/>
                <w:kern w:val="0"/>
                <w:sz w:val="24"/>
              </w:rPr>
              <w:t>（12分）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决策程序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部门预算项目设立是否按规定履行评估论证、申报程序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目标设置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部门预算项目绩效目标与计划期内的任务量、预算安排的资金量匹配情况，绩效目标设置是否科学合理、规范完整、量化细化、预算匹配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0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项目入库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部门预算项目是否在规定时间完成项目入库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0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b/>
                <w:color w:val="000000"/>
                <w:kern w:val="0"/>
                <w:sz w:val="24"/>
              </w:rPr>
              <w:t>项目执行</w:t>
            </w:r>
            <w:r>
              <w:rPr>
                <w:rFonts w:hint="eastAsia" w:ascii="宋体" w:eastAsia="宋体" w:cs="宋体"/>
                <w:b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eastAsia="宋体" w:cs="宋体"/>
                <w:b/>
                <w:color w:val="000000"/>
                <w:kern w:val="0"/>
                <w:sz w:val="24"/>
              </w:rPr>
              <w:t>（12分）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执行同向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部门预算项目实际列支内容是否与绩效目标设置方向相符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jc w:val="center"/>
        </w:trPr>
        <w:tc>
          <w:tcPr>
            <w:tcW w:w="10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项目调整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部门预算项目是否采取对应调整措施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  <w:jc w:val="center"/>
        </w:trPr>
        <w:tc>
          <w:tcPr>
            <w:tcW w:w="10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执行结果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部门预算项目预算执行情况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10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b/>
                <w:color w:val="000000"/>
                <w:kern w:val="0"/>
                <w:sz w:val="24"/>
              </w:rPr>
              <w:t>目标实现</w:t>
            </w:r>
            <w:r>
              <w:rPr>
                <w:rFonts w:hint="eastAsia" w:ascii="宋体" w:eastAsia="宋体" w:cs="宋体"/>
                <w:b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eastAsia="宋体" w:cs="宋体"/>
                <w:b/>
                <w:color w:val="000000"/>
                <w:kern w:val="0"/>
                <w:sz w:val="24"/>
              </w:rPr>
              <w:t>（11分）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目标完成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部门预算项目绩效目标数量指标完成情况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目标偏离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部门预算项目绩效目标数量指标实现程度与预期目标的偏离情况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10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2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/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实现效果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部门预算项目绩效目标效益指标实施效果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3</w:t>
            </w:r>
          </w:p>
          <w:bookmarkEnd w:id="5"/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b/>
                <w:color w:val="000000"/>
                <w:kern w:val="0"/>
                <w:sz w:val="24"/>
              </w:rPr>
              <w:t>扣分项</w:t>
            </w:r>
            <w:r>
              <w:rPr>
                <w:rFonts w:hint="eastAsia" w:ascii="宋体" w:eastAsia="宋体" w:cs="宋体"/>
                <w:b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eastAsia="宋体" w:cs="宋体"/>
                <w:b/>
                <w:color w:val="000000"/>
                <w:kern w:val="0"/>
                <w:sz w:val="24"/>
              </w:rPr>
              <w:t>（10分）</w:t>
            </w:r>
          </w:p>
        </w:tc>
        <w:tc>
          <w:tcPr>
            <w:tcW w:w="31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被评价部门配合度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-</w:t>
            </w:r>
          </w:p>
        </w:tc>
        <w:tc>
          <w:tcPr>
            <w:tcW w:w="4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被评价对象工作配合情况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</w:p>
        </w:tc>
      </w:tr>
    </w:tbl>
    <w:p>
      <w:pPr>
        <w:spacing w:line="20" w:lineRule="exact"/>
        <w:rPr>
          <w:rFonts w:eastAsia="黑体"/>
        </w:rPr>
      </w:pPr>
      <w:r>
        <w:rPr>
          <w:rFonts w:eastAsia="黑体"/>
        </w:rPr>
        <w:br w:type="page"/>
      </w:r>
    </w:p>
    <w:p>
      <w:pPr>
        <w:spacing w:line="578" w:lineRule="exact"/>
        <w:jc w:val="left"/>
        <w:rPr>
          <w:rFonts w:eastAsia="黑体"/>
          <w:sz w:val="32"/>
          <w:shd w:val="clear" w:color="auto" w:fill="auto"/>
        </w:rPr>
      </w:pPr>
      <w:r>
        <w:rPr>
          <w:rFonts w:eastAsia="黑体"/>
          <w:sz w:val="32"/>
          <w:shd w:val="clear" w:color="auto" w:fill="auto"/>
        </w:rPr>
        <w:t>附表</w:t>
      </w:r>
      <w:r>
        <w:rPr>
          <w:rFonts w:hint="eastAsia" w:eastAsia="黑体"/>
          <w:sz w:val="32"/>
          <w:shd w:val="clear" w:color="auto" w:fill="auto"/>
        </w:rPr>
        <w:t>2</w:t>
      </w:r>
    </w:p>
    <w:p>
      <w:pPr>
        <w:widowControl/>
        <w:spacing w:line="578" w:lineRule="exact"/>
        <w:jc w:val="center"/>
        <w:textAlignment w:val="center"/>
        <w:rPr>
          <w:rFonts w:eastAsia="方正小标宋简体"/>
          <w:color w:val="000000"/>
          <w:kern w:val="0"/>
          <w:sz w:val="44"/>
          <w:szCs w:val="44"/>
        </w:rPr>
      </w:pPr>
      <w:r>
        <w:rPr>
          <w:rFonts w:eastAsia="方正小标宋简体"/>
          <w:color w:val="000000"/>
          <w:kern w:val="0"/>
          <w:sz w:val="44"/>
          <w:szCs w:val="44"/>
        </w:rPr>
        <w:t>部门整体</w:t>
      </w:r>
      <w:r>
        <w:rPr>
          <w:rFonts w:hint="eastAsia" w:eastAsia="方正小标宋简体"/>
          <w:color w:val="000000"/>
          <w:kern w:val="0"/>
          <w:sz w:val="44"/>
          <w:szCs w:val="44"/>
        </w:rPr>
        <w:t>支出</w:t>
      </w:r>
      <w:r>
        <w:rPr>
          <w:rFonts w:eastAsia="方正小标宋简体"/>
          <w:color w:val="000000"/>
          <w:kern w:val="0"/>
          <w:sz w:val="44"/>
          <w:szCs w:val="44"/>
        </w:rPr>
        <w:t>绩效目标完成情况自评表</w:t>
      </w:r>
    </w:p>
    <w:tbl>
      <w:tblPr>
        <w:tblStyle w:val="8"/>
        <w:tblW w:w="965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"/>
        <w:gridCol w:w="593"/>
        <w:gridCol w:w="803"/>
        <w:gridCol w:w="1246"/>
        <w:gridCol w:w="1158"/>
        <w:gridCol w:w="700"/>
        <w:gridCol w:w="740"/>
        <w:gridCol w:w="1045"/>
        <w:gridCol w:w="1111"/>
        <w:gridCol w:w="19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72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eastAsia="黑体"/>
                <w:sz w:val="24"/>
              </w:rPr>
              <w:br w:type="page"/>
            </w: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部门名称</w:t>
            </w:r>
          </w:p>
        </w:tc>
        <w:tc>
          <w:tcPr>
            <w:tcW w:w="793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黑水县瓦钵梁子乡人民政府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  <w:jc w:val="center"/>
        </w:trPr>
        <w:tc>
          <w:tcPr>
            <w:tcW w:w="17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年度部门整体预算</w:t>
            </w:r>
          </w:p>
        </w:tc>
        <w:tc>
          <w:tcPr>
            <w:tcW w:w="240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资金总额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财政拨款</w:t>
            </w:r>
          </w:p>
        </w:tc>
        <w:tc>
          <w:tcPr>
            <w:tcW w:w="40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其他资金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  <w:jc w:val="center"/>
        </w:trPr>
        <w:tc>
          <w:tcPr>
            <w:tcW w:w="17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收入预算</w:t>
            </w:r>
          </w:p>
        </w:tc>
        <w:tc>
          <w:tcPr>
            <w:tcW w:w="240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0.00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0.00</w:t>
            </w:r>
          </w:p>
        </w:tc>
        <w:tc>
          <w:tcPr>
            <w:tcW w:w="40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17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支出预算</w:t>
            </w:r>
          </w:p>
        </w:tc>
        <w:tc>
          <w:tcPr>
            <w:tcW w:w="240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755.84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755.84</w:t>
            </w:r>
          </w:p>
        </w:tc>
        <w:tc>
          <w:tcPr>
            <w:tcW w:w="4087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0.00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1727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年度总体目标</w:t>
            </w:r>
          </w:p>
        </w:tc>
        <w:tc>
          <w:tcPr>
            <w:tcW w:w="793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……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3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管理效率</w:t>
            </w:r>
          </w:p>
        </w:tc>
        <w:tc>
          <w:tcPr>
            <w:tcW w:w="5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一级指标</w:t>
            </w:r>
          </w:p>
        </w:tc>
        <w:tc>
          <w:tcPr>
            <w:tcW w:w="8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二级指标</w:t>
            </w:r>
          </w:p>
        </w:tc>
        <w:tc>
          <w:tcPr>
            <w:tcW w:w="12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三级指标</w:t>
            </w:r>
          </w:p>
        </w:tc>
        <w:tc>
          <w:tcPr>
            <w:tcW w:w="11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指标值</w:t>
            </w:r>
          </w:p>
        </w:tc>
        <w:tc>
          <w:tcPr>
            <w:tcW w:w="35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指标设置参考值</w:t>
            </w:r>
          </w:p>
        </w:tc>
        <w:tc>
          <w:tcPr>
            <w:tcW w:w="193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指标实际完成值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3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12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1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三年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均值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2023</w:t>
            </w:r>
            <w:r>
              <w:rPr>
                <w:rFonts w:ascii="宋体" w:eastAsia="宋体" w:cs="宋体"/>
                <w:color w:val="000000"/>
                <w:kern w:val="0"/>
                <w:sz w:val="24"/>
              </w:rPr>
              <w:t>年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2024</w:t>
            </w:r>
            <w:r>
              <w:rPr>
                <w:rFonts w:ascii="宋体" w:eastAsia="宋体" w:cs="宋体"/>
                <w:color w:val="000000"/>
                <w:kern w:val="0"/>
                <w:sz w:val="24"/>
              </w:rPr>
              <w:t>年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2025</w:t>
            </w:r>
            <w:r>
              <w:rPr>
                <w:rFonts w:ascii="宋体" w:eastAsia="宋体" w:cs="宋体"/>
                <w:color w:val="000000"/>
                <w:kern w:val="0"/>
                <w:sz w:val="24"/>
              </w:rPr>
              <w:t>年</w:t>
            </w:r>
          </w:p>
        </w:tc>
        <w:tc>
          <w:tcPr>
            <w:tcW w:w="19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成本指标</w:t>
            </w:r>
          </w:p>
        </w:tc>
        <w:tc>
          <w:tcPr>
            <w:tcW w:w="8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预算管理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财政拨款</w:t>
            </w:r>
            <w:r>
              <w:rPr>
                <w:rFonts w:ascii="宋体" w:eastAsia="宋体" w:cs="宋体"/>
                <w:color w:val="000000"/>
                <w:kern w:val="0"/>
                <w:sz w:val="24"/>
              </w:rPr>
              <w:t>预算编制偏离度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44.26</w:t>
            </w:r>
            <w:bookmarkStart w:id="6" w:name="OLE_LINK10"/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%</w:t>
            </w:r>
            <w:bookmarkEnd w:id="6"/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44.26</w:t>
            </w:r>
            <w:r>
              <w:rPr>
                <w:rFonts w:ascii="宋体" w:eastAsia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44.26%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bookmarkStart w:id="7" w:name="OLE_LINK6"/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44.26%</w:t>
            </w:r>
            <w:bookmarkEnd w:id="7"/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44.26%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44.26%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单位收入统筹度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0%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0</w:t>
            </w:r>
            <w:r>
              <w:rPr>
                <w:rFonts w:ascii="宋体" w:eastAsia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0%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bookmarkStart w:id="8" w:name="OLE_LINK9"/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0%</w:t>
            </w:r>
            <w:bookmarkEnd w:id="8"/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0%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预算年终结余</w:t>
            </w:r>
            <w:r>
              <w:rPr>
                <w:rFonts w:ascii="宋体" w:eastAsia="宋体" w:cs="宋体"/>
                <w:color w:val="000000"/>
                <w:kern w:val="0"/>
                <w:sz w:val="24"/>
              </w:rPr>
              <w:t>率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0%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0</w:t>
            </w:r>
            <w:r>
              <w:rPr>
                <w:rFonts w:ascii="宋体" w:eastAsia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0%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0%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0%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一般性支出</w:t>
            </w:r>
            <w:r>
              <w:rPr>
                <w:rFonts w:ascii="宋体" w:eastAsia="宋体" w:cs="宋体"/>
                <w:color w:val="000000"/>
                <w:kern w:val="0"/>
                <w:sz w:val="24"/>
              </w:rPr>
              <w:t>金额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70.99</w:t>
            </w:r>
            <w:r>
              <w:rPr>
                <w:rFonts w:ascii="宋体" w:eastAsia="宋体" w:cs="宋体"/>
                <w:color w:val="000000"/>
                <w:kern w:val="0"/>
                <w:sz w:val="24"/>
              </w:rPr>
              <w:t>万元</w:t>
            </w:r>
          </w:p>
        </w:tc>
        <w:tc>
          <w:tcPr>
            <w:tcW w:w="35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x</w:t>
            </w:r>
            <w:r>
              <w:rPr>
                <w:rFonts w:ascii="宋体" w:eastAsia="宋体" w:cs="宋体"/>
                <w:color w:val="000000"/>
                <w:kern w:val="0"/>
                <w:sz w:val="24"/>
              </w:rPr>
              <w:t>为上年一般性支出金额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70.99万元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财务管理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财务管理规范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优</w:t>
            </w:r>
          </w:p>
        </w:tc>
        <w:tc>
          <w:tcPr>
            <w:tcW w:w="35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x</w:t>
            </w:r>
            <w:r>
              <w:rPr>
                <w:rFonts w:ascii="宋体" w:eastAsia="宋体" w:cs="宋体"/>
                <w:color w:val="000000"/>
                <w:kern w:val="0"/>
                <w:sz w:val="24"/>
              </w:rPr>
              <w:t>为“优”“良”“中”或“差”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资产管理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资产配置预算偏离度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0</w:t>
            </w:r>
            <w:r>
              <w:rPr>
                <w:rFonts w:ascii="宋体" w:eastAsia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0</w:t>
            </w:r>
            <w:r>
              <w:rPr>
                <w:rFonts w:ascii="宋体" w:eastAsia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0%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0%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0%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采购管理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采购执行率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100%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100</w:t>
            </w:r>
            <w:r>
              <w:rPr>
                <w:rFonts w:ascii="宋体" w:eastAsia="宋体" w:cs="宋体"/>
                <w:color w:val="000000"/>
                <w:kern w:val="0"/>
                <w:sz w:val="24"/>
              </w:rPr>
              <w:t>%</w:t>
            </w:r>
          </w:p>
        </w:tc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100.00%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100.00%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100.00%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  <w:jc w:val="center"/>
        </w:trPr>
        <w:tc>
          <w:tcPr>
            <w:tcW w:w="3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履职效能</w:t>
            </w:r>
          </w:p>
        </w:tc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一级指标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二级指标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三级指标</w:t>
            </w:r>
          </w:p>
        </w:tc>
        <w:tc>
          <w:tcPr>
            <w:tcW w:w="475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指标值（包含数字及文字描述）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3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产出指标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时效指标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资金拨付</w:t>
            </w:r>
          </w:p>
        </w:tc>
        <w:tc>
          <w:tcPr>
            <w:tcW w:w="475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等于100%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3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数量指标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开展宣传活动</w:t>
            </w:r>
          </w:p>
        </w:tc>
        <w:tc>
          <w:tcPr>
            <w:tcW w:w="475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不少于10次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10次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3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数量指标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开</w:t>
            </w:r>
            <w:r>
              <w:rPr>
                <w:rFonts w:ascii="宋体" w:eastAsia="宋体" w:cs="宋体"/>
                <w:color w:val="000000"/>
                <w:kern w:val="0"/>
                <w:sz w:val="24"/>
              </w:rPr>
              <w:t>展基础设施项目</w:t>
            </w:r>
          </w:p>
        </w:tc>
        <w:tc>
          <w:tcPr>
            <w:tcW w:w="475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不少于2个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2个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3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数量指标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涉及职工参保人数</w:t>
            </w:r>
          </w:p>
        </w:tc>
        <w:tc>
          <w:tcPr>
            <w:tcW w:w="475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等于26人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26人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3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数量指标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cs="宋体"/>
                <w:color w:val="000000"/>
                <w:kern w:val="0"/>
                <w:sz w:val="24"/>
              </w:rPr>
              <w:t>涉及职工工资发放人数</w:t>
            </w:r>
          </w:p>
        </w:tc>
        <w:tc>
          <w:tcPr>
            <w:tcW w:w="475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等于26人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26人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3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质量指标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cs="宋体"/>
                <w:color w:val="000000"/>
                <w:kern w:val="0"/>
                <w:sz w:val="24"/>
              </w:rPr>
              <w:t>项目验收率</w:t>
            </w:r>
          </w:p>
        </w:tc>
        <w:tc>
          <w:tcPr>
            <w:tcW w:w="475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等于100%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3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效益指标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经济效益指标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预算资金总额</w:t>
            </w:r>
          </w:p>
        </w:tc>
        <w:tc>
          <w:tcPr>
            <w:tcW w:w="475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等于755.84万元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755.84万元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3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5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/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社会效益指标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提升对群众服务率</w:t>
            </w:r>
          </w:p>
        </w:tc>
        <w:tc>
          <w:tcPr>
            <w:tcW w:w="475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不少于85%</w:t>
            </w:r>
          </w:p>
        </w:tc>
        <w:tc>
          <w:tcPr>
            <w:tcW w:w="1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eastAsia="宋体" w:cs="宋体"/>
                <w:color w:val="000000"/>
                <w:kern w:val="0"/>
                <w:sz w:val="24"/>
              </w:rPr>
              <w:t>98%</w:t>
            </w:r>
          </w:p>
        </w:tc>
      </w:tr>
    </w:tbl>
    <w:p>
      <w:pPr>
        <w:pStyle w:val="7"/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6BC49B"/>
    <w:multiLevelType w:val="singleLevel"/>
    <w:tmpl w:val="0E6BC49B"/>
    <w:lvl w:ilvl="0" w:tentative="0">
      <w:start w:val="2"/>
      <w:numFmt w:val="chineseCounting"/>
      <w:suff w:val="nothing"/>
      <w:lvlText w:val="（%1）"/>
      <w:lvlJc w:val="left"/>
      <w:pPr>
        <w:ind w:left="0" w:firstLine="0"/>
      </w:pPr>
      <w:rPr>
        <w:rFonts w:hint="eastAsia"/>
      </w:rPr>
    </w:lvl>
  </w:abstractNum>
  <w:abstractNum w:abstractNumId="1">
    <w:nsid w:val="3203FCA4"/>
    <w:multiLevelType w:val="singleLevel"/>
    <w:tmpl w:val="3203FCA4"/>
    <w:lvl w:ilvl="0" w:tentative="0">
      <w:start w:val="3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docVars>
    <w:docVar w:name="commondata" w:val="eyJoZGlkIjoiZTgzNmEyOTFjMjZjODc0OGIyZjk3N2Q1Zjc3YWU5MjEifQ=="/>
  </w:docVars>
  <w:rsids>
    <w:rsidRoot w:val="00000000"/>
    <w:rsid w:val="0BF39DE6"/>
    <w:rsid w:val="1BFD4EE7"/>
    <w:rsid w:val="68DF1645"/>
    <w:rsid w:val="D7476030"/>
    <w:rsid w:val="ECBF3F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Arial"/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Arial"/>
      <w:sz w:val="18"/>
      <w:szCs w:val="18"/>
    </w:rPr>
  </w:style>
  <w:style w:type="paragraph" w:styleId="7">
    <w:name w:val="table of figures"/>
    <w:basedOn w:val="1"/>
    <w:next w:val="1"/>
    <w:qFormat/>
    <w:uiPriority w:val="0"/>
    <w:pPr>
      <w:ind w:left="400" w:leftChars="200" w:hanging="200" w:hangingChars="200"/>
    </w:pPr>
  </w:style>
  <w:style w:type="paragraph" w:customStyle="1" w:styleId="10">
    <w:name w:val="标题 5（有编号）（绿盟科技）"/>
    <w:next w:val="1"/>
    <w:qFormat/>
    <w:uiPriority w:val="0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Sky123.Org</Company>
  <Pages>15</Pages>
  <Words>7333</Words>
  <Characters>7887</Characters>
  <Lines>645</Lines>
  <Paragraphs>329</Paragraphs>
  <TotalTime>13</TotalTime>
  <ScaleCrop>false</ScaleCrop>
  <LinksUpToDate>false</LinksUpToDate>
  <CharactersWithSpaces>7898</CharactersWithSpaces>
  <Application>WPS Office_11.8.2.1120_F1E327BC-269C-435d-A152-05C5408002CA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user</cp:lastModifiedBy>
  <dcterms:modified xsi:type="dcterms:W3CDTF">2026-09-23T17:04:40Z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E386F3B7411C48A1AD6AB9C408B70A74_13</vt:lpwstr>
  </property>
  <property fmtid="{D5CDD505-2E9C-101B-9397-08002B2CF9AE}" pid="4" name="KSOTemplateDocerSaveRecord">
    <vt:lpwstr>eyJoZGlkIjoiNWQzNjhjNDNiN2RjOWRkY2QxZGViYzI0NTBlYjA3NDAiLCJ1c2VySWQiOiI2NTEwMjUzNzAifQ==</vt:lpwstr>
  </property>
</Properties>
</file>