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b/>
          <w:color w:val="FF0000"/>
          <w:w w:val="44"/>
          <w:sz w:val="144"/>
          <w:szCs w:val="144"/>
        </w:rPr>
      </w:pPr>
      <w:r>
        <w:rPr>
          <w:rFonts w:hint="eastAsia" w:ascii="宋体"/>
          <w:b/>
          <w:color w:val="FF0000"/>
          <w:w w:val="44"/>
          <w:sz w:val="150"/>
          <w:szCs w:val="144"/>
        </w:rPr>
        <w:t>黑水县</w:t>
      </w:r>
      <w:r>
        <w:rPr>
          <w:rFonts w:hint="eastAsia" w:ascii="宋体"/>
          <w:b/>
          <w:color w:val="FF0000"/>
          <w:w w:val="44"/>
          <w:sz w:val="150"/>
          <w:szCs w:val="144"/>
          <w:lang w:val="en-US" w:eastAsia="zh-CN"/>
        </w:rPr>
        <w:t>晴朗乡</w:t>
      </w:r>
      <w:r>
        <w:rPr>
          <w:rFonts w:hint="eastAsia" w:ascii="宋体"/>
          <w:b/>
          <w:color w:val="FF0000"/>
          <w:w w:val="44"/>
          <w:sz w:val="150"/>
          <w:szCs w:val="144"/>
        </w:rPr>
        <w:t>人民政府文件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b w:val="0"/>
          <w:bCs/>
          <w:color w:val="FF0000"/>
          <w:spacing w:val="-24"/>
          <w:w w:val="65"/>
          <w:szCs w:val="32"/>
          <w:lang w:val="en-US" w:eastAsia="zh-CN"/>
        </w:rPr>
      </w:pPr>
      <w:r>
        <w:rPr>
          <w:rFonts w:hint="eastAsia" w:ascii="方正仿宋_GBK" w:hAnsi="方正仿宋_GBK" w:eastAsia="方正仿宋_GBK" w:cs="方正仿宋_GBK"/>
          <w:bCs/>
          <w:sz w:val="32"/>
          <w:szCs w:val="32"/>
          <w:lang w:val="en-US" w:eastAsia="zh-CN"/>
        </w:rPr>
        <w:t xml:space="preserve">黑晴府【2024】31号                      </w:t>
      </w:r>
      <w:r>
        <w:rPr>
          <w:rFonts w:hint="eastAsia" w:ascii="方正仿宋_GBK" w:hAnsi="方正仿宋_GBK" w:eastAsia="方正仿宋_GBK" w:cs="方正仿宋_GBK"/>
          <w:bCs/>
          <w:sz w:val="32"/>
          <w:szCs w:val="32"/>
          <w:lang w:eastAsia="zh-CN"/>
        </w:rPr>
        <w:t>签发人：</w:t>
      </w:r>
      <w:r>
        <w:rPr>
          <w:rFonts w:hint="eastAsia" w:ascii="楷体" w:hAnsi="楷体" w:eastAsia="楷体" w:cs="楷体"/>
          <w:bCs/>
          <w:sz w:val="32"/>
          <w:szCs w:val="32"/>
          <w:lang w:val="en-US" w:eastAsia="zh-CN"/>
        </w:rPr>
        <w:t>王维峰</w:t>
      </w:r>
    </w:p>
    <w:tbl>
      <w:tblPr>
        <w:tblStyle w:val="14"/>
        <w:tblW w:w="0" w:type="auto"/>
        <w:tblInd w:w="-294" w:type="dxa"/>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Layout w:type="fixed"/>
        <w:tblCellMar>
          <w:top w:w="0" w:type="dxa"/>
          <w:left w:w="108" w:type="dxa"/>
          <w:bottom w:w="0" w:type="dxa"/>
          <w:right w:w="108" w:type="dxa"/>
        </w:tblCellMar>
      </w:tblPr>
      <w:tblGrid>
        <w:gridCol w:w="9620"/>
      </w:tblGrid>
      <w:tr>
        <w:tblPrEx>
          <w:tblBorders>
            <w:top w:val="single" w:color="FF0000" w:sz="18" w:space="0"/>
            <w:left w:val="single" w:color="FF0000" w:sz="18" w:space="0"/>
            <w:bottom w:val="single" w:color="FF0000" w:sz="18" w:space="0"/>
            <w:right w:val="single" w:color="FF0000" w:sz="18" w:space="0"/>
            <w:insideH w:val="single" w:color="FF0000" w:sz="18" w:space="0"/>
            <w:insideV w:val="single" w:color="FF0000" w:sz="18" w:space="0"/>
          </w:tblBorders>
          <w:tblCellMar>
            <w:top w:w="0" w:type="dxa"/>
            <w:left w:w="108" w:type="dxa"/>
            <w:bottom w:w="0" w:type="dxa"/>
            <w:right w:w="108" w:type="dxa"/>
          </w:tblCellMar>
        </w:tblPrEx>
        <w:trPr>
          <w:trHeight w:val="305" w:hRule="atLeast"/>
        </w:trPr>
        <w:tc>
          <w:tcPr>
            <w:tcW w:w="9620" w:type="dxa"/>
            <w:tcBorders>
              <w:left w:val="nil"/>
              <w:bottom w:val="nil"/>
              <w:right w:val="nil"/>
            </w:tcBorders>
            <w:noWrap w:val="0"/>
            <w:vAlign w:val="top"/>
          </w:tcPr>
          <w:p>
            <w:pPr>
              <w:pStyle w:val="5"/>
              <w:keepNext w:val="0"/>
              <w:keepLines w:val="0"/>
              <w:pageBreakBefore w:val="0"/>
              <w:widowControl w:val="0"/>
              <w:tabs>
                <w:tab w:val="left" w:pos="2160"/>
              </w:tabs>
              <w:kinsoku/>
              <w:wordWrap/>
              <w:overflowPunct/>
              <w:topLinePunct w:val="0"/>
              <w:autoSpaceDE/>
              <w:autoSpaceDN/>
              <w:bidi w:val="0"/>
              <w:adjustRightInd/>
              <w:snapToGrid/>
              <w:spacing w:line="560" w:lineRule="exact"/>
              <w:jc w:val="both"/>
              <w:textAlignment w:val="auto"/>
              <w:rPr>
                <w:rFonts w:hint="eastAsia" w:ascii="宋体" w:hAnsi="宋体" w:cs="宋体"/>
                <w:b/>
                <w:bCs/>
                <w:sz w:val="10"/>
                <w:szCs w:val="10"/>
              </w:rPr>
            </w:pPr>
          </w:p>
        </w:tc>
      </w:tr>
    </w:tbl>
    <w:p>
      <w:pPr>
        <w:keepNext w:val="0"/>
        <w:keepLines w:val="0"/>
        <w:pageBreakBefore w:val="0"/>
        <w:widowControl/>
        <w:kinsoku/>
        <w:wordWrap/>
        <w:overflowPunct/>
        <w:topLinePunct w:val="0"/>
        <w:autoSpaceDE/>
        <w:autoSpaceDN/>
        <w:bidi w:val="0"/>
        <w:spacing w:line="578" w:lineRule="exact"/>
        <w:contextualSpacing/>
        <w:jc w:val="both"/>
        <w:textAlignment w:val="auto"/>
        <w:outlineLvl w:val="9"/>
        <w:rPr>
          <w:rFonts w:hint="default" w:ascii="Times New Roman" w:hAnsi="Times New Roman" w:eastAsia="宋体" w:cs="Times New Roman"/>
          <w:b/>
          <w:sz w:val="44"/>
          <w:szCs w:val="44"/>
          <w:highlight w:val="none"/>
          <w:shd w:val="clear" w:color="auto" w:fill="FFFFFF"/>
        </w:rPr>
      </w:pPr>
    </w:p>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eastAsia="方正小标宋_GBK" w:cs="Times New Roman"/>
          <w:sz w:val="44"/>
          <w:szCs w:val="44"/>
          <w:lang w:val="en-US" w:eastAsia="zh-CN"/>
        </w:rPr>
        <w:t>黑水县晴朗乡人民政府</w:t>
      </w:r>
      <w:r>
        <w:rPr>
          <w:rFonts w:hint="eastAsia" w:ascii="方正小标宋_GBK" w:hAnsi="方正小标宋_GBK" w:eastAsia="方正小标宋_GBK" w:cs="方正小标宋_GBK"/>
          <w:sz w:val="44"/>
          <w:szCs w:val="44"/>
          <w:lang w:val="en-US" w:eastAsia="zh-CN"/>
        </w:rPr>
        <w:t>关于部门</w:t>
      </w:r>
    </w:p>
    <w:p>
      <w:pPr>
        <w:spacing w:line="56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预算绩效评价的</w:t>
      </w:r>
      <w:r>
        <w:rPr>
          <w:rFonts w:hint="default" w:ascii="方正小标宋_GBK" w:hAnsi="方正小标宋_GBK" w:eastAsia="方正小标宋_GBK" w:cs="方正小标宋_GBK"/>
          <w:sz w:val="44"/>
          <w:szCs w:val="44"/>
          <w:lang w:val="en-US" w:eastAsia="zh-CN"/>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szCs w:val="32"/>
        </w:rPr>
      </w:pPr>
      <w:r>
        <w:rPr>
          <w:rFonts w:hint="eastAsia" w:eastAsia="黑体" w:cs="Times New Roman"/>
          <w:color w:val="000000"/>
          <w:kern w:val="0"/>
          <w:szCs w:val="32"/>
          <w:highlight w:val="none"/>
          <w:shd w:val="clear" w:color="auto" w:fill="FFFFFF"/>
          <w:lang w:val="zh-CN"/>
        </w:rPr>
        <w:t>一、</w:t>
      </w:r>
      <w:r>
        <w:rPr>
          <w:rFonts w:hint="default" w:ascii="Times New Roman" w:hAnsi="Times New Roman" w:eastAsia="黑体" w:cs="Times New Roman"/>
          <w:color w:val="000000"/>
          <w:kern w:val="0"/>
          <w:szCs w:val="32"/>
          <w:highlight w:val="none"/>
          <w:shd w:val="clear" w:color="auto" w:fill="FFFFFF"/>
          <w:lang w:val="zh-CN"/>
        </w:rPr>
        <w:t>部门（单位）基本情况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eastAsia="楷体_GB2312" w:cs="Times New Roman"/>
          <w:b/>
          <w:bCs/>
          <w:color w:val="000000"/>
          <w:kern w:val="0"/>
          <w:szCs w:val="32"/>
          <w:highlight w:val="none"/>
          <w:shd w:val="clear" w:color="auto" w:fill="FFFFFF"/>
          <w:lang w:val="zh-CN"/>
        </w:rPr>
        <w:t>（一）</w:t>
      </w:r>
      <w:r>
        <w:rPr>
          <w:rFonts w:hint="default" w:ascii="Times New Roman" w:hAnsi="Times New Roman" w:eastAsia="楷体_GB2312" w:cs="Times New Roman"/>
          <w:b/>
          <w:bCs/>
          <w:color w:val="000000"/>
          <w:kern w:val="0"/>
          <w:szCs w:val="32"/>
          <w:highlight w:val="none"/>
          <w:shd w:val="clear" w:color="auto" w:fill="FFFFFF"/>
          <w:lang w:val="zh-CN"/>
        </w:rPr>
        <w:t>机构组成。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晴朗乡党政综合办事机构设如下：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1.党政办公室，挂财政工作办公室牌子；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2.党建工作办公室，挂群众工作办公室、意识形态办公室牌子；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3.社会事务和应急管理办公室，挂安全生产管理委员会室牌子；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4.维护稳定和基层治理办公室；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5.经济发展和乡村振兴办公室，挂村镇规划建设管理办公室、扶贫开发办公室牌子；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6.生态环境和城镇管理办公室；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7.乡人大、纪委监察、人民武装部和工会、共青团、妇联等群团组织的设置按相关规定执行。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晴朗乡设直属公益一类事业单位4个：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1.便民服务中心，挂农民工服务中心牌子；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2.农业农村和经济发展中心，挂交通管理、农村经营管理、统计站牌子；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3.社会事业服务中心，挂退役军人服务站牌子；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lang w:val="en-US" w:eastAsia="zh-CN"/>
        </w:rPr>
      </w:pPr>
      <w:r>
        <w:rPr>
          <w:rFonts w:hint="eastAsia" w:ascii="仿宋" w:hAnsi="仿宋" w:eastAsia="仿宋" w:cs="仿宋"/>
          <w:b w:val="0"/>
          <w:bCs w:val="0"/>
          <w:kern w:val="2"/>
          <w:sz w:val="32"/>
          <w:szCs w:val="32"/>
          <w:lang w:val="en-US" w:eastAsia="zh-CN" w:bidi="ar-SA"/>
        </w:rPr>
        <w:t>4.文化和旅游中心。</w:t>
      </w:r>
    </w:p>
    <w:p>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b w:val="0"/>
          <w:color w:val="000000"/>
          <w:kern w:val="0"/>
          <w:sz w:val="32"/>
          <w:szCs w:val="32"/>
          <w:highlight w:val="none"/>
          <w:shd w:val="clear" w:color="auto" w:fill="FFFFFF"/>
          <w:lang w:val="zh-CN" w:eastAsia="zh-CN" w:bidi="ar-SA"/>
        </w:rPr>
      </w:pPr>
      <w:r>
        <w:rPr>
          <w:rFonts w:hint="default" w:ascii="Times New Roman" w:hAnsi="Times New Roman" w:eastAsia="楷体_GB2312" w:cs="Times New Roman"/>
          <w:b/>
          <w:bCs/>
          <w:color w:val="000000"/>
          <w:kern w:val="0"/>
          <w:szCs w:val="32"/>
          <w:highlight w:val="none"/>
          <w:shd w:val="clear" w:color="auto" w:fill="FFFFFF"/>
          <w:lang w:val="zh-CN"/>
        </w:rPr>
        <w:t>机构职能</w:t>
      </w:r>
      <w:r>
        <w:rPr>
          <w:rFonts w:hint="eastAsia" w:eastAsia="楷体_GB2312" w:cs="Times New Roman"/>
          <w:b/>
          <w:bCs/>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zh-CN" w:eastAsia="zh-CN" w:bidi="ar-SA"/>
        </w:rPr>
        <w:t>黑水县晴朗乡人民政府是基层国家行政机关，行使本行政区域的政府行政职能，根据有关文件规定，主要职责是：</w:t>
      </w:r>
      <w:r>
        <w:rPr>
          <w:rFonts w:hint="eastAsia" w:ascii="仿宋" w:hAnsi="仿宋" w:eastAsia="仿宋" w:cs="仿宋"/>
          <w:b w:val="0"/>
          <w:bCs w:val="0"/>
          <w:kern w:val="2"/>
          <w:sz w:val="32"/>
          <w:szCs w:val="32"/>
          <w:lang w:val="en-US" w:eastAsia="zh-CN" w:bidi="ar-SA"/>
        </w:rPr>
        <w:t>加强党的领导，抓好基层党建；统筹经济发展，实施乡村振兴；组织公共服务，着力改善民生；领导基层治理，维护社会治安；完成法律、法规、规章规定和上级交办的其他事项</w:t>
      </w:r>
    </w:p>
    <w:p>
      <w:pPr>
        <w:widowControl/>
        <w:numPr>
          <w:ilvl w:val="0"/>
          <w:numId w:val="1"/>
        </w:numPr>
        <w:adjustRightInd w:val="0"/>
        <w:snapToGrid w:val="0"/>
        <w:spacing w:line="580" w:lineRule="exact"/>
        <w:ind w:left="0" w:leftChars="0" w:firstLine="643" w:firstLineChars="200"/>
        <w:jc w:val="left"/>
        <w:rPr>
          <w:rFonts w:hint="eastAsia"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人员概况</w:t>
      </w:r>
      <w:r>
        <w:rPr>
          <w:rFonts w:hint="eastAsia" w:eastAsia="楷体_GB2312" w:cs="Times New Roman"/>
          <w:b/>
          <w:bCs/>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zh-CN" w:eastAsia="zh-CN" w:bidi="ar-SA"/>
        </w:rPr>
        <w:t>晴朗乡人民政府行政编制20名，</w:t>
      </w:r>
      <w:r>
        <w:rPr>
          <w:rFonts w:hint="eastAsia" w:ascii="仿宋" w:hAnsi="仿宋" w:eastAsia="仿宋" w:cs="仿宋"/>
          <w:b w:val="0"/>
          <w:bCs w:val="0"/>
          <w:kern w:val="2"/>
          <w:sz w:val="32"/>
          <w:szCs w:val="32"/>
          <w:lang w:val="en-US" w:eastAsia="zh-CN" w:bidi="ar-SA"/>
        </w:rPr>
        <w:t>其中：党委书记1名，党委副书记兼乡长1名，人大主席1名，党委副书记2名（其中：1名兼任宣传委员，1名兼任政法统战委员），纪委书记1名，组织委员1名，副乡长3名，（其中1名由人武部长兼任）；机关</w:t>
      </w:r>
      <w:r>
        <w:rPr>
          <w:rFonts w:hint="eastAsia" w:ascii="仿宋" w:hAnsi="仿宋" w:eastAsia="仿宋" w:cs="仿宋"/>
          <w:b w:val="0"/>
          <w:bCs w:val="0"/>
          <w:kern w:val="2"/>
          <w:sz w:val="32"/>
          <w:szCs w:val="32"/>
          <w:lang w:val="zh-CN" w:eastAsia="zh-CN" w:bidi="ar-SA"/>
        </w:rPr>
        <w:t>工勤2人，事业编制11名。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方正仿宋_GBK" w:cs="Times New Roman"/>
          <w:b w:val="0"/>
          <w:bCs w:val="0"/>
          <w:kern w:val="2"/>
          <w:sz w:val="32"/>
          <w:szCs w:val="32"/>
          <w:lang w:val="zh-CN" w:eastAsia="zh-CN" w:bidi="ar-SA"/>
        </w:rPr>
      </w:pPr>
      <w:r>
        <w:rPr>
          <w:rFonts w:hint="eastAsia" w:ascii="仿宋" w:hAnsi="仿宋" w:eastAsia="仿宋" w:cs="仿宋"/>
          <w:b w:val="0"/>
          <w:bCs w:val="0"/>
          <w:kern w:val="2"/>
          <w:sz w:val="32"/>
          <w:szCs w:val="32"/>
          <w:lang w:val="zh-CN" w:eastAsia="zh-CN" w:bidi="ar-SA"/>
        </w:rPr>
        <w:t>截至202</w:t>
      </w:r>
      <w:r>
        <w:rPr>
          <w:rFonts w:hint="eastAsia" w:ascii="仿宋" w:hAnsi="仿宋" w:eastAsia="仿宋" w:cs="仿宋"/>
          <w:b w:val="0"/>
          <w:bCs w:val="0"/>
          <w:kern w:val="2"/>
          <w:sz w:val="32"/>
          <w:szCs w:val="32"/>
          <w:lang w:val="en-US" w:eastAsia="zh-CN" w:bidi="ar-SA"/>
        </w:rPr>
        <w:t>3</w:t>
      </w:r>
      <w:r>
        <w:rPr>
          <w:rFonts w:hint="eastAsia" w:ascii="仿宋" w:hAnsi="仿宋" w:eastAsia="仿宋" w:cs="仿宋"/>
          <w:b w:val="0"/>
          <w:bCs w:val="0"/>
          <w:kern w:val="2"/>
          <w:sz w:val="32"/>
          <w:szCs w:val="32"/>
          <w:lang w:val="zh-CN" w:eastAsia="zh-CN" w:bidi="ar-SA"/>
        </w:rPr>
        <w:t>年末，晴朗乡人民政府在职人员总数3</w:t>
      </w:r>
      <w:r>
        <w:rPr>
          <w:rFonts w:hint="eastAsia" w:ascii="仿宋" w:hAnsi="仿宋" w:eastAsia="仿宋" w:cs="仿宋"/>
          <w:b w:val="0"/>
          <w:bCs w:val="0"/>
          <w:kern w:val="2"/>
          <w:sz w:val="32"/>
          <w:szCs w:val="32"/>
          <w:lang w:val="en-US" w:eastAsia="zh-CN" w:bidi="ar-SA"/>
        </w:rPr>
        <w:t>2名</w:t>
      </w:r>
      <w:r>
        <w:rPr>
          <w:rFonts w:hint="eastAsia" w:ascii="仿宋" w:hAnsi="仿宋" w:eastAsia="仿宋" w:cs="仿宋"/>
          <w:b w:val="0"/>
          <w:bCs w:val="0"/>
          <w:kern w:val="2"/>
          <w:sz w:val="32"/>
          <w:szCs w:val="32"/>
          <w:lang w:val="zh-CN" w:eastAsia="zh-CN" w:bidi="ar-SA"/>
        </w:rPr>
        <w:t>，其中：</w:t>
      </w:r>
      <w:r>
        <w:rPr>
          <w:rFonts w:hint="eastAsia" w:ascii="仿宋" w:hAnsi="仿宋" w:eastAsia="仿宋" w:cs="仿宋"/>
          <w:b w:val="0"/>
          <w:bCs w:val="0"/>
          <w:kern w:val="2"/>
          <w:sz w:val="32"/>
          <w:szCs w:val="32"/>
          <w:lang w:val="en-US" w:eastAsia="zh-CN" w:bidi="ar-SA"/>
        </w:rPr>
        <w:t>行政</w:t>
      </w:r>
      <w:r>
        <w:rPr>
          <w:rFonts w:hint="eastAsia" w:ascii="仿宋" w:hAnsi="仿宋" w:eastAsia="仿宋" w:cs="仿宋"/>
          <w:b w:val="0"/>
          <w:bCs w:val="0"/>
          <w:kern w:val="2"/>
          <w:sz w:val="32"/>
          <w:szCs w:val="32"/>
          <w:lang w:val="zh-CN" w:eastAsia="zh-CN" w:bidi="ar-SA"/>
        </w:rPr>
        <w:t>人员21名，工勤人员1名，事业人员</w:t>
      </w:r>
      <w:r>
        <w:rPr>
          <w:rFonts w:hint="eastAsia" w:ascii="仿宋" w:hAnsi="仿宋" w:eastAsia="仿宋" w:cs="仿宋"/>
          <w:b w:val="0"/>
          <w:bCs w:val="0"/>
          <w:kern w:val="2"/>
          <w:sz w:val="32"/>
          <w:szCs w:val="32"/>
          <w:lang w:val="en-US" w:eastAsia="zh-CN" w:bidi="ar-SA"/>
        </w:rPr>
        <w:t>10</w:t>
      </w:r>
      <w:r>
        <w:rPr>
          <w:rFonts w:hint="eastAsia" w:ascii="仿宋" w:hAnsi="仿宋" w:eastAsia="仿宋" w:cs="仿宋"/>
          <w:b w:val="0"/>
          <w:bCs w:val="0"/>
          <w:kern w:val="2"/>
          <w:sz w:val="32"/>
          <w:szCs w:val="32"/>
          <w:lang w:val="zh-CN" w:eastAsia="zh-CN" w:bidi="ar-SA"/>
        </w:rPr>
        <w:t>名。</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rPr>
        <w:t>二、</w:t>
      </w:r>
      <w:r>
        <w:rPr>
          <w:rFonts w:hint="default" w:ascii="Times New Roman" w:hAnsi="Times New Roman" w:eastAsia="黑体" w:cs="Times New Roman"/>
          <w:color w:val="000000"/>
          <w:kern w:val="0"/>
          <w:szCs w:val="32"/>
          <w:highlight w:val="none"/>
          <w:shd w:val="clear" w:color="auto" w:fill="FFFFFF"/>
          <w:lang w:eastAsia="zh-CN"/>
        </w:rPr>
        <w:t>部门</w:t>
      </w:r>
      <w:r>
        <w:rPr>
          <w:rFonts w:hint="default" w:ascii="Times New Roman" w:hAnsi="Times New Roman" w:eastAsia="黑体" w:cs="Times New Roman"/>
          <w:color w:val="000000"/>
          <w:kern w:val="0"/>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收入情况</w:t>
      </w:r>
      <w:r>
        <w:rPr>
          <w:rFonts w:hint="default" w:ascii="Times New Roman" w:hAnsi="Times New Roman" w:eastAsia="楷体_GB2312" w:cs="Times New Roman"/>
          <w:b/>
          <w:bCs/>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b w:val="0"/>
          <w:bCs w:val="0"/>
          <w:kern w:val="2"/>
          <w:sz w:val="32"/>
          <w:szCs w:val="32"/>
          <w:lang w:val="zh-CN" w:eastAsia="zh-CN" w:bidi="ar-SA"/>
        </w:rPr>
      </w:pPr>
      <w:r>
        <w:rPr>
          <w:rFonts w:hint="eastAsia" w:ascii="仿宋" w:hAnsi="仿宋" w:eastAsia="仿宋" w:cs="仿宋"/>
          <w:kern w:val="2"/>
          <w:sz w:val="32"/>
          <w:szCs w:val="32"/>
          <w:lang w:val="zh-CN" w:eastAsia="zh-CN" w:bidi="ar-SA"/>
        </w:rPr>
        <w:t>晴朗乡人民政府202</w:t>
      </w: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年收入预算</w:t>
      </w:r>
      <w:r>
        <w:rPr>
          <w:rFonts w:hint="eastAsia" w:ascii="仿宋" w:hAnsi="仿宋" w:eastAsia="仿宋" w:cs="仿宋"/>
          <w:kern w:val="2"/>
          <w:sz w:val="32"/>
          <w:szCs w:val="32"/>
          <w:lang w:val="en-US" w:eastAsia="zh-CN" w:bidi="ar-SA"/>
        </w:rPr>
        <w:t>1199.24</w:t>
      </w:r>
      <w:r>
        <w:rPr>
          <w:rFonts w:hint="eastAsia" w:ascii="仿宋" w:hAnsi="仿宋" w:eastAsia="仿宋" w:cs="仿宋"/>
          <w:kern w:val="2"/>
          <w:sz w:val="32"/>
          <w:szCs w:val="32"/>
          <w:lang w:val="zh-CN" w:eastAsia="zh-CN" w:bidi="ar-SA"/>
        </w:rPr>
        <w:t>万元，其中：一般</w:t>
      </w:r>
      <w:r>
        <w:rPr>
          <w:rFonts w:hint="eastAsia" w:ascii="仿宋" w:hAnsi="仿宋" w:eastAsia="仿宋" w:cs="仿宋"/>
          <w:b w:val="0"/>
          <w:bCs w:val="0"/>
          <w:kern w:val="2"/>
          <w:sz w:val="32"/>
          <w:szCs w:val="32"/>
          <w:lang w:val="zh-CN" w:eastAsia="zh-CN" w:bidi="ar-SA"/>
        </w:rPr>
        <w:t>公共预算拨款收入</w:t>
      </w:r>
      <w:r>
        <w:rPr>
          <w:rFonts w:hint="eastAsia" w:ascii="仿宋" w:hAnsi="仿宋" w:eastAsia="仿宋" w:cs="仿宋"/>
          <w:b w:val="0"/>
          <w:bCs w:val="0"/>
          <w:kern w:val="2"/>
          <w:sz w:val="32"/>
          <w:szCs w:val="32"/>
          <w:lang w:val="en-US" w:eastAsia="zh-CN" w:bidi="ar-SA"/>
        </w:rPr>
        <w:t>1199.24</w:t>
      </w:r>
      <w:r>
        <w:rPr>
          <w:rFonts w:hint="eastAsia" w:ascii="仿宋" w:hAnsi="仿宋" w:eastAsia="仿宋" w:cs="仿宋"/>
          <w:b w:val="0"/>
          <w:bCs w:val="0"/>
          <w:kern w:val="2"/>
          <w:sz w:val="32"/>
          <w:szCs w:val="32"/>
          <w:lang w:val="zh-CN" w:eastAsia="zh-CN" w:bidi="ar-SA"/>
        </w:rPr>
        <w:t>万元，占总收入的100%；事业收入0万元；其他收入0万元。</w:t>
      </w:r>
    </w:p>
    <w:p>
      <w:pPr>
        <w:keepNext w:val="0"/>
        <w:keepLines w:val="0"/>
        <w:pageBreakBefore w:val="0"/>
        <w:widowControl/>
        <w:numPr>
          <w:ilvl w:val="0"/>
          <w:numId w:val="2"/>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eastAsia="楷体_GB2312" w:cs="Times New Roman"/>
          <w:b/>
          <w:bCs/>
          <w:color w:val="000000"/>
          <w:kern w:val="0"/>
          <w:szCs w:val="32"/>
          <w:highlight w:val="none"/>
          <w:shd w:val="clear" w:color="auto" w:fill="FFFFFF"/>
          <w:lang w:val="zh-CN"/>
        </w:rPr>
        <w:t>支出情况</w:t>
      </w:r>
      <w:r>
        <w:rPr>
          <w:rFonts w:hint="default" w:ascii="Times New Roman" w:hAnsi="Times New Roman" w:eastAsia="楷体_GB2312" w:cs="Times New Roman"/>
          <w:b/>
          <w:bCs/>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kern w:val="2"/>
          <w:sz w:val="32"/>
          <w:szCs w:val="32"/>
          <w:lang w:val="zh-CN" w:eastAsia="zh-CN" w:bidi="ar-SA"/>
        </w:rPr>
      </w:pPr>
      <w:r>
        <w:rPr>
          <w:rFonts w:hint="eastAsia" w:ascii="仿宋" w:hAnsi="仿宋" w:eastAsia="仿宋" w:cs="仿宋"/>
          <w:b w:val="0"/>
          <w:bCs w:val="0"/>
          <w:kern w:val="2"/>
          <w:sz w:val="32"/>
          <w:szCs w:val="32"/>
          <w:lang w:val="zh-CN" w:eastAsia="zh-CN" w:bidi="ar-SA"/>
        </w:rPr>
        <w:t>晴朗乡人民政府202</w:t>
      </w:r>
      <w:r>
        <w:rPr>
          <w:rFonts w:hint="eastAsia" w:ascii="仿宋" w:hAnsi="仿宋" w:eastAsia="仿宋" w:cs="仿宋"/>
          <w:b w:val="0"/>
          <w:bCs w:val="0"/>
          <w:kern w:val="2"/>
          <w:sz w:val="32"/>
          <w:szCs w:val="32"/>
          <w:lang w:val="en-US" w:eastAsia="zh-CN" w:bidi="ar-SA"/>
        </w:rPr>
        <w:t>3</w:t>
      </w:r>
      <w:r>
        <w:rPr>
          <w:rFonts w:hint="eastAsia" w:ascii="仿宋" w:hAnsi="仿宋" w:eastAsia="仿宋" w:cs="仿宋"/>
          <w:b w:val="0"/>
          <w:bCs w:val="0"/>
          <w:kern w:val="2"/>
          <w:sz w:val="32"/>
          <w:szCs w:val="32"/>
          <w:lang w:val="zh-CN" w:eastAsia="zh-CN" w:bidi="ar-SA"/>
        </w:rPr>
        <w:t>年支出预算</w:t>
      </w:r>
      <w:r>
        <w:rPr>
          <w:rFonts w:hint="eastAsia" w:ascii="仿宋" w:hAnsi="仿宋" w:eastAsia="仿宋" w:cs="仿宋"/>
          <w:b w:val="0"/>
          <w:bCs w:val="0"/>
          <w:kern w:val="2"/>
          <w:sz w:val="32"/>
          <w:szCs w:val="32"/>
          <w:lang w:val="en-US" w:eastAsia="zh-CN" w:bidi="ar-SA"/>
        </w:rPr>
        <w:t>1199.24</w:t>
      </w:r>
      <w:r>
        <w:rPr>
          <w:rFonts w:hint="eastAsia" w:ascii="仿宋" w:hAnsi="仿宋" w:eastAsia="仿宋" w:cs="仿宋"/>
          <w:b w:val="0"/>
          <w:bCs w:val="0"/>
          <w:kern w:val="2"/>
          <w:sz w:val="32"/>
          <w:szCs w:val="32"/>
          <w:lang w:val="zh-CN" w:eastAsia="zh-CN" w:bidi="ar-SA"/>
        </w:rPr>
        <w:t>万元，其中：一般公共预算拨款支出</w:t>
      </w:r>
      <w:r>
        <w:rPr>
          <w:rFonts w:hint="eastAsia" w:ascii="仿宋" w:hAnsi="仿宋" w:eastAsia="仿宋" w:cs="仿宋"/>
          <w:b w:val="0"/>
          <w:bCs w:val="0"/>
          <w:kern w:val="2"/>
          <w:sz w:val="32"/>
          <w:szCs w:val="32"/>
          <w:lang w:val="en-US" w:eastAsia="zh-CN" w:bidi="ar-SA"/>
        </w:rPr>
        <w:t>421.35</w:t>
      </w:r>
      <w:r>
        <w:rPr>
          <w:rFonts w:hint="eastAsia" w:ascii="仿宋" w:hAnsi="仿宋" w:eastAsia="仿宋" w:cs="仿宋"/>
          <w:b w:val="0"/>
          <w:bCs w:val="0"/>
          <w:kern w:val="2"/>
          <w:sz w:val="32"/>
          <w:szCs w:val="32"/>
          <w:lang w:val="zh-CN" w:eastAsia="zh-CN" w:bidi="ar-SA"/>
        </w:rPr>
        <w:t>万元，占</w:t>
      </w:r>
      <w:r>
        <w:rPr>
          <w:rFonts w:hint="eastAsia" w:ascii="仿宋" w:hAnsi="仿宋" w:eastAsia="仿宋" w:cs="仿宋"/>
          <w:b w:val="0"/>
          <w:bCs w:val="0"/>
          <w:kern w:val="2"/>
          <w:sz w:val="32"/>
          <w:szCs w:val="32"/>
          <w:lang w:val="en-US" w:eastAsia="zh-CN" w:bidi="ar-SA"/>
        </w:rPr>
        <w:t>35.13</w:t>
      </w:r>
      <w:r>
        <w:rPr>
          <w:rFonts w:hint="eastAsia" w:ascii="仿宋" w:hAnsi="仿宋" w:eastAsia="仿宋" w:cs="仿宋"/>
          <w:b w:val="0"/>
          <w:bCs w:val="0"/>
          <w:kern w:val="2"/>
          <w:sz w:val="32"/>
          <w:szCs w:val="32"/>
          <w:lang w:val="zh-CN" w:eastAsia="zh-CN" w:bidi="ar-SA"/>
        </w:rPr>
        <w:t>%；事业支出0万元；其他支出0万元。</w:t>
      </w:r>
    </w:p>
    <w:p>
      <w:pPr>
        <w:keepNext w:val="0"/>
        <w:keepLines w:val="0"/>
        <w:pageBreakBefore w:val="0"/>
        <w:widowControl/>
        <w:numPr>
          <w:ilvl w:val="0"/>
          <w:numId w:val="2"/>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Times New Roman" w:hAnsi="Times New Roman" w:eastAsia="楷体_GB2312" w:cs="Times New Roman"/>
          <w:b/>
          <w:szCs w:val="32"/>
          <w:lang w:eastAsia="zh-CN"/>
        </w:rPr>
      </w:pPr>
      <w:r>
        <w:rPr>
          <w:rFonts w:hint="default" w:ascii="Times New Roman" w:hAnsi="Times New Roman" w:eastAsia="楷体_GB2312" w:cs="Times New Roman"/>
          <w:b/>
          <w:szCs w:val="32"/>
        </w:rPr>
        <w:t>结余分配和结转结余情况</w:t>
      </w:r>
      <w:r>
        <w:rPr>
          <w:rFonts w:hint="eastAsia" w:ascii="Times New Roman" w:hAnsi="Times New Roman" w:eastAsia="楷体_GB2312" w:cs="Times New Roman"/>
          <w:b/>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val="0"/>
          <w:color w:val="000000"/>
          <w:kern w:val="0"/>
          <w:sz w:val="32"/>
          <w:szCs w:val="32"/>
          <w:highlight w:val="none"/>
          <w:shd w:val="clear" w:color="auto" w:fill="FFFFFF"/>
          <w:lang w:val="zh-CN" w:eastAsia="zh-CN" w:bidi="ar-SA"/>
        </w:rPr>
      </w:pPr>
      <w:r>
        <w:rPr>
          <w:rFonts w:hint="eastAsia" w:ascii="仿宋" w:hAnsi="仿宋" w:eastAsia="仿宋" w:cs="仿宋"/>
          <w:b w:val="0"/>
          <w:bCs w:val="0"/>
          <w:kern w:val="2"/>
          <w:sz w:val="32"/>
          <w:szCs w:val="32"/>
          <w:lang w:val="zh-CN" w:eastAsia="zh-CN" w:bidi="ar-SA"/>
        </w:rPr>
        <w:t>晴朗乡人民政府</w:t>
      </w:r>
      <w:r>
        <w:rPr>
          <w:rFonts w:hint="eastAsia" w:ascii="仿宋" w:hAnsi="仿宋" w:eastAsia="仿宋" w:cs="仿宋"/>
          <w:b w:val="0"/>
          <w:bCs w:val="0"/>
          <w:kern w:val="2"/>
          <w:sz w:val="32"/>
          <w:szCs w:val="32"/>
          <w:lang w:val="en-US" w:eastAsia="zh-CN" w:bidi="ar-SA"/>
        </w:rPr>
        <w:t>2023年决算报表结转结余0万元。</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themeColor="text1"/>
          <w:kern w:val="0"/>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Cs w:val="32"/>
          <w:highlight w:val="none"/>
          <w:shd w:val="clear" w:color="auto" w:fill="FFFFFF"/>
        </w:rPr>
        <w:t>三、</w:t>
      </w:r>
      <w:r>
        <w:rPr>
          <w:rFonts w:hint="default" w:ascii="Times New Roman" w:hAnsi="Times New Roman" w:eastAsia="黑体" w:cs="Times New Roman"/>
          <w:color w:val="000000"/>
          <w:kern w:val="0"/>
          <w:szCs w:val="32"/>
          <w:highlight w:val="none"/>
          <w:u w:val="none"/>
          <w:shd w:val="clear" w:color="auto" w:fill="FFFFFF"/>
        </w:rPr>
        <w:t>部门</w:t>
      </w:r>
      <w:r>
        <w:rPr>
          <w:rFonts w:hint="default" w:ascii="Times New Roman" w:hAnsi="Times New Roman" w:eastAsia="黑体" w:cs="Times New Roman"/>
          <w:color w:val="000000"/>
          <w:kern w:val="0"/>
          <w:szCs w:val="32"/>
          <w:highlight w:val="none"/>
          <w:u w:val="none"/>
          <w:shd w:val="clear" w:color="auto" w:fill="FFFFFF"/>
          <w:lang w:eastAsia="zh-CN"/>
        </w:rPr>
        <w:t>预算</w:t>
      </w:r>
      <w:r>
        <w:rPr>
          <w:rFonts w:hint="default" w:ascii="Times New Roman" w:hAnsi="Times New Roman" w:eastAsia="黑体" w:cs="Times New Roman"/>
          <w:color w:val="000000"/>
          <w:kern w:val="0"/>
          <w:szCs w:val="32"/>
          <w:highlight w:val="none"/>
          <w:u w:val="none"/>
          <w:shd w:val="clear" w:color="auto" w:fill="FFFFFF"/>
        </w:rPr>
        <w:t>绩效</w:t>
      </w:r>
      <w:r>
        <w:rPr>
          <w:rFonts w:hint="default" w:ascii="Times New Roman" w:hAnsi="Times New Roman" w:eastAsia="黑体" w:cs="Times New Roman"/>
          <w:color w:val="000000"/>
          <w:kern w:val="0"/>
          <w:szCs w:val="32"/>
          <w:highlight w:val="none"/>
          <w:u w:val="none"/>
          <w:shd w:val="clear" w:color="auto" w:fill="FFFFFF"/>
          <w:lang w:eastAsia="zh-CN"/>
        </w:rPr>
        <w:t>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eastAsia="楷体_GB2312" w:cs="楷体_GB2312"/>
          <w:color w:val="000000"/>
          <w:kern w:val="0"/>
          <w:szCs w:val="32"/>
          <w:highlight w:val="none"/>
          <w:shd w:val="clear" w:color="auto" w:fill="FFFFFF"/>
          <w:lang w:val="zh-CN"/>
        </w:rPr>
      </w:pPr>
      <w:r>
        <w:rPr>
          <w:rFonts w:hint="eastAsia" w:ascii="楷体_GB2312" w:hAnsi="Times New Roman" w:eastAsia="楷体_GB2312" w:cs="楷体_GB2312"/>
          <w:color w:val="000000"/>
          <w:kern w:val="0"/>
          <w:szCs w:val="32"/>
          <w:highlight w:val="none"/>
          <w:shd w:val="clear" w:color="auto" w:fill="FFFFFF"/>
          <w:lang w:val="en-US" w:eastAsia="zh-CN"/>
        </w:rPr>
        <w:t>1.</w:t>
      </w:r>
      <w:r>
        <w:rPr>
          <w:rFonts w:hint="eastAsia" w:ascii="楷体_GB2312" w:hAnsi="Times New Roman" w:eastAsia="楷体_GB2312" w:cs="楷体_GB2312"/>
          <w:color w:val="000000"/>
          <w:kern w:val="0"/>
          <w:szCs w:val="32"/>
          <w:highlight w:val="none"/>
          <w:shd w:val="clear" w:color="auto" w:fill="FFFFFF"/>
          <w:lang w:val="zh-CN"/>
        </w:rPr>
        <w:t>履职效能。</w:t>
      </w:r>
      <w:r>
        <w:rPr>
          <w:rFonts w:ascii="楷体_GB2312" w:eastAsia="楷体_GB2312" w:cs="楷体_GB2312"/>
          <w:color w:val="000000"/>
          <w:kern w:val="0"/>
          <w:szCs w:val="32"/>
          <w:highlight w:val="none"/>
          <w:shd w:val="clear" w:color="auto" w:fill="FFFFFF"/>
          <w:lang w:val="zh-CN"/>
        </w:rPr>
        <w:t>指标分值15分，自评得分15分</w:t>
      </w:r>
      <w:r>
        <w:rPr>
          <w:rFonts w:hint="eastAsia" w:ascii="楷体_GB2312" w:eastAsia="楷体_GB2312" w:cs="楷体_GB2312"/>
          <w:color w:val="000000"/>
          <w:kern w:val="0"/>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Times New Roman" w:eastAsia="楷体_GB2312" w:cs="楷体_GB2312"/>
          <w:color w:val="000000"/>
          <w:kern w:val="0"/>
          <w:szCs w:val="32"/>
          <w:highlight w:val="none"/>
          <w:shd w:val="clear" w:color="auto" w:fill="FFFFFF"/>
          <w:lang w:val="en-US" w:eastAsia="zh-CN"/>
        </w:rPr>
      </w:pPr>
      <w:r>
        <w:rPr>
          <w:rFonts w:hint="eastAsia" w:ascii="楷体_GB2312" w:hAnsi="Times New Roman" w:eastAsia="楷体_GB2312" w:cs="楷体_GB2312"/>
          <w:color w:val="000000"/>
          <w:kern w:val="0"/>
          <w:szCs w:val="32"/>
          <w:highlight w:val="none"/>
          <w:shd w:val="clear" w:color="auto" w:fill="FFFFFF"/>
          <w:lang w:val="en-US" w:eastAsia="zh-CN"/>
        </w:rPr>
        <w:t>（1）坚持党的全面领导，不断夯实党建基础。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抓实抓细党建工作。一是不断加强思想政治建设。坚持把党的思想政治建设摆在首位，紧紧围绕党在自身建设中的工作重点和所承担的历史任务这条主线，并依托“三五”固定活动日、“三会一课”、主题党日等活动载体，深入开展学习贯彻习近平新时代中国特色社会主义思想主题教育集中学习4次，研讨交流2次，党委书记及各村支部书记讲党课10余次，全面推进主题教育落地落实。</w:t>
      </w:r>
      <w:r>
        <w:rPr>
          <w:rFonts w:hint="eastAsia" w:ascii="仿宋" w:hAnsi="仿宋" w:eastAsia="仿宋" w:cs="仿宋"/>
          <w:b/>
          <w:bCs/>
          <w:kern w:val="2"/>
          <w:sz w:val="32"/>
          <w:szCs w:val="32"/>
          <w:lang w:val="en-US" w:eastAsia="zh-CN" w:bidi="ar-SA"/>
        </w:rPr>
        <w:t>二是不断优化基层组织队伍。</w:t>
      </w:r>
      <w:r>
        <w:rPr>
          <w:rFonts w:hint="eastAsia" w:ascii="仿宋" w:hAnsi="仿宋" w:eastAsia="仿宋" w:cs="仿宋"/>
          <w:kern w:val="2"/>
          <w:sz w:val="32"/>
          <w:szCs w:val="32"/>
          <w:lang w:val="en-US" w:eastAsia="zh-CN" w:bidi="ar-SA"/>
        </w:rPr>
        <w:t>高度重视基层组织队伍建设，引导各村支部建立党员发展储备库，将年纪轻、有文化、致富能力强的青壮年及“9+3”毕业生、大学毕业生、退伍军人、致富能手等优秀人才纳入党员发展储备库。今年来，确定积极分子11人，发展对象2人，预备党员10人，按期转正12人。</w:t>
      </w:r>
      <w:r>
        <w:rPr>
          <w:rFonts w:hint="eastAsia" w:ascii="仿宋" w:hAnsi="仿宋" w:eastAsia="仿宋" w:cs="仿宋"/>
          <w:b/>
          <w:bCs/>
          <w:kern w:val="2"/>
          <w:sz w:val="32"/>
          <w:szCs w:val="32"/>
          <w:lang w:val="en-US" w:eastAsia="zh-CN" w:bidi="ar-SA"/>
        </w:rPr>
        <w:t>三是不断强化宣传思想工作。</w:t>
      </w:r>
      <w:r>
        <w:rPr>
          <w:rFonts w:hint="eastAsia" w:ascii="仿宋" w:hAnsi="仿宋" w:eastAsia="仿宋" w:cs="仿宋"/>
          <w:kern w:val="2"/>
          <w:sz w:val="32"/>
          <w:szCs w:val="32"/>
          <w:lang w:val="en-US" w:eastAsia="zh-CN" w:bidi="ar-SA"/>
        </w:rPr>
        <w:t>牢牢掌握意识形态工作领导权主动权的重要性，将意识形态工作列入党委年度工作要点，与党建、产业发展、党风廉政建设、生态文明等中心工作同部署、同落实、同检查、同考核。召开意识形态工作专题研究会2次，意识形态分析研判会4次。持续推进新时代文明实践所（站）建设，进一步建立健全工作机制，充实组织架构及志愿服务队，吸纳党员志愿者、群众志愿者近300人。并充分结合“两联一进”群众全覆盖工作，不定期组织联户干部及志愿者深入开展学习实践科学理论、宣传宣讲党的政策、丰富活跃群众文化生活等系列活动48场次，推动新时代文明实践工作走深走实。</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left="0" w:right="0"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snapToGrid w:val="0"/>
          <w:kern w:val="0"/>
          <w:sz w:val="32"/>
          <w:szCs w:val="32"/>
          <w:lang w:val="en-US" w:eastAsia="zh-CN" w:bidi="ar-SA"/>
        </w:rPr>
        <w:t>基层治理成效显著。</w:t>
      </w:r>
      <w:r>
        <w:rPr>
          <w:rFonts w:hint="eastAsia" w:ascii="仿宋" w:hAnsi="仿宋" w:eastAsia="仿宋" w:cs="仿宋"/>
          <w:b/>
          <w:bCs/>
          <w:kern w:val="2"/>
          <w:sz w:val="32"/>
          <w:szCs w:val="32"/>
          <w:lang w:val="en-US" w:eastAsia="zh-CN" w:bidi="ar-SA"/>
        </w:rPr>
        <w:t>一是不断完善工作机制。</w:t>
      </w:r>
      <w:r>
        <w:rPr>
          <w:rFonts w:hint="eastAsia" w:ascii="仿宋" w:hAnsi="仿宋" w:eastAsia="仿宋" w:cs="仿宋"/>
          <w:kern w:val="2"/>
          <w:sz w:val="32"/>
          <w:szCs w:val="32"/>
          <w:lang w:val="en-US" w:eastAsia="zh-CN" w:bidi="ar-SA"/>
        </w:rPr>
        <w:t>拟定《晴朗乡基层治理工作方案》，建立乡、村权责清单，完善群众民主决策、监督、管理机制，细化服务项目，明确党员干部责任，着力抓好各村党群服务中心职能发挥。压紧压实驻点领导、驻村工作队、村两委责任，以党员示范，带动群众共同参与到基层治理中来，逐步实现全民参与基层治理的良好格局。</w:t>
      </w:r>
      <w:r>
        <w:rPr>
          <w:rFonts w:hint="eastAsia" w:ascii="仿宋" w:hAnsi="仿宋" w:eastAsia="仿宋" w:cs="仿宋"/>
          <w:b/>
          <w:bCs/>
          <w:kern w:val="2"/>
          <w:sz w:val="32"/>
          <w:szCs w:val="32"/>
          <w:lang w:val="en-US" w:eastAsia="zh-CN" w:bidi="ar-SA"/>
        </w:rPr>
        <w:t>二是有效解决民生问题。</w:t>
      </w:r>
      <w:r>
        <w:rPr>
          <w:rFonts w:hint="eastAsia" w:ascii="仿宋" w:hAnsi="仿宋" w:eastAsia="仿宋" w:cs="仿宋"/>
          <w:b w:val="0"/>
          <w:bCs w:val="0"/>
          <w:kern w:val="2"/>
          <w:sz w:val="32"/>
          <w:szCs w:val="32"/>
          <w:lang w:val="en-US" w:eastAsia="zh-CN" w:bidi="ar-SA"/>
        </w:rPr>
        <w:t>坚持人民至上，</w:t>
      </w:r>
      <w:r>
        <w:rPr>
          <w:rFonts w:hint="eastAsia" w:ascii="仿宋" w:hAnsi="仿宋" w:eastAsia="仿宋" w:cs="仿宋"/>
          <w:kern w:val="2"/>
          <w:sz w:val="32"/>
          <w:szCs w:val="32"/>
          <w:lang w:val="en-US" w:eastAsia="zh-CN" w:bidi="ar-SA"/>
        </w:rPr>
        <w:t>多触觉、多角度、多方位收集并解决群众诉求、社会舆情等信息58件。并结合群众所需，组织乡干部职工和驻村工作队成员深入农户家中、深入田间地头，积极开展党的二十大精神、习近平新时代中国特色社会主义思想及惠农惠民政策等宣传50余次。</w:t>
      </w:r>
      <w:r>
        <w:rPr>
          <w:rFonts w:hint="eastAsia" w:ascii="仿宋" w:hAnsi="仿宋" w:eastAsia="仿宋" w:cs="仿宋"/>
          <w:b/>
          <w:bCs/>
          <w:kern w:val="2"/>
          <w:sz w:val="32"/>
          <w:szCs w:val="32"/>
          <w:lang w:val="en-US" w:eastAsia="zh-CN" w:bidi="ar-SA"/>
        </w:rPr>
        <w:t>三是持续推进乡风文明。</w:t>
      </w:r>
      <w:r>
        <w:rPr>
          <w:rFonts w:hint="eastAsia" w:ascii="仿宋" w:hAnsi="仿宋" w:eastAsia="仿宋" w:cs="仿宋"/>
          <w:kern w:val="2"/>
          <w:sz w:val="32"/>
          <w:szCs w:val="32"/>
          <w:lang w:val="en-US" w:eastAsia="zh-CN" w:bidi="ar-SA"/>
        </w:rPr>
        <w:t>积极组织党员干部开展环境卫生整治、移风易俗主题宣传教育等活动10余场次，通过言传身教，推广文明行为，把文明观念宣传到村、到户，切实提升文明素质，促进文明新风落地生根。今年来，辖区未出现大操大办、铺张浪费等现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right="0"/>
        <w:textAlignment w:val="auto"/>
        <w:rPr>
          <w:rFonts w:hint="eastAsia" w:ascii="仿宋" w:hAnsi="仿宋" w:eastAsia="仿宋" w:cs="仿宋"/>
          <w:kern w:val="2"/>
          <w:sz w:val="32"/>
          <w:szCs w:val="32"/>
          <w:lang w:val="en-US" w:eastAsia="zh-CN" w:bidi="ar-SA"/>
        </w:rPr>
      </w:pPr>
      <w:r>
        <w:rPr>
          <w:rFonts w:hint="eastAsia" w:ascii="仿宋" w:hAnsi="仿宋" w:eastAsia="仿宋" w:cs="仿宋"/>
          <w:b/>
          <w:snapToGrid w:val="0"/>
          <w:kern w:val="0"/>
          <w:sz w:val="32"/>
          <w:szCs w:val="32"/>
          <w:lang w:val="en-US" w:eastAsia="zh-CN" w:bidi="ar-SA"/>
        </w:rPr>
        <w:t>全面推进从严治党。</w:t>
      </w:r>
      <w:r>
        <w:rPr>
          <w:rFonts w:hint="eastAsia" w:ascii="仿宋" w:hAnsi="仿宋" w:eastAsia="仿宋" w:cs="仿宋"/>
          <w:b/>
          <w:bCs/>
          <w:kern w:val="2"/>
          <w:sz w:val="32"/>
          <w:szCs w:val="32"/>
          <w:lang w:val="en-US" w:eastAsia="zh-CN" w:bidi="ar-SA"/>
        </w:rPr>
        <w:t>一是不断提高业务能力。</w:t>
      </w:r>
      <w:r>
        <w:rPr>
          <w:rFonts w:hint="eastAsia" w:ascii="仿宋" w:hAnsi="仿宋" w:eastAsia="仿宋" w:cs="仿宋"/>
          <w:kern w:val="2"/>
          <w:sz w:val="32"/>
          <w:szCs w:val="32"/>
          <w:lang w:val="en-US" w:eastAsia="zh-CN" w:bidi="ar-SA"/>
        </w:rPr>
        <w:t>开展乡、村全体干部集中学习纪检方面内容7次，组织乡、村纪检干部集中学习纪检方面内容及业务培训各4次，不断提高了乡、村干部履职尽责能力和业务工作水平，为严格履行监督职责提供了坚实的理论保障。认真开展纪检监察干部队伍教育整顿，组织“两三兼”队伍开展系列教育整顿活动3次，集中观看了《权利“围城》、《企图》等警示教育片；开展乡纪委书记上廉政党课2次，集中学习了《中华人民共和国公职人员政务处分法》及其他廉政相关法律法规，增强了干部纪法意识、纪法思维和纪法素养。</w:t>
      </w:r>
      <w:r>
        <w:rPr>
          <w:rFonts w:hint="eastAsia" w:ascii="仿宋" w:hAnsi="仿宋" w:eastAsia="仿宋" w:cs="仿宋"/>
          <w:b/>
          <w:bCs/>
          <w:kern w:val="2"/>
          <w:sz w:val="32"/>
          <w:szCs w:val="32"/>
          <w:lang w:val="en-US" w:eastAsia="zh-CN" w:bidi="ar-SA"/>
        </w:rPr>
        <w:t>二是加强监督执纪力度。</w:t>
      </w:r>
      <w:r>
        <w:rPr>
          <w:rFonts w:hint="eastAsia" w:ascii="仿宋" w:hAnsi="仿宋" w:eastAsia="仿宋" w:cs="仿宋"/>
          <w:kern w:val="2"/>
          <w:sz w:val="32"/>
          <w:szCs w:val="32"/>
          <w:lang w:val="en-US" w:eastAsia="zh-CN" w:bidi="ar-SA"/>
        </w:rPr>
        <w:t>围绕基层党建、乡村振兴、反分维稳、民族团结、惠农利民、防火防汛等重点工作开展专项督导检查40次。全面推广“码上举报”工作，进一步畅通信访举报渠道，群众通过扫描或识别“码上举报”二维码直接实名或匿名反映问题。不断加强问题线索管理处置，主动发掘问题线索，客观核查问题线索，有力打击违法乱纪党员，起到问责一个、警醒一片的效果。今年来，乡纪委立案1件，给予党内警告处分1人；参与到县纪委监委一室工作中，办理案件9件，为移送检察院案件补充证据2卷。</w:t>
      </w:r>
      <w:r>
        <w:rPr>
          <w:rFonts w:hint="eastAsia" w:ascii="仿宋" w:hAnsi="仿宋" w:eastAsia="仿宋" w:cs="仿宋"/>
          <w:b/>
          <w:bCs/>
          <w:kern w:val="2"/>
          <w:sz w:val="32"/>
          <w:szCs w:val="32"/>
          <w:lang w:val="en-US" w:eastAsia="zh-CN" w:bidi="ar-SA"/>
        </w:rPr>
        <w:t>三是扎实筑牢廉政防线。</w:t>
      </w:r>
      <w:r>
        <w:rPr>
          <w:rFonts w:hint="eastAsia" w:ascii="仿宋" w:hAnsi="仿宋" w:eastAsia="仿宋" w:cs="仿宋"/>
          <w:kern w:val="2"/>
          <w:sz w:val="32"/>
          <w:szCs w:val="32"/>
          <w:lang w:val="en-US" w:eastAsia="zh-CN" w:bidi="ar-SA"/>
        </w:rPr>
        <w:t>研究制定《2023年晴朗乡落实全面从严治党推进党风廉政建设和反腐败工作任务分解清单》，签订履行党风廉政建设党委主体责任承诺书10份，进一步压实“一把手”第一责任人责任和领导班子成员“一岗双责”责任，切实提高乡班子成员的廉政素质和为民服务的工作能力，全乡正风肃纪工作稳步推进。认真贯彻落实中央八项规定，持之以恒纠治“四风”，加强重点领域和关键环节权力运行监督制约，强化对财政资金分配、政府投资、政府采购、工程建设、专项资金等重点领域的监管，切实抓好党风廉政建设和反腐败斗争，让广大党员干部知敬畏、存戒惧、守底线。坚持节前提醒、节中督查、节后处理相结合，在重要时间节点开展明察暗访8次，对违纪违规现象加大通报曝光力度，持续形成震慑作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(2)坚持共建共享共治，不断加强社会治理。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snapToGrid w:val="0"/>
          <w:kern w:val="0"/>
          <w:sz w:val="32"/>
          <w:szCs w:val="32"/>
          <w:lang w:val="en-US" w:eastAsia="zh-CN" w:bidi="ar-SA"/>
        </w:rPr>
        <w:t>全力维护社会稳定。</w:t>
      </w:r>
      <w:r>
        <w:rPr>
          <w:rFonts w:hint="eastAsia" w:ascii="仿宋" w:hAnsi="仿宋" w:eastAsia="仿宋" w:cs="仿宋"/>
          <w:b/>
          <w:bCs/>
          <w:kern w:val="2"/>
          <w:sz w:val="32"/>
          <w:szCs w:val="32"/>
          <w:lang w:val="en-US" w:eastAsia="zh-CN" w:bidi="ar-SA"/>
        </w:rPr>
        <w:t>一是不断完善工作体系。</w:t>
      </w:r>
      <w:r>
        <w:rPr>
          <w:rFonts w:hint="eastAsia" w:ascii="仿宋" w:hAnsi="仿宋" w:eastAsia="仿宋" w:cs="仿宋"/>
          <w:kern w:val="2"/>
          <w:sz w:val="32"/>
          <w:szCs w:val="32"/>
          <w:lang w:val="en-US" w:eastAsia="zh-CN" w:bidi="ar-SA"/>
        </w:rPr>
        <w:t>严格落实主要领导负总责、分管领导具体抓、其他分管领导“一岗双责”制度，靠实工作责任，明确目标任务，并由分管领导牵头定期对维护社会稳定工作进行督查，分析存在问题，切实抓好整改，确保工作任务落实。坚持分级分类分流管控社会稳定风险，健全完善风险研判、化解、攻坚、评估、处置和督导问效六大机制，提升快速响应、高效处置能力。全年共开展社会稳定形势研判会议10次，稳控非访重点人员5次。</w:t>
      </w:r>
      <w:r>
        <w:rPr>
          <w:rFonts w:hint="eastAsia" w:ascii="仿宋" w:hAnsi="仿宋" w:eastAsia="仿宋" w:cs="仿宋"/>
          <w:b/>
          <w:bCs/>
          <w:kern w:val="2"/>
          <w:sz w:val="32"/>
          <w:szCs w:val="32"/>
          <w:lang w:val="en-US" w:eastAsia="zh-CN" w:bidi="ar-SA"/>
        </w:rPr>
        <w:t>二是不断强化法治宣传。</w:t>
      </w:r>
      <w:r>
        <w:rPr>
          <w:rFonts w:hint="eastAsia" w:ascii="仿宋" w:hAnsi="仿宋" w:eastAsia="仿宋" w:cs="仿宋"/>
          <w:kern w:val="2"/>
          <w:sz w:val="32"/>
          <w:szCs w:val="32"/>
          <w:lang w:val="en-US" w:eastAsia="zh-CN" w:bidi="ar-SA"/>
        </w:rPr>
        <w:t>充分利用交通安全教育宣传日、防灾减灾日、国际禁毒日、全国消防日、国家宪法日等时机，积极开展各类法律法规知识宣传普及活动12场次，发放宣传资料2500余份，在电子显示屏滚动播放维稳、防邪、扫黑除恶宣传标语100余次，利用网络媒体推送相关信息200多条，切实提高了广大群众法治意识及维稳意识。</w:t>
      </w:r>
      <w:r>
        <w:rPr>
          <w:rFonts w:hint="eastAsia" w:ascii="仿宋" w:hAnsi="仿宋" w:eastAsia="仿宋" w:cs="仿宋"/>
          <w:b/>
          <w:bCs/>
          <w:kern w:val="2"/>
          <w:sz w:val="32"/>
          <w:szCs w:val="32"/>
          <w:lang w:val="en-US" w:eastAsia="zh-CN" w:bidi="ar-SA"/>
        </w:rPr>
        <w:t>三是多元化解矛盾纠纷。</w:t>
      </w:r>
      <w:r>
        <w:rPr>
          <w:rFonts w:hint="eastAsia" w:ascii="仿宋" w:hAnsi="仿宋" w:eastAsia="仿宋" w:cs="仿宋"/>
          <w:kern w:val="2"/>
          <w:sz w:val="32"/>
          <w:szCs w:val="32"/>
          <w:lang w:val="en-US" w:eastAsia="zh-CN" w:bidi="ar-SA"/>
        </w:rPr>
        <w:t>落实专兼职调解员49名，深入开展矛盾纠纷“大起底大排查大化解”专项活动，严格落实矛盾处置和化解责任制，及时调处并化解矛盾纠纷21件，做到了把矛盾纠纷化解在村内、消除在萌芽状态。严格落实重大决策社会稳定风险评估，切实做到应评尽评。圆满完成了全国“两会”、成都“大运会”、阿坝州成立70周年庆祝大会等重大节日期间安保维工作。期间，收到和排查涉法涉诉风险隐患4件，皆已成功化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right="0"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snapToGrid w:val="0"/>
          <w:kern w:val="0"/>
          <w:sz w:val="32"/>
          <w:szCs w:val="32"/>
          <w:lang w:val="en-US" w:eastAsia="zh-CN" w:bidi="ar-SA"/>
        </w:rPr>
        <w:t>坚持防范电信网络诈骗。</w:t>
      </w:r>
      <w:r>
        <w:rPr>
          <w:rFonts w:hint="eastAsia" w:ascii="仿宋" w:hAnsi="仿宋" w:eastAsia="仿宋" w:cs="仿宋"/>
          <w:b/>
          <w:bCs/>
          <w:kern w:val="2"/>
          <w:sz w:val="32"/>
          <w:szCs w:val="32"/>
          <w:lang w:val="en-US" w:eastAsia="zh-CN" w:bidi="ar-SA"/>
        </w:rPr>
        <w:t>一是全面提高思想认识。</w:t>
      </w:r>
      <w:r>
        <w:rPr>
          <w:rFonts w:hint="eastAsia" w:ascii="仿宋" w:hAnsi="仿宋" w:eastAsia="仿宋" w:cs="仿宋"/>
          <w:kern w:val="2"/>
          <w:sz w:val="32"/>
          <w:szCs w:val="32"/>
          <w:lang w:val="en-US" w:eastAsia="zh-CN" w:bidi="ar-SA"/>
        </w:rPr>
        <w:t>充分认识到做好防范电信网络诈骗工作的极端重要性，居安思危，常态化开展防范电信网络诈骗分析研判工作，提前预判可能存在的诈骗风险，做好防范措施，切实守护好群众“钱袋子”。</w:t>
      </w:r>
      <w:r>
        <w:rPr>
          <w:rFonts w:hint="eastAsia" w:ascii="仿宋" w:hAnsi="仿宋" w:eastAsia="仿宋" w:cs="仿宋"/>
          <w:b/>
          <w:bCs/>
          <w:kern w:val="2"/>
          <w:sz w:val="32"/>
          <w:szCs w:val="32"/>
          <w:lang w:val="en-US" w:eastAsia="zh-CN" w:bidi="ar-SA"/>
        </w:rPr>
        <w:t>二是深入开展防诈宣传。</w:t>
      </w:r>
      <w:r>
        <w:rPr>
          <w:rFonts w:hint="eastAsia" w:ascii="仿宋" w:hAnsi="仿宋" w:eastAsia="仿宋" w:cs="仿宋"/>
          <w:kern w:val="2"/>
          <w:sz w:val="32"/>
          <w:szCs w:val="32"/>
          <w:lang w:val="en-US" w:eastAsia="zh-CN" w:bidi="ar-SA"/>
        </w:rPr>
        <w:t>坚持以案促教，与群众面对面讲解反诈知识、解析诈骗手段、推广防范措施、指导下载安装“国家反诈中心”APP，有效提高群众对电信网络诈骗防范意识。截止目前，全乡“国家反诈中心”APP下载率达90%。</w:t>
      </w:r>
      <w:r>
        <w:rPr>
          <w:rFonts w:hint="eastAsia" w:ascii="仿宋" w:hAnsi="仿宋" w:eastAsia="仿宋" w:cs="仿宋"/>
          <w:b/>
          <w:bCs/>
          <w:kern w:val="2"/>
          <w:sz w:val="32"/>
          <w:szCs w:val="32"/>
          <w:lang w:val="en-US" w:eastAsia="zh-CN" w:bidi="ar-SA"/>
        </w:rPr>
        <w:t>三是提前做好反诈预警。</w:t>
      </w:r>
      <w:r>
        <w:rPr>
          <w:rFonts w:hint="eastAsia" w:ascii="仿宋" w:hAnsi="仿宋" w:eastAsia="仿宋" w:cs="仿宋"/>
          <w:kern w:val="2"/>
          <w:sz w:val="32"/>
          <w:szCs w:val="32"/>
          <w:lang w:val="en-US" w:eastAsia="zh-CN" w:bidi="ar-SA"/>
        </w:rPr>
        <w:t>组织成立反诈预警劝阻专班，与辖区派出所、村联动，负责收集、分析、研判、处理辖区各类涉诈信息，确保相关信息第一时间收集到位、相关问题第一时间处理到位、相关人员第一时间劝返到位。今年来，共协助派出所处理点击诈骗链接事件3起，未发生财产被骗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right="0" w:firstLine="643"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snapToGrid w:val="0"/>
          <w:kern w:val="0"/>
          <w:sz w:val="32"/>
          <w:szCs w:val="32"/>
          <w:lang w:val="en-US" w:eastAsia="zh-CN" w:bidi="ar-SA"/>
        </w:rPr>
        <w:t>坚决维护网络安全。</w:t>
      </w:r>
      <w:r>
        <w:rPr>
          <w:rFonts w:hint="eastAsia" w:ascii="仿宋" w:hAnsi="仿宋" w:eastAsia="仿宋" w:cs="仿宋"/>
          <w:b/>
          <w:bCs/>
          <w:kern w:val="2"/>
          <w:sz w:val="32"/>
          <w:szCs w:val="32"/>
          <w:lang w:val="en-US" w:eastAsia="zh-CN" w:bidi="ar-SA"/>
        </w:rPr>
        <w:t>一是加强学习教育。</w:t>
      </w:r>
      <w:r>
        <w:rPr>
          <w:rFonts w:hint="eastAsia" w:ascii="仿宋" w:hAnsi="仿宋" w:eastAsia="仿宋" w:cs="仿宋"/>
          <w:kern w:val="2"/>
          <w:sz w:val="32"/>
          <w:szCs w:val="32"/>
          <w:lang w:val="en-US" w:eastAsia="zh-CN" w:bidi="ar-SA"/>
        </w:rPr>
        <w:t>深入学习贯彻习近平总书记网络强国重要思想，组织全乡33名干部职工完成线上阿坝网信云课堂学习，并引导乡干部职工全覆盖安装已授权办公软件，进一步提升干部职工网络安全意识及防范意识。</w:t>
      </w:r>
      <w:r>
        <w:rPr>
          <w:rFonts w:hint="eastAsia" w:ascii="仿宋" w:hAnsi="仿宋" w:eastAsia="仿宋" w:cs="仿宋"/>
          <w:b/>
          <w:bCs/>
          <w:kern w:val="2"/>
          <w:sz w:val="32"/>
          <w:szCs w:val="32"/>
          <w:lang w:val="en-US" w:eastAsia="zh-CN" w:bidi="ar-SA"/>
        </w:rPr>
        <w:t>二是加强源头管控。</w:t>
      </w:r>
      <w:r>
        <w:rPr>
          <w:rFonts w:hint="eastAsia" w:ascii="仿宋" w:hAnsi="仿宋" w:eastAsia="仿宋" w:cs="仿宋"/>
          <w:kern w:val="2"/>
          <w:sz w:val="32"/>
          <w:szCs w:val="32"/>
          <w:lang w:val="en-US" w:eastAsia="zh-CN" w:bidi="ar-SA"/>
        </w:rPr>
        <w:t>建立粉丝过万网络“大V”台账，指定专门的人员强化对辖区已排查出的4名网络“大V”的管控，及时掌握其发布的信息，切实做到底数清、情况明。</w:t>
      </w:r>
      <w:r>
        <w:rPr>
          <w:rFonts w:hint="eastAsia" w:ascii="仿宋" w:hAnsi="仿宋" w:eastAsia="仿宋" w:cs="仿宋"/>
          <w:b/>
          <w:bCs/>
          <w:kern w:val="2"/>
          <w:sz w:val="32"/>
          <w:szCs w:val="32"/>
          <w:lang w:val="en-US" w:eastAsia="zh-CN" w:bidi="ar-SA"/>
        </w:rPr>
        <w:t>三是加强协调配合。</w:t>
      </w:r>
      <w:r>
        <w:rPr>
          <w:rFonts w:hint="eastAsia" w:ascii="仿宋" w:hAnsi="仿宋" w:eastAsia="仿宋" w:cs="仿宋"/>
          <w:b w:val="0"/>
          <w:bCs w:val="0"/>
          <w:kern w:val="2"/>
          <w:sz w:val="32"/>
          <w:szCs w:val="32"/>
          <w:lang w:val="en-US" w:eastAsia="zh-CN" w:bidi="ar-SA"/>
        </w:rPr>
        <w:t>积极协同黑水县委网信办，时刻做好网络舆情信息监控，有效解决反馈负面舆情信息7条。协同推进“清朗”系列专项行动，及时清理网络非法不良信息。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left="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(3)坚持民族团结进步，不断强化示范引领。</w:t>
      </w:r>
    </w:p>
    <w:p>
      <w:pPr>
        <w:keepNext w:val="0"/>
        <w:keepLines w:val="0"/>
        <w:pageBreakBefore w:val="0"/>
        <w:kinsoku/>
        <w:wordWrap/>
        <w:overflowPunct/>
        <w:topLinePunct w:val="0"/>
        <w:autoSpaceDE/>
        <w:autoSpaceDN/>
        <w:bidi w:val="0"/>
        <w:adjustRightInd/>
        <w:spacing w:line="576" w:lineRule="exact"/>
        <w:ind w:right="0" w:firstLine="472" w:firstLineChars="147"/>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snapToGrid w:val="0"/>
          <w:kern w:val="0"/>
          <w:sz w:val="32"/>
          <w:szCs w:val="32"/>
          <w:lang w:val="en-US" w:eastAsia="zh-CN" w:bidi="ar-SA"/>
        </w:rPr>
        <w:t>民族团结进步创建工作有序推进。</w:t>
      </w:r>
      <w:r>
        <w:rPr>
          <w:rFonts w:hint="eastAsia" w:ascii="仿宋" w:hAnsi="仿宋" w:eastAsia="仿宋" w:cs="仿宋"/>
          <w:b/>
          <w:bCs/>
          <w:kern w:val="2"/>
          <w:sz w:val="32"/>
          <w:szCs w:val="32"/>
          <w:lang w:val="en-US" w:eastAsia="zh-CN" w:bidi="ar-SA"/>
        </w:rPr>
        <w:t>一是健全民创工作机制。</w:t>
      </w:r>
      <w:r>
        <w:rPr>
          <w:rFonts w:hint="eastAsia" w:ascii="仿宋" w:hAnsi="仿宋" w:eastAsia="仿宋" w:cs="仿宋"/>
          <w:kern w:val="2"/>
          <w:sz w:val="32"/>
          <w:szCs w:val="32"/>
          <w:lang w:val="en-US" w:eastAsia="zh-CN" w:bidi="ar-SA"/>
        </w:rPr>
        <w:t>将民族团结进步创建与党建、综治维稳及项目发展等重点工作紧密结合起来，对民族团结进步创建活动进行统一安排部署和组织实施，明确分管领导和人员具体承办民族团结进步创建工作。</w:t>
      </w:r>
      <w:r>
        <w:rPr>
          <w:rFonts w:hint="eastAsia" w:ascii="仿宋" w:hAnsi="仿宋" w:eastAsia="仿宋" w:cs="仿宋"/>
          <w:b/>
          <w:bCs/>
          <w:kern w:val="2"/>
          <w:sz w:val="32"/>
          <w:szCs w:val="32"/>
          <w:lang w:val="en-US" w:eastAsia="zh-CN" w:bidi="ar-SA"/>
        </w:rPr>
        <w:t>二是多渠道普及民创知识。</w:t>
      </w:r>
      <w:r>
        <w:rPr>
          <w:rFonts w:hint="eastAsia" w:ascii="仿宋" w:hAnsi="仿宋" w:eastAsia="仿宋" w:cs="仿宋"/>
          <w:kern w:val="2"/>
          <w:sz w:val="32"/>
          <w:szCs w:val="32"/>
          <w:lang w:val="en-US" w:eastAsia="zh-CN" w:bidi="ar-SA"/>
        </w:rPr>
        <w:t>以民族团结进步创建“七进”为活动载体，结合“三会一课”、“支部主题党日”“民族团结进步宣传月”入户宣传等多种形式开展民族团结进步宣传教育活动25场次，制定固定性宣传墙2处、固定性标语4副、横幅7副、宣传展板8块、发放宣传资料800余份。</w:t>
      </w:r>
      <w:r>
        <w:rPr>
          <w:rFonts w:hint="eastAsia" w:ascii="仿宋" w:hAnsi="仿宋" w:eastAsia="仿宋" w:cs="仿宋"/>
          <w:b/>
          <w:bCs/>
          <w:kern w:val="2"/>
          <w:sz w:val="32"/>
          <w:szCs w:val="32"/>
          <w:lang w:val="en-US" w:eastAsia="zh-CN" w:bidi="ar-SA"/>
        </w:rPr>
        <w:t>三是坚持创建示范引领。</w:t>
      </w:r>
      <w:r>
        <w:rPr>
          <w:rFonts w:hint="eastAsia" w:ascii="仿宋" w:hAnsi="仿宋" w:eastAsia="仿宋" w:cs="仿宋"/>
          <w:kern w:val="2"/>
          <w:sz w:val="32"/>
          <w:szCs w:val="32"/>
          <w:lang w:val="en-US" w:eastAsia="zh-CN" w:bidi="ar-SA"/>
        </w:rPr>
        <w:t>按照“重点突破、以点带面、示范引导、全面推进”的工作思路，将仁恩塘村定为民族团结进步示范点，成立创建工作领导小组，制定创建计划，完善各类民族团结进步创建台账，打造添加民族团结进步教育元素的文化广场1处，宣传阵地“红石榴”调解室1间，成功创建州级民族团结进步示范村，为晴朗乡民创建设打下了坚实的基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(4)坚持生态保护优先，不断推动生态发展。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right="0"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snapToGrid w:val="0"/>
          <w:kern w:val="0"/>
          <w:sz w:val="32"/>
          <w:szCs w:val="32"/>
          <w:lang w:val="en-US" w:eastAsia="zh-CN" w:bidi="ar-SA"/>
        </w:rPr>
        <w:t>大力开展环境卫生整治。</w:t>
      </w:r>
      <w:r>
        <w:rPr>
          <w:rFonts w:hint="eastAsia" w:ascii="仿宋" w:hAnsi="仿宋" w:eastAsia="仿宋" w:cs="仿宋"/>
          <w:b/>
          <w:bCs/>
          <w:kern w:val="2"/>
          <w:sz w:val="32"/>
          <w:szCs w:val="32"/>
          <w:lang w:val="en-US" w:eastAsia="zh-CN" w:bidi="ar-SA"/>
        </w:rPr>
        <w:t>一是持续加强日常管理。</w:t>
      </w:r>
      <w:r>
        <w:rPr>
          <w:rFonts w:hint="eastAsia" w:ascii="仿宋" w:hAnsi="仿宋" w:eastAsia="仿宋" w:cs="仿宋"/>
          <w:kern w:val="2"/>
          <w:sz w:val="32"/>
          <w:szCs w:val="32"/>
          <w:lang w:val="en-US" w:eastAsia="zh-CN" w:bidi="ar-SA"/>
        </w:rPr>
        <w:t>着重以日常清扫、保洁为主,配备垃圾箱42个，垃圾清运车驾驶员2个，每日将垃圾清运到固定的垃圾倾倒场。</w:t>
      </w:r>
      <w:r>
        <w:rPr>
          <w:rFonts w:hint="eastAsia" w:ascii="仿宋" w:hAnsi="仿宋" w:eastAsia="仿宋" w:cs="仿宋"/>
          <w:b/>
          <w:bCs/>
          <w:kern w:val="2"/>
          <w:sz w:val="32"/>
          <w:szCs w:val="32"/>
          <w:lang w:val="en-US" w:eastAsia="zh-CN" w:bidi="ar-SA"/>
        </w:rPr>
        <w:t>二是建立健全工作机制。</w:t>
      </w:r>
      <w:r>
        <w:rPr>
          <w:rFonts w:hint="eastAsia" w:ascii="仿宋" w:hAnsi="仿宋" w:eastAsia="仿宋" w:cs="仿宋"/>
          <w:kern w:val="2"/>
          <w:sz w:val="32"/>
          <w:szCs w:val="32"/>
          <w:lang w:val="en-US" w:eastAsia="zh-CN" w:bidi="ar-SA"/>
        </w:rPr>
        <w:t>严格落实门前三包责任，积极引导群众主动参与环境卫生整治，今年来，共开展综合性环境卫生整治50余次，疏通村庄沟渠约4300米、整治农村卫生垃圾16吨、开展庭院整治约880户。</w:t>
      </w:r>
      <w:r>
        <w:rPr>
          <w:rFonts w:hint="eastAsia" w:ascii="仿宋" w:hAnsi="仿宋" w:eastAsia="仿宋" w:cs="仿宋"/>
          <w:b/>
          <w:bCs/>
          <w:kern w:val="2"/>
          <w:sz w:val="32"/>
          <w:szCs w:val="32"/>
          <w:lang w:val="en-US" w:eastAsia="zh-CN" w:bidi="ar-SA"/>
        </w:rPr>
        <w:t>三是全力保障整治经费。</w:t>
      </w:r>
      <w:r>
        <w:rPr>
          <w:rFonts w:hint="eastAsia" w:ascii="仿宋" w:hAnsi="仿宋" w:eastAsia="仿宋" w:cs="仿宋"/>
          <w:kern w:val="2"/>
          <w:sz w:val="32"/>
          <w:szCs w:val="32"/>
          <w:lang w:val="en-US" w:eastAsia="zh-CN" w:bidi="ar-SA"/>
        </w:rPr>
        <w:t>积极对接相关部门，确保垃圾车驾驶员工资、燃油费、垃圾车保险费、维修保养费等资金充足，及时完成公共基础设施管理运行费拨付。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right="0" w:firstLine="643" w:firstLineChars="200"/>
        <w:textAlignment w:val="auto"/>
        <w:rPr>
          <w:rFonts w:hint="eastAsia" w:ascii="仿宋" w:hAnsi="仿宋" w:eastAsia="仿宋" w:cs="仿宋"/>
          <w:b/>
          <w:snapToGrid w:val="0"/>
          <w:kern w:val="0"/>
          <w:sz w:val="32"/>
          <w:szCs w:val="32"/>
          <w:lang w:val="en-US" w:eastAsia="zh-CN" w:bidi="ar-SA"/>
        </w:rPr>
      </w:pPr>
      <w:r>
        <w:rPr>
          <w:rFonts w:hint="eastAsia" w:ascii="仿宋" w:hAnsi="仿宋" w:eastAsia="仿宋" w:cs="仿宋"/>
          <w:b/>
          <w:snapToGrid w:val="0"/>
          <w:kern w:val="0"/>
          <w:sz w:val="32"/>
          <w:szCs w:val="32"/>
          <w:lang w:val="en-US" w:eastAsia="zh-CN" w:bidi="ar-SA"/>
        </w:rPr>
        <w:t>筑牢沿河流域生态屏障。</w:t>
      </w:r>
      <w:r>
        <w:rPr>
          <w:rFonts w:hint="eastAsia" w:ascii="仿宋" w:hAnsi="仿宋" w:eastAsia="仿宋" w:cs="仿宋"/>
          <w:b/>
          <w:bCs/>
          <w:kern w:val="2"/>
          <w:sz w:val="32"/>
          <w:szCs w:val="32"/>
          <w:lang w:val="en-US" w:eastAsia="zh-CN" w:bidi="ar-SA"/>
        </w:rPr>
        <w:t>一是建立健全工作体系。</w:t>
      </w:r>
      <w:r>
        <w:rPr>
          <w:rFonts w:hint="eastAsia" w:ascii="仿宋" w:hAnsi="仿宋" w:eastAsia="仿宋" w:cs="仿宋"/>
          <w:kern w:val="2"/>
          <w:sz w:val="32"/>
          <w:szCs w:val="32"/>
          <w:lang w:val="en-US" w:eastAsia="zh-CN" w:bidi="ar-SA"/>
        </w:rPr>
        <w:t>明确总河长负总责、亲自抓的工作格局，对全乡范围内的河流落实了河长，由河长每月对管辖河流进行巡护。全乡5名河长已完成线上巡河任务105次，线下巡河任务24次。</w:t>
      </w:r>
      <w:r>
        <w:rPr>
          <w:rFonts w:hint="eastAsia" w:ascii="仿宋" w:hAnsi="仿宋" w:eastAsia="仿宋" w:cs="仿宋"/>
          <w:b/>
          <w:bCs/>
          <w:kern w:val="2"/>
          <w:sz w:val="32"/>
          <w:szCs w:val="32"/>
          <w:lang w:val="en-US" w:eastAsia="zh-CN" w:bidi="ar-SA"/>
        </w:rPr>
        <w:t>二是严格落实河湖管护。</w:t>
      </w:r>
      <w:r>
        <w:rPr>
          <w:rFonts w:hint="eastAsia" w:ascii="仿宋" w:hAnsi="仿宋" w:eastAsia="仿宋" w:cs="仿宋"/>
          <w:kern w:val="2"/>
          <w:sz w:val="32"/>
          <w:szCs w:val="32"/>
          <w:lang w:val="en-US" w:eastAsia="zh-CN" w:bidi="ar-SA"/>
        </w:rPr>
        <w:t>深入贯彻落实“河长+警长+检察长”工作机制，成立5支采砂管理队伍，设置管理员57名，采取“河长+联络员单位+警长+村干部+河道管护员”的架构，进一步达成村级河湖管护“解放模式”。</w:t>
      </w:r>
      <w:r>
        <w:rPr>
          <w:rFonts w:hint="eastAsia" w:ascii="仿宋" w:hAnsi="仿宋" w:eastAsia="仿宋" w:cs="仿宋"/>
          <w:b/>
          <w:bCs/>
          <w:kern w:val="2"/>
          <w:sz w:val="32"/>
          <w:szCs w:val="32"/>
          <w:lang w:val="en-US" w:eastAsia="zh-CN" w:bidi="ar-SA"/>
        </w:rPr>
        <w:t>三是深入推进问题整改。</w:t>
      </w:r>
      <w:r>
        <w:rPr>
          <w:rFonts w:hint="eastAsia" w:ascii="仿宋" w:hAnsi="仿宋" w:eastAsia="仿宋" w:cs="仿宋"/>
          <w:kern w:val="2"/>
          <w:sz w:val="32"/>
          <w:szCs w:val="32"/>
          <w:lang w:val="en-US" w:eastAsia="zh-CN" w:bidi="ar-SA"/>
        </w:rPr>
        <w:t>严厉打击各类涉水违法行为，抓好问题整改落实，推动实现“河小清”目标。目前，共发现并涉水违法问题5起，接到群众举报私挖盗采情况3起，均已整处到位。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left="0" w:right="0"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snapToGrid w:val="0"/>
          <w:kern w:val="0"/>
          <w:sz w:val="32"/>
          <w:szCs w:val="32"/>
          <w:lang w:val="en-US" w:eastAsia="zh-CN" w:bidi="ar-SA"/>
        </w:rPr>
        <w:t>全力确保生态效益提升。</w:t>
      </w:r>
      <w:r>
        <w:rPr>
          <w:rFonts w:hint="eastAsia" w:ascii="仿宋" w:hAnsi="仿宋" w:eastAsia="仿宋" w:cs="仿宋"/>
          <w:b/>
          <w:bCs/>
          <w:kern w:val="2"/>
          <w:sz w:val="32"/>
          <w:szCs w:val="32"/>
          <w:lang w:val="en-US" w:eastAsia="zh-CN" w:bidi="ar-SA"/>
        </w:rPr>
        <w:t>一是全面落实种植任务。</w:t>
      </w:r>
      <w:r>
        <w:rPr>
          <w:rFonts w:hint="eastAsia" w:ascii="仿宋" w:hAnsi="仿宋" w:eastAsia="仿宋" w:cs="仿宋"/>
          <w:kern w:val="2"/>
          <w:sz w:val="32"/>
          <w:szCs w:val="32"/>
          <w:lang w:val="en-US" w:eastAsia="zh-CN" w:bidi="ar-SA"/>
        </w:rPr>
        <w:t>坚持以推动实现粮食安全为目标，不断强化工作措施，全面落实县级下发种植任务，并超额完成目标。2023年，晴朗乡粮食生产定案面积8650亩，任务产量1790吨，已完成产量1778.03吨；大春经济作物定案面积1480亩，任务产量2404吨，实际产量2434吨；人工种植中草药材定案面积140亩，任务55.5吨，实际产量56吨。</w:t>
      </w:r>
      <w:r>
        <w:rPr>
          <w:rFonts w:hint="eastAsia" w:ascii="仿宋" w:hAnsi="仿宋" w:eastAsia="仿宋" w:cs="仿宋"/>
          <w:b/>
          <w:bCs/>
          <w:kern w:val="2"/>
          <w:sz w:val="32"/>
          <w:szCs w:val="32"/>
          <w:lang w:val="en-US" w:eastAsia="zh-CN" w:bidi="ar-SA"/>
        </w:rPr>
        <w:t>二是做好各类补贴发放。</w:t>
      </w:r>
      <w:r>
        <w:rPr>
          <w:rFonts w:hint="eastAsia" w:ascii="仿宋" w:hAnsi="仿宋" w:eastAsia="仿宋" w:cs="仿宋"/>
          <w:kern w:val="2"/>
          <w:sz w:val="32"/>
          <w:szCs w:val="32"/>
          <w:lang w:val="en-US" w:eastAsia="zh-CN" w:bidi="ar-SA"/>
        </w:rPr>
        <w:t>发放实际种粮农民一次性补贴35551.5元，涉及面积为8650亩；发放耕地地力保护补贴493821.76元，涉及面积8392.62亩。</w:t>
      </w:r>
      <w:r>
        <w:rPr>
          <w:rFonts w:hint="eastAsia" w:ascii="仿宋" w:hAnsi="仿宋" w:eastAsia="仿宋" w:cs="仿宋"/>
          <w:b/>
          <w:bCs/>
          <w:kern w:val="2"/>
          <w:sz w:val="32"/>
          <w:szCs w:val="32"/>
          <w:lang w:val="en-US" w:eastAsia="zh-CN" w:bidi="ar-SA"/>
        </w:rPr>
        <w:t>三是推进农业提档升级。</w:t>
      </w:r>
      <w:r>
        <w:rPr>
          <w:rFonts w:hint="eastAsia" w:ascii="仿宋" w:hAnsi="仿宋" w:eastAsia="仿宋" w:cs="仿宋"/>
          <w:kern w:val="2"/>
          <w:sz w:val="32"/>
          <w:szCs w:val="32"/>
          <w:lang w:val="en-US" w:eastAsia="zh-CN" w:bidi="ar-SA"/>
        </w:rPr>
        <w:t>打破传统农业种植瓶颈，将“单独作战”的小农经济塑造转变为高度集聚化、规模化的农业产业体系，积极打造黑水县粮经复合种植现代农业园区，建成新品种种植试验基地40亩、生态蔬菜大棚50亩，用于番茄、莴笋、无筋豆及青红椒等高山生态果蔬种植，农业经济收入有了较大提升。同时，充分发挥新型农业主体对群众的带动作用，积极引进种植大户15户，流转土地约1726.77亩，土地流转租金增收110.68255万元.</w:t>
      </w:r>
    </w:p>
    <w:p>
      <w:pPr>
        <w:keepNext w:val="0"/>
        <w:keepLines w:val="0"/>
        <w:pageBreakBefore w:val="0"/>
        <w:widowControl w:val="0"/>
        <w:kinsoku/>
        <w:wordWrap/>
        <w:overflowPunct/>
        <w:topLinePunct w:val="0"/>
        <w:autoSpaceDE/>
        <w:autoSpaceDN/>
        <w:adjustRightInd w:val="0"/>
        <w:snapToGrid w:val="0"/>
        <w:spacing w:line="578" w:lineRule="exact"/>
        <w:ind w:left="0" w:firstLine="643" w:firstLineChars="200"/>
        <w:contextualSpacing/>
        <w:jc w:val="left"/>
        <w:rPr>
          <w:rFonts w:ascii="楷体_GB2312" w:eastAsia="楷体_GB2312" w:cs="楷体_GB2312"/>
          <w:b/>
          <w:bCs/>
          <w:color w:val="000000"/>
          <w:kern w:val="0"/>
          <w:szCs w:val="32"/>
          <w:highlight w:val="none"/>
          <w:shd w:val="clear" w:color="auto" w:fill="FFFFFF"/>
          <w:lang w:val="zh-CN"/>
        </w:rPr>
      </w:pPr>
      <w:r>
        <w:rPr>
          <w:rFonts w:hint="eastAsia" w:ascii="楷体_GB2312" w:eastAsia="楷体_GB2312" w:cs="楷体_GB2312"/>
          <w:b/>
          <w:bCs/>
          <w:color w:val="000000"/>
          <w:kern w:val="0"/>
          <w:szCs w:val="32"/>
          <w:highlight w:val="none"/>
          <w:shd w:val="clear" w:color="auto" w:fill="FFFFFF"/>
          <w:lang w:val="en-US" w:eastAsia="zh-CN"/>
        </w:rPr>
        <w:t>2.</w:t>
      </w:r>
      <w:r>
        <w:rPr>
          <w:rFonts w:ascii="楷体_GB2312" w:eastAsia="楷体_GB2312" w:cs="楷体_GB2312"/>
          <w:b/>
          <w:bCs/>
          <w:color w:val="000000"/>
          <w:kern w:val="0"/>
          <w:szCs w:val="32"/>
          <w:highlight w:val="none"/>
          <w:shd w:val="clear" w:color="auto" w:fill="FFFFFF"/>
          <w:lang w:val="zh-CN"/>
        </w:rPr>
        <w:t>预算管理</w:t>
      </w:r>
      <w:r>
        <w:rPr>
          <w:rFonts w:hint="eastAsia" w:ascii="楷体_GB2312" w:eastAsia="楷体_GB2312" w:cs="楷体_GB2312"/>
          <w:b/>
          <w:bCs/>
          <w:color w:val="000000"/>
          <w:kern w:val="0"/>
          <w:szCs w:val="32"/>
          <w:highlight w:val="none"/>
          <w:shd w:val="clear" w:color="auto" w:fill="FFFFFF"/>
          <w:lang w:val="zh-CN"/>
        </w:rPr>
        <w:t>。</w:t>
      </w:r>
      <w:r>
        <w:rPr>
          <w:rFonts w:ascii="楷体_GB2312" w:eastAsia="楷体_GB2312" w:cs="楷体_GB2312"/>
          <w:b/>
          <w:bCs/>
          <w:color w:val="000000"/>
          <w:kern w:val="0"/>
          <w:szCs w:val="32"/>
          <w:highlight w:val="none"/>
          <w:shd w:val="clear" w:color="auto" w:fill="FFFFFF"/>
          <w:lang w:val="zh-CN"/>
        </w:rPr>
        <w:t>指标分值25分，自评得分</w:t>
      </w:r>
      <w:r>
        <w:rPr>
          <w:rFonts w:hint="eastAsia" w:ascii="楷体_GB2312" w:eastAsia="楷体_GB2312" w:cs="楷体_GB2312"/>
          <w:b/>
          <w:bCs/>
          <w:color w:val="000000"/>
          <w:kern w:val="0"/>
          <w:szCs w:val="32"/>
          <w:highlight w:val="none"/>
          <w:shd w:val="clear" w:color="auto" w:fill="FFFFFF"/>
          <w:lang w:val="en-US" w:eastAsia="zh-CN"/>
        </w:rPr>
        <w:t>24</w:t>
      </w:r>
      <w:r>
        <w:rPr>
          <w:rFonts w:ascii="楷体_GB2312" w:eastAsia="楷体_GB2312" w:cs="楷体_GB2312"/>
          <w:b/>
          <w:bCs/>
          <w:color w:val="000000"/>
          <w:kern w:val="0"/>
          <w:szCs w:val="32"/>
          <w:highlight w:val="none"/>
          <w:shd w:val="clear" w:color="auto" w:fill="FFFFFF"/>
          <w:lang w:val="zh-CN"/>
        </w:rPr>
        <w:t>分。</w:t>
      </w:r>
    </w:p>
    <w:p>
      <w:pPr>
        <w:widowControl/>
        <w:adjustRightInd w:val="0"/>
        <w:snapToGrid w:val="0"/>
        <w:spacing w:line="580" w:lineRule="exact"/>
        <w:ind w:firstLine="640" w:firstLineChars="200"/>
        <w:jc w:val="left"/>
        <w:rPr>
          <w:rFonts w:hint="default" w:ascii="仿宋" w:hAnsi="仿宋" w:eastAsia="仿宋" w:cs="仿宋"/>
          <w:sz w:val="32"/>
          <w:szCs w:val="32"/>
          <w:lang w:val="en-US"/>
        </w:rPr>
      </w:pPr>
      <w:r>
        <w:rPr>
          <w:rFonts w:ascii="仿宋_GB2312" w:eastAsia="仿宋_GB2312"/>
          <w:sz w:val="32"/>
          <w:szCs w:val="32"/>
        </w:rPr>
        <w:t>预算编制质量：</w:t>
      </w:r>
      <w:r>
        <w:rPr>
          <w:rFonts w:hint="eastAsia" w:ascii="仿宋" w:hAnsi="仿宋" w:eastAsia="仿宋" w:cs="仿宋"/>
          <w:sz w:val="32"/>
          <w:szCs w:val="32"/>
        </w:rPr>
        <w:t>我乡已按照黑水县预算编制管理办法</w:t>
      </w:r>
      <w:r>
        <w:rPr>
          <w:rFonts w:hint="eastAsia" w:ascii="仿宋" w:hAnsi="仿宋" w:eastAsia="仿宋" w:cs="仿宋"/>
          <w:sz w:val="32"/>
          <w:szCs w:val="32"/>
          <w:lang w:val="en-US" w:eastAsia="zh-CN"/>
        </w:rPr>
        <w:t>及黑水县财政局2023年部门预算批复</w:t>
      </w:r>
      <w:r>
        <w:rPr>
          <w:rFonts w:hint="eastAsia" w:ascii="仿宋" w:hAnsi="仿宋" w:eastAsia="仿宋" w:cs="仿宋"/>
          <w:sz w:val="32"/>
          <w:szCs w:val="32"/>
        </w:rPr>
        <w:t>对我乡202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部门</w:t>
      </w:r>
      <w:r>
        <w:rPr>
          <w:rFonts w:hint="eastAsia" w:ascii="仿宋" w:hAnsi="仿宋" w:eastAsia="仿宋" w:cs="仿宋"/>
          <w:sz w:val="32"/>
          <w:szCs w:val="32"/>
        </w:rPr>
        <w:t>预算</w:t>
      </w:r>
      <w:r>
        <w:rPr>
          <w:rFonts w:hint="eastAsia" w:ascii="仿宋" w:hAnsi="仿宋" w:eastAsia="仿宋" w:cs="仿宋"/>
          <w:sz w:val="32"/>
          <w:szCs w:val="32"/>
          <w:lang w:val="en-US" w:eastAsia="zh-CN"/>
        </w:rPr>
        <w:t>进行了</w:t>
      </w:r>
      <w:r>
        <w:rPr>
          <w:rFonts w:hint="eastAsia" w:ascii="仿宋" w:hAnsi="仿宋" w:eastAsia="仿宋" w:cs="仿宋"/>
          <w:sz w:val="32"/>
          <w:szCs w:val="32"/>
        </w:rPr>
        <w:t>编制</w:t>
      </w:r>
      <w:r>
        <w:rPr>
          <w:rFonts w:hint="eastAsia" w:ascii="仿宋" w:hAnsi="仿宋" w:eastAsia="仿宋" w:cs="仿宋"/>
          <w:sz w:val="32"/>
          <w:szCs w:val="32"/>
          <w:lang w:val="en-US" w:eastAsia="zh-CN"/>
        </w:rPr>
        <w:t>和</w:t>
      </w:r>
      <w:r>
        <w:rPr>
          <w:rFonts w:hint="eastAsia" w:ascii="仿宋" w:hAnsi="仿宋" w:eastAsia="仿宋" w:cs="仿宋"/>
          <w:sz w:val="32"/>
          <w:szCs w:val="32"/>
        </w:rPr>
        <w:t>主动公开。</w:t>
      </w:r>
      <w:r>
        <w:rPr>
          <w:rFonts w:hint="eastAsia" w:ascii="仿宋" w:hAnsi="仿宋" w:eastAsia="仿宋" w:cs="仿宋"/>
          <w:color w:val="000000"/>
          <w:kern w:val="0"/>
          <w:szCs w:val="32"/>
          <w:highlight w:val="none"/>
          <w:shd w:val="clear" w:color="auto" w:fill="FFFFFF"/>
          <w:lang w:val="en-US" w:eastAsia="zh-CN"/>
        </w:rPr>
        <w:t>据“总量控制，计划管理”的要求从严控制经费，压缩公务费开支，严格控制“三公”经费、会议、培训、差旅、办节办展、办公设备购置、信息网络及软件购置更新、课题经费等8项一般性支出。</w:t>
      </w:r>
      <w:r>
        <w:rPr>
          <w:rFonts w:hint="eastAsia" w:ascii="仿宋_GB2312" w:eastAsia="仿宋_GB2312"/>
          <w:b w:val="0"/>
          <w:sz w:val="32"/>
          <w:szCs w:val="32"/>
          <w:lang w:val="zh-CN"/>
        </w:rPr>
        <w:t>指标分值</w:t>
      </w:r>
      <w:r>
        <w:rPr>
          <w:rFonts w:hint="eastAsia" w:ascii="仿宋_GB2312"/>
          <w:b w:val="0"/>
          <w:sz w:val="32"/>
          <w:szCs w:val="32"/>
          <w:lang w:val="en-US" w:eastAsia="zh-CN"/>
        </w:rPr>
        <w:t>8</w:t>
      </w:r>
      <w:r>
        <w:rPr>
          <w:rFonts w:hint="eastAsia" w:ascii="仿宋_GB2312" w:eastAsia="仿宋_GB2312"/>
          <w:b w:val="0"/>
          <w:sz w:val="32"/>
          <w:szCs w:val="32"/>
          <w:lang w:val="zh-CN"/>
        </w:rPr>
        <w:t>分</w:t>
      </w:r>
      <w:r>
        <w:rPr>
          <w:rFonts w:hint="eastAsia" w:ascii="仿宋_GB2312"/>
          <w:b w:val="0"/>
          <w:sz w:val="32"/>
          <w:szCs w:val="32"/>
          <w:lang w:val="zh-CN"/>
        </w:rPr>
        <w:t>，</w:t>
      </w:r>
      <w:r>
        <w:rPr>
          <w:rFonts w:hint="eastAsia" w:ascii="仿宋" w:hAnsi="仿宋" w:eastAsia="仿宋" w:cs="仿宋"/>
          <w:color w:val="000000"/>
          <w:kern w:val="0"/>
          <w:szCs w:val="32"/>
          <w:highlight w:val="none"/>
          <w:shd w:val="clear" w:color="auto" w:fill="FFFFFF"/>
          <w:lang w:val="en-US" w:eastAsia="zh-CN"/>
        </w:rPr>
        <w:t>自评得分8分。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eastAsia="仿宋_GB2312"/>
          <w:b w:val="0"/>
          <w:sz w:val="32"/>
          <w:szCs w:val="32"/>
          <w:lang w:val="en-US" w:eastAsia="zh-CN"/>
        </w:rPr>
      </w:pPr>
      <w:r>
        <w:rPr>
          <w:rFonts w:ascii="仿宋_GB2312" w:eastAsia="仿宋_GB2312"/>
          <w:b w:val="0"/>
          <w:sz w:val="32"/>
          <w:szCs w:val="32"/>
          <w:lang w:val="en-US" w:eastAsia="zh-CN"/>
        </w:rPr>
        <w:t>严控一般性支出</w:t>
      </w:r>
      <w:r>
        <w:rPr>
          <w:rFonts w:hint="eastAsia" w:ascii="仿宋_GB2312" w:eastAsia="仿宋_GB2312"/>
          <w:b w:val="0"/>
          <w:sz w:val="32"/>
          <w:szCs w:val="32"/>
          <w:lang w:val="en-US" w:eastAsia="zh-CN"/>
        </w:rPr>
        <w:t>：我单位严控“三公”经费、会议、培训、差旅、办节办展、办公设备购置、信息网络及软件购置更新、课题经费等8项一般性支出。</w:t>
      </w:r>
      <w:r>
        <w:rPr>
          <w:rFonts w:hint="eastAsia" w:ascii="仿宋_GB2312" w:eastAsia="仿宋_GB2312"/>
          <w:b w:val="0"/>
          <w:sz w:val="32"/>
          <w:szCs w:val="32"/>
          <w:lang w:val="zh-CN" w:eastAsia="zh-CN"/>
        </w:rPr>
        <w:t>指标分值</w:t>
      </w:r>
      <w:r>
        <w:rPr>
          <w:rFonts w:hint="eastAsia" w:ascii="仿宋_GB2312" w:eastAsia="仿宋_GB2312"/>
          <w:b w:val="0"/>
          <w:sz w:val="32"/>
          <w:szCs w:val="32"/>
          <w:lang w:val="en-US" w:eastAsia="zh-CN"/>
        </w:rPr>
        <w:t>5</w:t>
      </w:r>
      <w:r>
        <w:rPr>
          <w:rFonts w:hint="eastAsia" w:ascii="仿宋_GB2312" w:eastAsia="仿宋_GB2312"/>
          <w:b w:val="0"/>
          <w:sz w:val="32"/>
          <w:szCs w:val="32"/>
          <w:lang w:val="zh-CN" w:eastAsia="zh-CN"/>
        </w:rPr>
        <w:t>分，自评得分</w:t>
      </w:r>
      <w:r>
        <w:rPr>
          <w:rFonts w:hint="eastAsia" w:ascii="仿宋_GB2312" w:eastAsia="仿宋_GB2312"/>
          <w:b w:val="0"/>
          <w:sz w:val="32"/>
          <w:szCs w:val="32"/>
          <w:lang w:val="en-US" w:eastAsia="zh-CN"/>
        </w:rPr>
        <w:t>5</w:t>
      </w:r>
      <w:r>
        <w:rPr>
          <w:rFonts w:hint="eastAsia" w:ascii="仿宋_GB2312" w:eastAsia="仿宋_GB2312"/>
          <w:b w:val="0"/>
          <w:sz w:val="32"/>
          <w:szCs w:val="32"/>
          <w:lang w:val="zh-CN" w:eastAsia="zh-CN"/>
        </w:rPr>
        <w:t>分。</w:t>
      </w:r>
    </w:p>
    <w:p>
      <w:pPr>
        <w:widowControl/>
        <w:adjustRightInd w:val="0"/>
        <w:snapToGrid w:val="0"/>
        <w:spacing w:line="58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支出执行进度</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年我乡一般公共预算人员类共计</w:t>
      </w:r>
      <w:r>
        <w:rPr>
          <w:rFonts w:hint="eastAsia" w:ascii="仿宋" w:hAnsi="仿宋" w:eastAsia="仿宋" w:cs="仿宋"/>
          <w:sz w:val="32"/>
          <w:szCs w:val="32"/>
          <w:lang w:val="en-US" w:eastAsia="zh-CN"/>
        </w:rPr>
        <w:t>703.77</w:t>
      </w:r>
      <w:r>
        <w:rPr>
          <w:rFonts w:hint="eastAsia" w:ascii="仿宋" w:hAnsi="仿宋" w:eastAsia="仿宋" w:cs="仿宋"/>
          <w:sz w:val="32"/>
          <w:szCs w:val="32"/>
        </w:rPr>
        <w:t>万元，截止202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月已支出</w:t>
      </w:r>
      <w:r>
        <w:rPr>
          <w:rFonts w:hint="eastAsia" w:ascii="仿宋" w:hAnsi="仿宋" w:eastAsia="仿宋" w:cs="仿宋"/>
          <w:sz w:val="32"/>
          <w:szCs w:val="32"/>
          <w:lang w:val="en-US" w:eastAsia="zh-CN"/>
        </w:rPr>
        <w:t>703.77</w:t>
      </w:r>
      <w:r>
        <w:rPr>
          <w:rFonts w:hint="eastAsia" w:ascii="仿宋" w:hAnsi="仿宋" w:eastAsia="仿宋" w:cs="仿宋"/>
          <w:sz w:val="32"/>
          <w:szCs w:val="32"/>
        </w:rPr>
        <w:t>万元，占预算</w:t>
      </w:r>
      <w:r>
        <w:rPr>
          <w:rFonts w:hint="eastAsia" w:ascii="仿宋" w:hAnsi="仿宋" w:eastAsia="仿宋" w:cs="仿宋"/>
          <w:sz w:val="32"/>
          <w:szCs w:val="32"/>
          <w:lang w:val="en-US" w:eastAsia="zh-CN"/>
        </w:rPr>
        <w:t>100</w:t>
      </w:r>
      <w:r>
        <w:rPr>
          <w:rFonts w:hint="eastAsia" w:ascii="仿宋" w:hAnsi="仿宋" w:eastAsia="仿宋" w:cs="仿宋"/>
          <w:sz w:val="32"/>
          <w:szCs w:val="32"/>
        </w:rPr>
        <w:t>%。一般公共预算公用经费攻击</w:t>
      </w:r>
      <w:r>
        <w:rPr>
          <w:rFonts w:hint="eastAsia" w:ascii="仿宋" w:hAnsi="仿宋" w:eastAsia="仿宋" w:cs="仿宋"/>
          <w:sz w:val="32"/>
          <w:szCs w:val="32"/>
          <w:lang w:val="en-US" w:eastAsia="zh-CN"/>
        </w:rPr>
        <w:t>148.71</w:t>
      </w:r>
      <w:r>
        <w:rPr>
          <w:rFonts w:hint="eastAsia" w:ascii="仿宋" w:hAnsi="仿宋" w:eastAsia="仿宋" w:cs="仿宋"/>
          <w:sz w:val="32"/>
          <w:szCs w:val="32"/>
        </w:rPr>
        <w:t>万元，截止2022年</w:t>
      </w:r>
      <w:r>
        <w:rPr>
          <w:rFonts w:hint="eastAsia" w:ascii="仿宋" w:hAnsi="仿宋" w:eastAsia="仿宋" w:cs="仿宋"/>
          <w:sz w:val="32"/>
          <w:szCs w:val="32"/>
          <w:lang w:val="en-US" w:eastAsia="zh-CN"/>
        </w:rPr>
        <w:t>12</w:t>
      </w:r>
      <w:r>
        <w:rPr>
          <w:rFonts w:hint="eastAsia" w:ascii="仿宋" w:hAnsi="仿宋" w:eastAsia="仿宋" w:cs="仿宋"/>
          <w:sz w:val="32"/>
          <w:szCs w:val="32"/>
        </w:rPr>
        <w:t>月已支出</w:t>
      </w:r>
      <w:r>
        <w:rPr>
          <w:rFonts w:hint="eastAsia" w:ascii="仿宋" w:hAnsi="仿宋" w:eastAsia="仿宋" w:cs="仿宋"/>
          <w:sz w:val="32"/>
          <w:szCs w:val="32"/>
          <w:lang w:val="en-US" w:eastAsia="zh-CN"/>
        </w:rPr>
        <w:t>148.71</w:t>
      </w:r>
      <w:r>
        <w:rPr>
          <w:rFonts w:hint="eastAsia" w:ascii="仿宋" w:hAnsi="仿宋" w:eastAsia="仿宋" w:cs="仿宋"/>
          <w:sz w:val="32"/>
          <w:szCs w:val="32"/>
        </w:rPr>
        <w:t>万元，占预算</w:t>
      </w:r>
      <w:r>
        <w:rPr>
          <w:rFonts w:hint="eastAsia" w:ascii="仿宋" w:hAnsi="仿宋" w:eastAsia="仿宋" w:cs="仿宋"/>
          <w:sz w:val="32"/>
          <w:szCs w:val="32"/>
          <w:lang w:val="en-US" w:eastAsia="zh-CN"/>
        </w:rPr>
        <w:t>100</w:t>
      </w:r>
      <w:r>
        <w:rPr>
          <w:rFonts w:hint="eastAsia" w:ascii="仿宋" w:hAnsi="仿宋" w:eastAsia="仿宋" w:cs="仿宋"/>
          <w:sz w:val="32"/>
          <w:szCs w:val="32"/>
        </w:rPr>
        <w:t>%。部门项目预算共计</w:t>
      </w:r>
      <w:r>
        <w:rPr>
          <w:rFonts w:hint="eastAsia" w:ascii="仿宋" w:hAnsi="仿宋" w:eastAsia="仿宋" w:cs="仿宋"/>
          <w:sz w:val="32"/>
          <w:szCs w:val="32"/>
          <w:lang w:val="en-US" w:eastAsia="zh-CN"/>
        </w:rPr>
        <w:t>346.76</w:t>
      </w:r>
      <w:r>
        <w:rPr>
          <w:rFonts w:hint="eastAsia" w:ascii="仿宋" w:hAnsi="仿宋" w:eastAsia="仿宋" w:cs="仿宋"/>
          <w:sz w:val="32"/>
          <w:szCs w:val="32"/>
        </w:rPr>
        <w:t>万元 ，截止2022年</w:t>
      </w:r>
      <w:r>
        <w:rPr>
          <w:rFonts w:hint="eastAsia" w:ascii="仿宋" w:hAnsi="仿宋" w:eastAsia="仿宋" w:cs="仿宋"/>
          <w:sz w:val="32"/>
          <w:szCs w:val="32"/>
          <w:lang w:val="en-US" w:eastAsia="zh-CN"/>
        </w:rPr>
        <w:t>12</w:t>
      </w:r>
      <w:r>
        <w:rPr>
          <w:rFonts w:hint="eastAsia" w:ascii="仿宋" w:hAnsi="仿宋" w:eastAsia="仿宋" w:cs="仿宋"/>
          <w:sz w:val="32"/>
          <w:szCs w:val="32"/>
        </w:rPr>
        <w:t>月已支出</w:t>
      </w:r>
      <w:r>
        <w:rPr>
          <w:rFonts w:hint="eastAsia" w:ascii="仿宋" w:hAnsi="仿宋" w:eastAsia="仿宋" w:cs="仿宋"/>
          <w:sz w:val="32"/>
          <w:szCs w:val="32"/>
          <w:lang w:val="en-US" w:eastAsia="zh-CN"/>
        </w:rPr>
        <w:t>346.76</w:t>
      </w:r>
      <w:r>
        <w:rPr>
          <w:rFonts w:hint="eastAsia" w:ascii="仿宋" w:hAnsi="仿宋" w:eastAsia="仿宋" w:cs="仿宋"/>
          <w:sz w:val="32"/>
          <w:szCs w:val="32"/>
        </w:rPr>
        <w:t>万元，占预算</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val="en-US" w:eastAsia="zh-CN"/>
        </w:rPr>
        <w:t>指标分值6分，自评得分5分。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eastAsia="仿宋_GB2312"/>
          <w:b w:val="0"/>
          <w:sz w:val="32"/>
          <w:szCs w:val="32"/>
          <w:lang w:val="zh-CN"/>
        </w:rPr>
      </w:pPr>
      <w:r>
        <w:rPr>
          <w:rFonts w:ascii="楷体_GB2312" w:eastAsia="楷体_GB2312" w:cs="楷体_GB2312"/>
          <w:color w:val="000000"/>
          <w:kern w:val="0"/>
          <w:szCs w:val="32"/>
          <w:shd w:val="clear" w:color="auto" w:fill="FFFFFF"/>
          <w:lang w:val="zh-CN"/>
        </w:rPr>
        <w:t>单位收入统筹</w:t>
      </w:r>
      <w:r>
        <w:rPr>
          <w:rFonts w:ascii="仿宋_GB2312" w:eastAsia="仿宋_GB2312"/>
          <w:sz w:val="32"/>
          <w:szCs w:val="32"/>
        </w:rPr>
        <w:t>：</w:t>
      </w:r>
      <w:r>
        <w:rPr>
          <w:rFonts w:hint="eastAsia" w:ascii="仿宋_GB2312" w:eastAsia="仿宋_GB2312"/>
          <w:b w:val="0"/>
          <w:sz w:val="32"/>
          <w:szCs w:val="32"/>
        </w:rPr>
        <w:t>我单位不涉及该项指标</w:t>
      </w:r>
      <w:r>
        <w:rPr>
          <w:rFonts w:ascii="仿宋_GB2312" w:eastAsia="仿宋_GB2312"/>
          <w:b w:val="0"/>
          <w:sz w:val="32"/>
          <w:szCs w:val="32"/>
        </w:rPr>
        <w:t>。</w:t>
      </w:r>
      <w:r>
        <w:rPr>
          <w:rFonts w:hint="eastAsia" w:ascii="仿宋_GB2312" w:eastAsia="仿宋_GB2312"/>
          <w:b w:val="0"/>
          <w:sz w:val="32"/>
          <w:szCs w:val="32"/>
          <w:lang w:val="zh-CN"/>
        </w:rPr>
        <w:t>指标分值</w:t>
      </w:r>
      <w:r>
        <w:rPr>
          <w:rFonts w:hint="eastAsia" w:ascii="仿宋_GB2312" w:eastAsia="仿宋_GB2312"/>
          <w:b w:val="0"/>
          <w:sz w:val="32"/>
          <w:szCs w:val="32"/>
          <w:lang w:val="en-US" w:eastAsia="zh-CN"/>
        </w:rPr>
        <w:t>4</w:t>
      </w:r>
      <w:r>
        <w:rPr>
          <w:rFonts w:hint="eastAsia" w:ascii="仿宋_GB2312" w:eastAsia="仿宋_GB2312"/>
          <w:b w:val="0"/>
          <w:sz w:val="32"/>
          <w:szCs w:val="32"/>
          <w:lang w:val="zh-CN"/>
        </w:rPr>
        <w:t>分，自评得分</w:t>
      </w:r>
      <w:r>
        <w:rPr>
          <w:rFonts w:hint="eastAsia" w:ascii="仿宋_GB2312" w:eastAsia="仿宋_GB2312"/>
          <w:b w:val="0"/>
          <w:sz w:val="32"/>
          <w:szCs w:val="32"/>
          <w:lang w:val="en-US" w:eastAsia="zh-CN"/>
        </w:rPr>
        <w:t>4</w:t>
      </w:r>
      <w:r>
        <w:rPr>
          <w:rFonts w:hint="eastAsia" w:ascii="仿宋_GB2312" w:eastAsia="仿宋_GB2312"/>
          <w:b w:val="0"/>
          <w:sz w:val="32"/>
          <w:szCs w:val="32"/>
          <w:lang w:val="zh-CN"/>
        </w:rPr>
        <w:t>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eastAsia="仿宋_GB2312"/>
          <w:b w:val="0"/>
          <w:sz w:val="32"/>
          <w:szCs w:val="32"/>
          <w:lang w:val="en-US" w:eastAsia="zh-CN"/>
        </w:rPr>
      </w:pPr>
      <w:r>
        <w:rPr>
          <w:rFonts w:hint="eastAsia" w:ascii="仿宋_GB2312" w:eastAsia="仿宋_GB2312" w:cs="Times New Roman"/>
          <w:b w:val="0"/>
          <w:kern w:val="2"/>
          <w:sz w:val="32"/>
          <w:szCs w:val="32"/>
          <w:lang w:val="en-US" w:eastAsia="zh-CN" w:bidi="ar-SA"/>
        </w:rPr>
        <w:t>预算年终结余:2023年无结转结余。</w:t>
      </w:r>
      <w:r>
        <w:rPr>
          <w:rFonts w:hint="eastAsia" w:ascii="仿宋_GB2312" w:eastAsia="仿宋_GB2312"/>
          <w:b w:val="0"/>
          <w:sz w:val="32"/>
          <w:szCs w:val="32"/>
          <w:lang w:val="zh-CN" w:eastAsia="zh-CN"/>
        </w:rPr>
        <w:t>指标分值2分，自评得分</w:t>
      </w:r>
      <w:r>
        <w:rPr>
          <w:rFonts w:hint="eastAsia" w:ascii="仿宋_GB2312" w:eastAsia="仿宋_GB2312"/>
          <w:b w:val="0"/>
          <w:sz w:val="32"/>
          <w:szCs w:val="32"/>
          <w:lang w:val="en-US" w:eastAsia="zh-CN"/>
        </w:rPr>
        <w:t>2</w:t>
      </w:r>
      <w:r>
        <w:rPr>
          <w:rFonts w:hint="eastAsia" w:ascii="仿宋_GB2312" w:eastAsia="仿宋_GB2312"/>
          <w:b w:val="0"/>
          <w:sz w:val="32"/>
          <w:szCs w:val="32"/>
          <w:lang w:val="zh-CN" w:eastAsia="zh-CN"/>
        </w:rPr>
        <w:t>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lang w:eastAsia="zh-CN"/>
        </w:rPr>
      </w:pPr>
      <w:r>
        <w:rPr>
          <w:rFonts w:ascii="仿宋_GB2312" w:eastAsia="仿宋_GB2312"/>
          <w:b w:val="0"/>
          <w:sz w:val="32"/>
          <w:szCs w:val="32"/>
          <w:lang w:val="en-US" w:eastAsia="zh-CN"/>
        </w:rPr>
        <w:t>严控一般性支出</w:t>
      </w:r>
      <w:r>
        <w:rPr>
          <w:rFonts w:hint="eastAsia" w:ascii="仿宋_GB2312" w:eastAsia="仿宋_GB2312"/>
          <w:b w:val="0"/>
          <w:sz w:val="32"/>
          <w:szCs w:val="32"/>
          <w:lang w:val="en-US" w:eastAsia="zh-CN"/>
        </w:rPr>
        <w:t>：我单位严控“三公”经费、会议、培训、差旅、办节办展、办公设备购置、信息网络及软件购置更新、课题经费等一般性支出。</w:t>
      </w:r>
      <w:r>
        <w:rPr>
          <w:rFonts w:hint="eastAsia" w:ascii="仿宋_GB2312" w:eastAsia="仿宋_GB2312"/>
          <w:b w:val="0"/>
          <w:sz w:val="32"/>
          <w:szCs w:val="32"/>
          <w:lang w:val="zh-CN" w:eastAsia="zh-CN"/>
        </w:rPr>
        <w:t>指标分值</w:t>
      </w:r>
      <w:r>
        <w:rPr>
          <w:rFonts w:hint="eastAsia" w:ascii="仿宋_GB2312" w:eastAsia="仿宋_GB2312"/>
          <w:b w:val="0"/>
          <w:sz w:val="32"/>
          <w:szCs w:val="32"/>
          <w:lang w:val="en-US" w:eastAsia="zh-CN"/>
        </w:rPr>
        <w:t>5</w:t>
      </w:r>
      <w:r>
        <w:rPr>
          <w:rFonts w:hint="eastAsia" w:ascii="仿宋_GB2312" w:eastAsia="仿宋_GB2312"/>
          <w:b w:val="0"/>
          <w:sz w:val="32"/>
          <w:szCs w:val="32"/>
          <w:lang w:val="zh-CN" w:eastAsia="zh-CN"/>
        </w:rPr>
        <w:t>分，自评得分</w:t>
      </w:r>
      <w:r>
        <w:rPr>
          <w:rFonts w:hint="eastAsia" w:ascii="仿宋_GB2312" w:eastAsia="仿宋_GB2312"/>
          <w:b w:val="0"/>
          <w:sz w:val="32"/>
          <w:szCs w:val="32"/>
          <w:lang w:val="en-US" w:eastAsia="zh-CN"/>
        </w:rPr>
        <w:t>5</w:t>
      </w:r>
      <w:r>
        <w:rPr>
          <w:rFonts w:hint="eastAsia" w:ascii="仿宋_GB2312" w:eastAsia="仿宋_GB2312"/>
          <w:b w:val="0"/>
          <w:sz w:val="32"/>
          <w:szCs w:val="32"/>
          <w:lang w:val="zh-CN" w:eastAsia="zh-CN"/>
        </w:rPr>
        <w:t>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楷体_GB2312" w:eastAsia="楷体_GB2312" w:cs="楷体_GB2312"/>
          <w:color w:val="000000"/>
          <w:kern w:val="0"/>
          <w:szCs w:val="32"/>
          <w:highlight w:val="none"/>
          <w:shd w:val="clear" w:color="auto" w:fill="FFFFFF"/>
          <w:lang w:val="zh-CN"/>
        </w:rPr>
      </w:pPr>
      <w:r>
        <w:rPr>
          <w:rFonts w:hint="eastAsia" w:ascii="楷体_GB2312" w:eastAsia="楷体_GB2312" w:cs="楷体_GB2312"/>
          <w:color w:val="000000"/>
          <w:kern w:val="0"/>
          <w:szCs w:val="32"/>
          <w:highlight w:val="none"/>
          <w:shd w:val="clear" w:color="auto" w:fill="FFFFFF"/>
          <w:lang w:val="en-US" w:eastAsia="zh-CN"/>
        </w:rPr>
        <w:t>3.</w:t>
      </w:r>
      <w:r>
        <w:rPr>
          <w:rFonts w:ascii="楷体_GB2312" w:eastAsia="楷体_GB2312" w:cs="楷体_GB2312"/>
          <w:color w:val="000000"/>
          <w:kern w:val="0"/>
          <w:szCs w:val="32"/>
          <w:highlight w:val="none"/>
          <w:shd w:val="clear" w:color="auto" w:fill="FFFFFF"/>
          <w:lang w:val="zh-CN"/>
        </w:rPr>
        <w:t>财务管理</w:t>
      </w:r>
      <w:r>
        <w:rPr>
          <w:rFonts w:hint="eastAsia" w:ascii="楷体_GB2312" w:eastAsia="楷体_GB2312" w:cs="楷体_GB2312"/>
          <w:color w:val="000000"/>
          <w:kern w:val="0"/>
          <w:szCs w:val="32"/>
          <w:highlight w:val="none"/>
          <w:shd w:val="clear" w:color="auto" w:fill="FFFFFF"/>
          <w:lang w:val="zh-CN"/>
        </w:rPr>
        <w:t>。</w:t>
      </w:r>
      <w:r>
        <w:rPr>
          <w:rFonts w:ascii="楷体_GB2312" w:eastAsia="楷体_GB2312" w:cs="楷体_GB2312"/>
          <w:color w:val="000000"/>
          <w:kern w:val="0"/>
          <w:szCs w:val="32"/>
          <w:highlight w:val="none"/>
          <w:shd w:val="clear" w:color="auto" w:fill="FFFFFF"/>
          <w:lang w:val="zh-CN"/>
        </w:rPr>
        <w:t>指标分值</w:t>
      </w:r>
      <w:r>
        <w:rPr>
          <w:rFonts w:hint="eastAsia" w:ascii="楷体_GB2312" w:eastAsia="楷体_GB2312" w:cs="楷体_GB2312"/>
          <w:color w:val="000000"/>
          <w:kern w:val="0"/>
          <w:szCs w:val="32"/>
          <w:highlight w:val="none"/>
          <w:shd w:val="clear" w:color="auto" w:fill="FFFFFF"/>
          <w:lang w:val="en-US" w:eastAsia="zh-CN"/>
        </w:rPr>
        <w:t>10</w:t>
      </w:r>
      <w:r>
        <w:rPr>
          <w:rFonts w:ascii="楷体_GB2312" w:eastAsia="楷体_GB2312" w:cs="楷体_GB2312"/>
          <w:color w:val="000000"/>
          <w:kern w:val="0"/>
          <w:szCs w:val="32"/>
          <w:highlight w:val="none"/>
          <w:shd w:val="clear" w:color="auto" w:fill="FFFFFF"/>
          <w:lang w:val="zh-CN"/>
        </w:rPr>
        <w:t>分，自评得分</w:t>
      </w:r>
      <w:r>
        <w:rPr>
          <w:rFonts w:hint="eastAsia" w:ascii="楷体_GB2312" w:eastAsia="楷体_GB2312" w:cs="楷体_GB2312"/>
          <w:color w:val="000000"/>
          <w:kern w:val="0"/>
          <w:szCs w:val="32"/>
          <w:highlight w:val="none"/>
          <w:shd w:val="clear" w:color="auto" w:fill="FFFFFF"/>
          <w:lang w:val="en-US" w:eastAsia="zh-CN"/>
        </w:rPr>
        <w:t>10</w:t>
      </w:r>
      <w:r>
        <w:rPr>
          <w:rFonts w:ascii="楷体_GB2312" w:eastAsia="楷体_GB2312" w:cs="楷体_GB2312"/>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Times New Roman" w:hAnsi="Times New Roman" w:cs="Times New Roman"/>
          <w:color w:val="000000"/>
          <w:kern w:val="0"/>
          <w:szCs w:val="32"/>
          <w:highlight w:val="none"/>
          <w:shd w:val="clear" w:color="auto" w:fill="FFFFFF"/>
          <w:lang w:val="zh-CN"/>
        </w:rPr>
      </w:pPr>
      <w:r>
        <w:rPr>
          <w:rFonts w:hint="eastAsia" w:ascii="Times New Roman" w:hAnsi="Times New Roman" w:cs="Times New Roman"/>
          <w:color w:val="000000"/>
          <w:kern w:val="0"/>
          <w:szCs w:val="32"/>
          <w:highlight w:val="none"/>
          <w:shd w:val="clear" w:color="auto" w:fill="FFFFFF"/>
          <w:lang w:val="zh-CN"/>
        </w:rPr>
        <w:t>财务管理制度</w:t>
      </w:r>
      <w:r>
        <w:rPr>
          <w:rFonts w:hint="eastAsia" w:cs="Times New Roman"/>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zh-CN"/>
        </w:rPr>
        <w:t>强化制度建设。不断强化</w:t>
      </w:r>
      <w:r>
        <w:rPr>
          <w:rFonts w:hint="eastAsia" w:cs="Times New Roman"/>
          <w:color w:val="000000"/>
          <w:kern w:val="0"/>
          <w:szCs w:val="32"/>
          <w:highlight w:val="none"/>
          <w:shd w:val="clear" w:color="auto" w:fill="FFFFFF"/>
          <w:lang w:val="zh-CN"/>
        </w:rPr>
        <w:t>财务</w:t>
      </w:r>
      <w:r>
        <w:rPr>
          <w:rFonts w:hint="eastAsia" w:ascii="Times New Roman" w:hAnsi="Times New Roman" w:cs="Times New Roman"/>
          <w:color w:val="000000"/>
          <w:kern w:val="0"/>
          <w:szCs w:val="32"/>
          <w:highlight w:val="none"/>
          <w:shd w:val="clear" w:color="auto" w:fill="FFFFFF"/>
          <w:lang w:val="zh-CN"/>
        </w:rPr>
        <w:t>管理制度建设，依据相关法律、法规及管理办法，</w:t>
      </w:r>
      <w:r>
        <w:rPr>
          <w:rFonts w:hint="eastAsia" w:cs="Times New Roman"/>
          <w:color w:val="000000"/>
          <w:kern w:val="0"/>
          <w:szCs w:val="32"/>
          <w:highlight w:val="none"/>
          <w:shd w:val="clear" w:color="auto" w:fill="FFFFFF"/>
          <w:lang w:val="zh-CN"/>
        </w:rPr>
        <w:t>制定符合我乡财务制度</w:t>
      </w:r>
      <w:r>
        <w:rPr>
          <w:rFonts w:hint="eastAsia" w:ascii="Times New Roman" w:hAnsi="Times New Roman" w:cs="Times New Roman"/>
          <w:color w:val="000000"/>
          <w:kern w:val="0"/>
          <w:szCs w:val="32"/>
          <w:highlight w:val="none"/>
          <w:shd w:val="clear" w:color="auto" w:fill="FFFFFF"/>
          <w:lang w:val="zh-CN"/>
        </w:rPr>
        <w:t>，着重从预算绩效管理主要内容和环节，规范操作程序和质量控制要求，构建起工作有指导、实施有方案、内部有规程等相互支撑制度体系。</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4</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4</w:t>
      </w:r>
      <w:r>
        <w:rPr>
          <w:rFonts w:hint="eastAsia" w:ascii="仿宋_GB2312" w:eastAsia="仿宋_GB2312"/>
          <w:b w:val="0"/>
          <w:sz w:val="32"/>
          <w:szCs w:val="32"/>
          <w:lang w:val="zh-CN" w:eastAsia="zh-CN"/>
        </w:rPr>
        <w:t>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仿宋_GB2312" w:eastAsia="仿宋_GB2312"/>
          <w:b w:val="0"/>
          <w:sz w:val="32"/>
          <w:szCs w:val="32"/>
          <w:lang w:val="zh-CN" w:eastAsia="zh-CN"/>
        </w:rPr>
      </w:pPr>
      <w:r>
        <w:rPr>
          <w:rFonts w:hint="eastAsia" w:cs="Times New Roman"/>
          <w:color w:val="000000"/>
          <w:kern w:val="0"/>
          <w:szCs w:val="32"/>
          <w:highlight w:val="none"/>
          <w:shd w:val="clear" w:color="auto" w:fill="FFFFFF"/>
          <w:lang w:val="zh-CN"/>
        </w:rPr>
        <w:t>财务岗位设置：我乡按照财务制度规定</w:t>
      </w:r>
      <w:r>
        <w:rPr>
          <w:rFonts w:hint="eastAsia" w:cs="Times New Roman"/>
          <w:color w:val="000000"/>
          <w:kern w:val="0"/>
          <w:szCs w:val="32"/>
          <w:highlight w:val="none"/>
          <w:shd w:val="clear" w:color="auto" w:fill="FFFFFF"/>
          <w:lang w:val="en-US" w:eastAsia="zh-CN"/>
        </w:rPr>
        <w:t>,设立会计、出纳岗位，相互监督。</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2</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2</w:t>
      </w:r>
      <w:r>
        <w:rPr>
          <w:rFonts w:hint="eastAsia" w:ascii="仿宋_GB2312" w:eastAsia="仿宋_GB2312"/>
          <w:b w:val="0"/>
          <w:sz w:val="32"/>
          <w:szCs w:val="32"/>
          <w:lang w:val="zh-CN" w:eastAsia="zh-CN"/>
        </w:rPr>
        <w:t>分。</w:t>
      </w:r>
    </w:p>
    <w:p>
      <w:pPr>
        <w:spacing w:line="360" w:lineRule="auto"/>
        <w:ind w:firstLine="640" w:firstLineChars="200"/>
        <w:rPr>
          <w:rFonts w:hint="eastAsia"/>
          <w:lang w:val="en-US" w:eastAsia="zh-CN"/>
        </w:rPr>
      </w:pPr>
      <w:r>
        <w:rPr>
          <w:rFonts w:hint="eastAsia" w:ascii="仿宋_GB2312" w:eastAsia="仿宋_GB2312" w:cs="仿宋_GB2312"/>
          <w:sz w:val="32"/>
          <w:szCs w:val="32"/>
        </w:rPr>
        <w:t>资金使用规范</w:t>
      </w:r>
      <w:r>
        <w:rPr>
          <w:rFonts w:hint="eastAsia" w:ascii="仿宋_GB2312" w:cs="仿宋_GB2312"/>
          <w:sz w:val="32"/>
          <w:szCs w:val="32"/>
          <w:lang w:eastAsia="zh-CN"/>
        </w:rPr>
        <w:t>：</w:t>
      </w:r>
      <w:r>
        <w:rPr>
          <w:rFonts w:hint="eastAsia" w:ascii="仿宋_GB2312" w:eastAsia="仿宋_GB2312" w:cs="仿宋_GB2312"/>
          <w:sz w:val="32"/>
          <w:szCs w:val="32"/>
        </w:rPr>
        <w:t>本年度收到预算资金</w:t>
      </w:r>
      <w:r>
        <w:rPr>
          <w:rFonts w:hint="eastAsia" w:ascii="仿宋_GB2312"/>
          <w:b w:val="0"/>
          <w:sz w:val="32"/>
          <w:szCs w:val="32"/>
          <w:lang w:val="en-US" w:eastAsia="zh-CN"/>
        </w:rPr>
        <w:t>1199.24</w:t>
      </w:r>
      <w:r>
        <w:rPr>
          <w:rFonts w:hint="eastAsia" w:ascii="仿宋_GB2312" w:eastAsia="仿宋_GB2312" w:cs="仿宋_GB2312"/>
          <w:sz w:val="32"/>
          <w:szCs w:val="32"/>
        </w:rPr>
        <w:t>万元，实际使用</w:t>
      </w:r>
      <w:r>
        <w:rPr>
          <w:rFonts w:hint="eastAsia" w:ascii="仿宋_GB2312"/>
          <w:b w:val="0"/>
          <w:sz w:val="32"/>
          <w:szCs w:val="32"/>
          <w:lang w:val="en-US" w:eastAsia="zh-CN"/>
        </w:rPr>
        <w:t>1199.24</w:t>
      </w:r>
      <w:r>
        <w:rPr>
          <w:rFonts w:hint="eastAsia" w:ascii="仿宋_GB2312" w:eastAsia="仿宋_GB2312" w:cs="仿宋_GB2312"/>
          <w:sz w:val="32"/>
          <w:szCs w:val="32"/>
        </w:rPr>
        <w:t>万元。资金使用过程中严格按照单位财务管理制度要求执行，提高资金使用的合规性。</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4</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4</w:t>
      </w:r>
      <w:r>
        <w:rPr>
          <w:rFonts w:hint="eastAsia" w:ascii="仿宋_GB2312" w:eastAsia="仿宋_GB2312"/>
          <w:b w:val="0"/>
          <w:sz w:val="32"/>
          <w:szCs w:val="32"/>
          <w:lang w:val="zh-CN" w:eastAsia="zh-CN"/>
        </w:rPr>
        <w:t>分。</w:t>
      </w:r>
    </w:p>
    <w:p>
      <w:pPr>
        <w:snapToGrid w:val="0"/>
        <w:spacing w:line="360" w:lineRule="auto"/>
        <w:ind w:left="0" w:firstLine="640" w:firstLineChars="200"/>
        <w:rPr>
          <w:rFonts w:ascii="楷体_GB2312" w:eastAsia="楷体_GB2312" w:cs="楷体_GB2312"/>
          <w:color w:val="000000"/>
          <w:kern w:val="0"/>
          <w:szCs w:val="32"/>
          <w:highlight w:val="none"/>
          <w:shd w:val="clear" w:color="auto" w:fill="FFFFFF"/>
          <w:lang w:val="zh-CN"/>
        </w:rPr>
      </w:pPr>
      <w:r>
        <w:rPr>
          <w:rFonts w:hint="eastAsia" w:ascii="楷体_GB2312" w:eastAsia="楷体_GB2312" w:cs="楷体_GB2312"/>
          <w:color w:val="000000"/>
          <w:kern w:val="0"/>
          <w:szCs w:val="32"/>
          <w:highlight w:val="none"/>
          <w:shd w:val="clear" w:color="auto" w:fill="FFFFFF"/>
          <w:lang w:val="en-US" w:eastAsia="zh-CN"/>
        </w:rPr>
        <w:t>4.</w:t>
      </w:r>
      <w:r>
        <w:rPr>
          <w:rFonts w:ascii="楷体_GB2312" w:eastAsia="楷体_GB2312" w:cs="楷体_GB2312"/>
          <w:color w:val="000000"/>
          <w:kern w:val="0"/>
          <w:szCs w:val="32"/>
          <w:highlight w:val="none"/>
          <w:shd w:val="clear" w:color="auto" w:fill="FFFFFF"/>
          <w:lang w:val="zh-CN"/>
        </w:rPr>
        <w:t>资产管理</w:t>
      </w:r>
      <w:r>
        <w:rPr>
          <w:rFonts w:hint="eastAsia" w:ascii="楷体_GB2312" w:eastAsia="楷体_GB2312" w:cs="楷体_GB2312"/>
          <w:color w:val="000000"/>
          <w:kern w:val="0"/>
          <w:szCs w:val="32"/>
          <w:highlight w:val="none"/>
          <w:shd w:val="clear" w:color="auto" w:fill="FFFFFF"/>
          <w:lang w:val="zh-CN"/>
        </w:rPr>
        <w:t>。</w:t>
      </w:r>
      <w:r>
        <w:rPr>
          <w:rFonts w:ascii="楷体_GB2312" w:eastAsia="楷体_GB2312" w:cs="楷体_GB2312"/>
          <w:color w:val="000000"/>
          <w:kern w:val="0"/>
          <w:szCs w:val="32"/>
          <w:highlight w:val="none"/>
          <w:shd w:val="clear" w:color="auto" w:fill="FFFFFF"/>
          <w:lang w:val="zh-CN"/>
        </w:rPr>
        <w:t>指标分值</w:t>
      </w:r>
      <w:r>
        <w:rPr>
          <w:rFonts w:hint="eastAsia" w:ascii="楷体_GB2312" w:eastAsia="楷体_GB2312" w:cs="楷体_GB2312"/>
          <w:color w:val="000000"/>
          <w:kern w:val="0"/>
          <w:szCs w:val="32"/>
          <w:highlight w:val="none"/>
          <w:shd w:val="clear" w:color="auto" w:fill="FFFFFF"/>
          <w:lang w:val="en-US" w:eastAsia="zh-CN"/>
        </w:rPr>
        <w:t>9</w:t>
      </w:r>
      <w:r>
        <w:rPr>
          <w:rFonts w:ascii="楷体_GB2312" w:eastAsia="楷体_GB2312" w:cs="楷体_GB2312"/>
          <w:color w:val="000000"/>
          <w:kern w:val="0"/>
          <w:szCs w:val="32"/>
          <w:highlight w:val="none"/>
          <w:shd w:val="clear" w:color="auto" w:fill="FFFFFF"/>
          <w:lang w:val="zh-CN"/>
        </w:rPr>
        <w:t>分，自评得分</w:t>
      </w:r>
      <w:r>
        <w:rPr>
          <w:rFonts w:hint="eastAsia" w:ascii="楷体_GB2312" w:eastAsia="楷体_GB2312" w:cs="楷体_GB2312"/>
          <w:color w:val="000000"/>
          <w:kern w:val="0"/>
          <w:szCs w:val="32"/>
          <w:highlight w:val="none"/>
          <w:shd w:val="clear" w:color="auto" w:fill="FFFFFF"/>
          <w:lang w:val="en-US" w:eastAsia="zh-CN"/>
        </w:rPr>
        <w:t>9</w:t>
      </w:r>
      <w:r>
        <w:rPr>
          <w:rFonts w:ascii="楷体_GB2312" w:eastAsia="楷体_GB2312" w:cs="楷体_GB2312"/>
          <w:color w:val="000000"/>
          <w:kern w:val="0"/>
          <w:szCs w:val="32"/>
          <w:highlight w:val="none"/>
          <w:shd w:val="clear" w:color="auto" w:fill="FFFFFF"/>
          <w:lang w:val="zh-CN"/>
        </w:rPr>
        <w:t>分。</w:t>
      </w:r>
    </w:p>
    <w:p>
      <w:pPr>
        <w:spacing w:line="360" w:lineRule="auto"/>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固定资产在用率</w:t>
      </w:r>
      <w:r>
        <w:rPr>
          <w:rFonts w:hint="eastAsia" w:ascii="仿宋_GB2312" w:cs="仿宋_GB2312"/>
          <w:sz w:val="32"/>
          <w:szCs w:val="32"/>
          <w:lang w:eastAsia="zh-CN"/>
        </w:rPr>
        <w:t>：</w:t>
      </w:r>
      <w:r>
        <w:rPr>
          <w:rFonts w:hint="eastAsia" w:ascii="仿宋" w:hAnsi="仿宋" w:eastAsia="仿宋" w:cs="仿宋"/>
          <w:color w:val="000000"/>
          <w:kern w:val="0"/>
          <w:szCs w:val="32"/>
          <w:highlight w:val="none"/>
          <w:shd w:val="clear" w:color="auto" w:fill="FFFFFF"/>
          <w:lang w:val="en-US" w:eastAsia="zh-CN"/>
        </w:rPr>
        <w:t>按照晴朗乡内部控制制度要求，资产配置严格政府采购，并及时进行财务入账。报废资产按照县财政要求及时下账处理。截止2023年12月，晴朗乡固定资产期末原值348.91万元，累计折旧136.69万元，期末净值212.22万元。</w:t>
      </w:r>
      <w:r>
        <w:rPr>
          <w:rFonts w:hint="eastAsia" w:ascii="仿宋_GB2312" w:eastAsia="仿宋_GB2312" w:cs="仿宋_GB2312"/>
          <w:sz w:val="32"/>
          <w:szCs w:val="32"/>
        </w:rPr>
        <w:t>，固定资产在用率达</w:t>
      </w:r>
      <w:r>
        <w:rPr>
          <w:rFonts w:ascii="仿宋_GB2312" w:eastAsia="仿宋_GB2312" w:cs="仿宋_GB2312"/>
          <w:sz w:val="32"/>
          <w:szCs w:val="32"/>
        </w:rPr>
        <w:t>100%</w:t>
      </w:r>
      <w:r>
        <w:rPr>
          <w:rFonts w:hint="eastAsia" w:ascii="仿宋_GB2312" w:eastAsia="仿宋_GB2312" w:cs="仿宋_GB2312"/>
          <w:sz w:val="32"/>
          <w:szCs w:val="32"/>
        </w:rPr>
        <w:t>。</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3</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3</w:t>
      </w:r>
      <w:r>
        <w:rPr>
          <w:rFonts w:hint="eastAsia" w:ascii="仿宋_GB2312" w:eastAsia="仿宋_GB2312"/>
          <w:b w:val="0"/>
          <w:sz w:val="32"/>
          <w:szCs w:val="32"/>
          <w:lang w:val="zh-CN"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color w:val="000000"/>
          <w:kern w:val="0"/>
          <w:szCs w:val="32"/>
          <w:highlight w:val="none"/>
          <w:shd w:val="clear" w:color="auto" w:fill="FFFFFF"/>
          <w:lang w:val="en-US" w:eastAsia="zh-CN"/>
        </w:rPr>
      </w:pPr>
      <w:r>
        <w:rPr>
          <w:rFonts w:hint="eastAsia" w:ascii="仿宋_GB2312" w:cs="仿宋_GB2312"/>
          <w:sz w:val="32"/>
          <w:szCs w:val="32"/>
          <w:lang w:eastAsia="zh-CN"/>
        </w:rPr>
        <w:t>资产盘活率。资产闲置</w:t>
      </w:r>
      <w:r>
        <w:rPr>
          <w:rFonts w:hint="eastAsia" w:ascii="仿宋_GB2312" w:cs="仿宋_GB2312"/>
          <w:sz w:val="32"/>
          <w:szCs w:val="32"/>
          <w:lang w:val="en-US" w:eastAsia="zh-CN"/>
        </w:rPr>
        <w:t>0万元，</w:t>
      </w:r>
      <w:r>
        <w:rPr>
          <w:rFonts w:hint="eastAsia" w:ascii="仿宋_GB2312" w:cs="仿宋_GB2312"/>
          <w:sz w:val="32"/>
          <w:szCs w:val="32"/>
          <w:lang w:eastAsia="zh-CN"/>
        </w:rPr>
        <w:t>资产盘活率达</w:t>
      </w:r>
      <w:r>
        <w:rPr>
          <w:rFonts w:hint="eastAsia" w:ascii="仿宋_GB2312" w:cs="仿宋_GB2312"/>
          <w:sz w:val="32"/>
          <w:szCs w:val="32"/>
          <w:lang w:val="en-US" w:eastAsia="zh-CN"/>
        </w:rPr>
        <w:t>100%。</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3</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3</w:t>
      </w:r>
      <w:r>
        <w:rPr>
          <w:rFonts w:hint="eastAsia" w:ascii="仿宋_GB2312" w:eastAsia="仿宋_GB2312"/>
          <w:b w:val="0"/>
          <w:sz w:val="32"/>
          <w:szCs w:val="32"/>
          <w:lang w:val="zh-CN" w:eastAsia="zh-CN"/>
        </w:rPr>
        <w:t>分。</w:t>
      </w:r>
    </w:p>
    <w:p>
      <w:pPr>
        <w:keepNext w:val="0"/>
        <w:keepLines w:val="0"/>
        <w:pageBreakBefore w:val="0"/>
        <w:widowControl w:val="0"/>
        <w:kinsoku/>
        <w:wordWrap/>
        <w:overflowPunct/>
        <w:topLinePunct w:val="0"/>
        <w:autoSpaceDE/>
        <w:autoSpaceDN/>
        <w:adjustRightInd w:val="0"/>
        <w:snapToGrid w:val="0"/>
        <w:spacing w:line="578" w:lineRule="exact"/>
        <w:ind w:left="0" w:firstLine="640" w:firstLineChars="200"/>
        <w:contextualSpacing/>
        <w:jc w:val="left"/>
        <w:rPr>
          <w:rFonts w:hint="eastAsia" w:ascii="楷体_GB2312" w:eastAsia="楷体_GB2312" w:cs="楷体_GB2312"/>
          <w:color w:val="000000"/>
          <w:kern w:val="0"/>
          <w:szCs w:val="32"/>
          <w:highlight w:val="none"/>
          <w:shd w:val="clear" w:color="auto" w:fill="FFFFFF"/>
          <w:lang w:val="zh-CN"/>
        </w:rPr>
      </w:pPr>
      <w:r>
        <w:rPr>
          <w:rFonts w:hint="eastAsia" w:ascii="楷体_GB2312" w:eastAsia="楷体_GB2312" w:cs="楷体_GB2312"/>
          <w:color w:val="000000"/>
          <w:kern w:val="0"/>
          <w:szCs w:val="32"/>
          <w:highlight w:val="none"/>
          <w:shd w:val="clear" w:color="auto" w:fill="FFFFFF"/>
          <w:lang w:val="en-US" w:eastAsia="zh-CN"/>
        </w:rPr>
        <w:t>5.</w:t>
      </w:r>
      <w:r>
        <w:rPr>
          <w:rFonts w:ascii="楷体_GB2312" w:eastAsia="楷体_GB2312" w:cs="楷体_GB2312"/>
          <w:color w:val="000000"/>
          <w:kern w:val="0"/>
          <w:szCs w:val="32"/>
          <w:highlight w:val="none"/>
          <w:shd w:val="clear" w:color="auto" w:fill="FFFFFF"/>
          <w:lang w:val="zh-CN"/>
        </w:rPr>
        <w:t>采购管理</w:t>
      </w:r>
      <w:r>
        <w:rPr>
          <w:rFonts w:hint="eastAsia" w:ascii="楷体_GB2312" w:eastAsia="楷体_GB2312" w:cs="楷体_GB2312"/>
          <w:color w:val="000000"/>
          <w:kern w:val="0"/>
          <w:szCs w:val="32"/>
          <w:highlight w:val="none"/>
          <w:shd w:val="clear" w:color="auto" w:fill="FFFFFF"/>
          <w:lang w:val="zh-CN"/>
        </w:rPr>
        <w:t>。</w:t>
      </w:r>
      <w:r>
        <w:rPr>
          <w:rFonts w:ascii="楷体_GB2312" w:eastAsia="楷体_GB2312" w:cs="楷体_GB2312"/>
          <w:color w:val="000000"/>
          <w:kern w:val="0"/>
          <w:szCs w:val="32"/>
          <w:highlight w:val="none"/>
          <w:shd w:val="clear" w:color="auto" w:fill="FFFFFF"/>
          <w:lang w:val="zh-CN"/>
        </w:rPr>
        <w:t>指标分值</w:t>
      </w:r>
      <w:r>
        <w:rPr>
          <w:rFonts w:hint="eastAsia" w:ascii="楷体_GB2312" w:eastAsia="楷体_GB2312" w:cs="楷体_GB2312"/>
          <w:color w:val="000000"/>
          <w:kern w:val="0"/>
          <w:szCs w:val="32"/>
          <w:highlight w:val="none"/>
          <w:shd w:val="clear" w:color="auto" w:fill="FFFFFF"/>
          <w:lang w:val="en-US" w:eastAsia="zh-CN"/>
        </w:rPr>
        <w:t>6</w:t>
      </w:r>
      <w:r>
        <w:rPr>
          <w:rFonts w:ascii="楷体_GB2312" w:eastAsia="楷体_GB2312" w:cs="楷体_GB2312"/>
          <w:color w:val="000000"/>
          <w:kern w:val="0"/>
          <w:szCs w:val="32"/>
          <w:highlight w:val="none"/>
          <w:shd w:val="clear" w:color="auto" w:fill="FFFFFF"/>
          <w:lang w:val="zh-CN"/>
        </w:rPr>
        <w:t>分，自评得分</w:t>
      </w:r>
      <w:r>
        <w:rPr>
          <w:rFonts w:hint="eastAsia" w:ascii="楷体_GB2312" w:eastAsia="楷体_GB2312" w:cs="楷体_GB2312"/>
          <w:color w:val="000000"/>
          <w:kern w:val="0"/>
          <w:szCs w:val="32"/>
          <w:highlight w:val="none"/>
          <w:shd w:val="clear" w:color="auto" w:fill="FFFFFF"/>
          <w:lang w:val="en-US" w:eastAsia="zh-CN"/>
        </w:rPr>
        <w:t>6</w:t>
      </w:r>
      <w:r>
        <w:rPr>
          <w:rFonts w:ascii="楷体_GB2312" w:eastAsia="楷体_GB2312" w:cs="楷体_GB2312"/>
          <w:color w:val="000000"/>
          <w:kern w:val="0"/>
          <w:szCs w:val="32"/>
          <w:highlight w:val="none"/>
          <w:shd w:val="clear" w:color="auto" w:fill="FFFFFF"/>
          <w:lang w:val="zh-CN"/>
        </w:rPr>
        <w:t>分。</w:t>
      </w:r>
    </w:p>
    <w:p>
      <w:pPr>
        <w:spacing w:line="360" w:lineRule="auto"/>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采购执行率</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采购</w:t>
      </w:r>
      <w:r>
        <w:rPr>
          <w:rFonts w:hint="eastAsia" w:ascii="仿宋_GB2312" w:hAnsi="Times New Roman" w:eastAsia="仿宋_GB2312" w:cs="仿宋_GB2312"/>
          <w:sz w:val="32"/>
          <w:szCs w:val="32"/>
          <w:lang w:eastAsia="zh-CN"/>
        </w:rPr>
        <w:t>执行</w:t>
      </w:r>
      <w:r>
        <w:rPr>
          <w:rFonts w:hint="eastAsia" w:ascii="仿宋_GB2312" w:hAnsi="Times New Roman" w:eastAsia="仿宋_GB2312" w:cs="仿宋_GB2312"/>
          <w:sz w:val="32"/>
          <w:szCs w:val="32"/>
        </w:rPr>
        <w:t>规范性</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lang w:val="en-US" w:eastAsia="zh-CN"/>
        </w:rPr>
        <w:t>2023年</w:t>
      </w:r>
      <w:r>
        <w:rPr>
          <w:rFonts w:hint="eastAsia" w:ascii="仿宋_GB2312" w:hAnsi="Times New Roman" w:eastAsia="仿宋_GB2312" w:cs="仿宋_GB2312"/>
          <w:sz w:val="32"/>
          <w:szCs w:val="32"/>
        </w:rPr>
        <w:t>年度政府采购货物</w:t>
      </w:r>
      <w:r>
        <w:rPr>
          <w:rFonts w:hint="eastAsia" w:ascii="仿宋_GB2312" w:hAnsi="Times New Roman" w:eastAsia="仿宋_GB2312" w:cs="仿宋_GB2312"/>
          <w:sz w:val="32"/>
          <w:szCs w:val="32"/>
          <w:lang w:eastAsia="zh-CN"/>
        </w:rPr>
        <w:t>计划</w:t>
      </w:r>
      <w:r>
        <w:rPr>
          <w:rFonts w:hint="eastAsia" w:ascii="仿宋_GB2312" w:hAnsi="Times New Roman" w:eastAsia="仿宋_GB2312" w:cs="仿宋_GB2312"/>
          <w:sz w:val="32"/>
          <w:szCs w:val="32"/>
          <w:lang w:val="en-US" w:eastAsia="zh-CN"/>
        </w:rPr>
        <w:t>0万元，</w:t>
      </w:r>
      <w:r>
        <w:rPr>
          <w:rFonts w:hint="eastAsia" w:ascii="仿宋_GB2312" w:hAnsi="Times New Roman" w:eastAsia="仿宋_GB2312" w:cs="仿宋_GB2312"/>
          <w:sz w:val="32"/>
          <w:szCs w:val="32"/>
        </w:rPr>
        <w:t>支出</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万元，政府采购工程支出</w:t>
      </w:r>
      <w:r>
        <w:rPr>
          <w:rFonts w:hint="eastAsia" w:ascii="仿宋_GB2312" w:hAnsi="Times New Roman" w:eastAsia="仿宋_GB2312" w:cs="仿宋_GB2312"/>
          <w:sz w:val="32"/>
          <w:szCs w:val="32"/>
          <w:lang w:val="en-US" w:eastAsia="zh-CN"/>
        </w:rPr>
        <w:t>0万元</w:t>
      </w:r>
      <w:r>
        <w:rPr>
          <w:rFonts w:hint="eastAsia" w:ascii="仿宋_GB2312" w:hAnsi="Times New Roman" w:eastAsia="仿宋_GB2312" w:cs="仿宋_GB2312"/>
          <w:sz w:val="32"/>
          <w:szCs w:val="32"/>
        </w:rPr>
        <w:t>，政府采购服务支出0万元。</w:t>
      </w:r>
      <w:r>
        <w:rPr>
          <w:rFonts w:hint="eastAsia" w:ascii="仿宋_GB2312" w:hAnsi="Times New Roman" w:eastAsia="仿宋_GB2312" w:cs="仿宋_GB2312"/>
          <w:sz w:val="32"/>
          <w:szCs w:val="32"/>
          <w:lang w:val="zh-CN" w:eastAsia="zh-CN"/>
        </w:rPr>
        <w:t>指标分值</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lang w:val="zh-CN" w:eastAsia="zh-CN"/>
        </w:rPr>
        <w:t>分，自评得分</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lang w:val="zh-CN" w:eastAsia="zh-CN"/>
        </w:rPr>
        <w:t>分。</w:t>
      </w:r>
    </w:p>
    <w:p>
      <w:pPr>
        <w:spacing w:line="360" w:lineRule="auto"/>
        <w:ind w:firstLine="640" w:firstLineChars="200"/>
        <w:rPr>
          <w:rFonts w:hint="eastAsia"/>
          <w:lang w:val="zh-CN"/>
        </w:rPr>
      </w:pPr>
      <w:r>
        <w:rPr>
          <w:rFonts w:hint="eastAsia" w:ascii="仿宋_GB2312" w:hAnsi="Times New Roman" w:eastAsia="仿宋_GB2312" w:cs="仿宋_GB2312"/>
          <w:sz w:val="32"/>
          <w:szCs w:val="32"/>
        </w:rPr>
        <w:t>支持中小企业发展</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政府采购授予中小企业合同金额</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w:t>
      </w:r>
      <w:r>
        <w:rPr>
          <w:rFonts w:hint="eastAsia" w:ascii="仿宋_GB2312" w:eastAsia="仿宋_GB2312" w:cs="仿宋_GB2312"/>
          <w:sz w:val="32"/>
          <w:szCs w:val="32"/>
        </w:rPr>
        <w:t>其中：授予小微企业合同金额</w:t>
      </w:r>
      <w:r>
        <w:rPr>
          <w:rFonts w:ascii="仿宋_GB2312" w:eastAsia="仿宋_GB2312" w:cs="仿宋_GB2312"/>
          <w:sz w:val="32"/>
          <w:szCs w:val="32"/>
        </w:rPr>
        <w:t>0</w:t>
      </w:r>
      <w:r>
        <w:rPr>
          <w:rFonts w:hint="eastAsia" w:ascii="仿宋_GB2312" w:eastAsia="仿宋_GB2312" w:cs="仿宋_GB2312"/>
          <w:sz w:val="32"/>
          <w:szCs w:val="32"/>
        </w:rPr>
        <w:t>万元。</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3</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3</w:t>
      </w:r>
      <w:r>
        <w:rPr>
          <w:rFonts w:hint="eastAsia" w:ascii="仿宋_GB2312" w:eastAsia="仿宋_GB2312"/>
          <w:b w:val="0"/>
          <w:sz w:val="32"/>
          <w:szCs w:val="32"/>
          <w:lang w:val="zh-CN" w:eastAsia="zh-CN"/>
        </w:rPr>
        <w:t>分。</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ascii="Times New Roman" w:hAnsi="Times New Roman" w:eastAsia="楷体_GB2312" w:cs="Times New Roman"/>
          <w:color w:val="000000"/>
          <w:kern w:val="0"/>
          <w:szCs w:val="32"/>
          <w:highlight w:val="none"/>
          <w:shd w:val="clear" w:color="auto" w:fill="FFFFFF"/>
          <w:lang w:val="en-US" w:eastAsia="zh-CN"/>
        </w:rPr>
      </w:pPr>
      <w:r>
        <w:rPr>
          <w:rFonts w:ascii="Times New Roman" w:hAnsi="Times New Roman" w:eastAsia="楷体_GB2312" w:cs="Times New Roman"/>
          <w:b/>
          <w:bCs/>
          <w:color w:val="000000"/>
          <w:kern w:val="0"/>
          <w:szCs w:val="32"/>
          <w:highlight w:val="none"/>
          <w:shd w:val="clear" w:color="auto" w:fill="FFFFFF"/>
          <w:lang w:val="zh-CN"/>
        </w:rPr>
        <w:t>（二）部门预算项目绩效分析。</w:t>
      </w:r>
      <w:r>
        <w:rPr>
          <w:rFonts w:hint="eastAsia" w:eastAsia="楷体_GB2312" w:cs="Times New Roman"/>
          <w:b/>
          <w:bCs/>
          <w:color w:val="000000"/>
          <w:kern w:val="0"/>
          <w:szCs w:val="32"/>
          <w:highlight w:val="none"/>
          <w:shd w:val="clear" w:color="auto" w:fill="FFFFFF"/>
          <w:lang w:val="zh-CN"/>
        </w:rPr>
        <w:t>指标分值</w:t>
      </w:r>
      <w:r>
        <w:rPr>
          <w:rFonts w:hint="eastAsia" w:eastAsia="楷体_GB2312" w:cs="Times New Roman"/>
          <w:b/>
          <w:bCs/>
          <w:color w:val="000000"/>
          <w:kern w:val="0"/>
          <w:szCs w:val="32"/>
          <w:highlight w:val="none"/>
          <w:shd w:val="clear" w:color="auto" w:fill="FFFFFF"/>
          <w:lang w:val="en-US" w:eastAsia="zh-CN"/>
        </w:rPr>
        <w:t>35分，自评得分35分。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常年项目绩效分析。</w:t>
      </w:r>
      <w:r>
        <w:rPr>
          <w:rFonts w:hint="eastAsia" w:ascii="仿宋" w:hAnsi="仿宋" w:eastAsia="仿宋" w:cs="仿宋"/>
          <w:color w:val="000000"/>
          <w:kern w:val="0"/>
          <w:szCs w:val="32"/>
          <w:highlight w:val="none"/>
          <w:shd w:val="clear" w:color="auto" w:fill="FFFFFF"/>
          <w:lang w:val="zh-CN" w:eastAsia="zh-CN"/>
        </w:rPr>
        <w:t>该类项目总数</w:t>
      </w:r>
      <w:r>
        <w:rPr>
          <w:rFonts w:hint="eastAsia" w:ascii="仿宋" w:hAnsi="仿宋" w:eastAsia="仿宋" w:cs="仿宋"/>
          <w:color w:val="000000"/>
          <w:kern w:val="0"/>
          <w:szCs w:val="32"/>
          <w:highlight w:val="none"/>
          <w:shd w:val="clear" w:color="auto" w:fill="FFFFFF"/>
          <w:lang w:val="en-US" w:eastAsia="zh-CN"/>
        </w:rPr>
        <w:t>7</w:t>
      </w:r>
      <w:r>
        <w:rPr>
          <w:rFonts w:hint="eastAsia" w:ascii="仿宋" w:hAnsi="仿宋" w:eastAsia="仿宋" w:cs="仿宋"/>
          <w:color w:val="000000"/>
          <w:kern w:val="0"/>
          <w:szCs w:val="32"/>
          <w:highlight w:val="none"/>
          <w:shd w:val="clear" w:color="auto" w:fill="FFFFFF"/>
          <w:lang w:val="zh-CN" w:eastAsia="zh-CN"/>
        </w:rPr>
        <w:t>个，涉及预算总金额</w:t>
      </w:r>
      <w:r>
        <w:rPr>
          <w:rFonts w:hint="eastAsia" w:ascii="仿宋" w:hAnsi="仿宋" w:eastAsia="仿宋" w:cs="仿宋"/>
          <w:color w:val="000000"/>
          <w:kern w:val="0"/>
          <w:szCs w:val="32"/>
          <w:highlight w:val="none"/>
          <w:shd w:val="clear" w:color="auto" w:fill="FFFFFF"/>
          <w:lang w:val="en-US" w:eastAsia="zh-CN"/>
        </w:rPr>
        <w:t>275.03</w:t>
      </w:r>
      <w:r>
        <w:rPr>
          <w:rFonts w:hint="eastAsia" w:ascii="仿宋" w:hAnsi="仿宋" w:eastAsia="仿宋" w:cs="仿宋"/>
          <w:color w:val="000000"/>
          <w:kern w:val="0"/>
          <w:szCs w:val="32"/>
          <w:highlight w:val="none"/>
          <w:shd w:val="clear" w:color="auto" w:fill="FFFFFF"/>
          <w:lang w:val="zh-CN" w:eastAsia="zh-CN"/>
        </w:rPr>
        <w:t>万元，</w:t>
      </w:r>
      <w:r>
        <w:rPr>
          <w:rFonts w:hint="eastAsia" w:ascii="仿宋" w:hAnsi="仿宋" w:eastAsia="仿宋" w:cs="仿宋"/>
          <w:color w:val="000000"/>
          <w:kern w:val="0"/>
          <w:szCs w:val="32"/>
          <w:highlight w:val="none"/>
          <w:shd w:val="clear" w:color="auto" w:fill="FFFFFF"/>
          <w:lang w:val="zh-CN"/>
        </w:rPr>
        <w:t>1</w:t>
      </w:r>
      <w:r>
        <w:rPr>
          <w:rFonts w:hint="eastAsia" w:ascii="仿宋" w:hAnsi="仿宋" w:eastAsia="仿宋" w:cs="仿宋"/>
          <w:color w:val="000000"/>
          <w:kern w:val="0"/>
          <w:szCs w:val="32"/>
          <w:highlight w:val="none"/>
          <w:shd w:val="clear" w:color="auto" w:fill="FFFFFF"/>
          <w:lang w:val="zh-CN" w:eastAsia="zh-CN"/>
        </w:rPr>
        <w:t>—</w:t>
      </w:r>
      <w:r>
        <w:rPr>
          <w:rFonts w:hint="eastAsia" w:ascii="仿宋" w:hAnsi="仿宋" w:eastAsia="仿宋" w:cs="仿宋"/>
          <w:color w:val="000000"/>
          <w:kern w:val="0"/>
          <w:szCs w:val="32"/>
          <w:highlight w:val="none"/>
          <w:shd w:val="clear" w:color="auto" w:fill="FFFFFF"/>
          <w:lang w:val="zh-CN"/>
        </w:rPr>
        <w:t>1</w:t>
      </w:r>
      <w:r>
        <w:rPr>
          <w:rFonts w:hint="eastAsia" w:ascii="仿宋" w:hAnsi="仿宋" w:eastAsia="仿宋" w:cs="仿宋"/>
          <w:color w:val="000000"/>
          <w:kern w:val="0"/>
          <w:szCs w:val="32"/>
          <w:highlight w:val="none"/>
          <w:shd w:val="clear" w:color="auto" w:fill="FFFFFF"/>
          <w:lang w:val="en-US" w:eastAsia="zh-CN"/>
        </w:rPr>
        <w:t>2</w:t>
      </w:r>
      <w:r>
        <w:rPr>
          <w:rFonts w:hint="eastAsia" w:ascii="仿宋" w:hAnsi="仿宋" w:eastAsia="仿宋" w:cs="仿宋"/>
          <w:color w:val="000000"/>
          <w:kern w:val="0"/>
          <w:szCs w:val="32"/>
          <w:highlight w:val="none"/>
          <w:shd w:val="clear" w:color="auto" w:fill="FFFFFF"/>
          <w:lang w:val="zh-CN"/>
        </w:rPr>
        <w:t>月预算执行总体进度为</w:t>
      </w:r>
      <w:r>
        <w:rPr>
          <w:rFonts w:hint="eastAsia" w:ascii="仿宋" w:hAnsi="仿宋" w:eastAsia="仿宋" w:cs="仿宋"/>
          <w:color w:val="000000"/>
          <w:kern w:val="0"/>
          <w:szCs w:val="32"/>
          <w:highlight w:val="none"/>
          <w:shd w:val="clear" w:color="auto" w:fill="FFFFFF"/>
          <w:lang w:val="en-US" w:eastAsia="zh-CN"/>
        </w:rPr>
        <w:t>100</w:t>
      </w:r>
      <w:r>
        <w:rPr>
          <w:rFonts w:hint="eastAsia" w:ascii="仿宋" w:hAnsi="仿宋" w:eastAsia="仿宋" w:cs="仿宋"/>
          <w:color w:val="000000"/>
          <w:kern w:val="0"/>
          <w:szCs w:val="32"/>
          <w:highlight w:val="none"/>
          <w:shd w:val="clear" w:color="auto" w:fill="FFFFFF"/>
          <w:lang w:val="zh-CN"/>
        </w:rPr>
        <w:t>%，其中：</w:t>
      </w:r>
      <w:r>
        <w:rPr>
          <w:rFonts w:hint="eastAsia" w:ascii="仿宋" w:hAnsi="仿宋" w:eastAsia="仿宋" w:cs="仿宋"/>
          <w:color w:val="000000"/>
          <w:kern w:val="0"/>
          <w:szCs w:val="32"/>
          <w:highlight w:val="none"/>
          <w:shd w:val="clear" w:color="auto" w:fill="FFFFFF"/>
          <w:lang w:val="zh-CN" w:eastAsia="zh-CN"/>
        </w:rPr>
        <w:t>预算结余率大于</w:t>
      </w:r>
      <w:r>
        <w:rPr>
          <w:rFonts w:hint="eastAsia" w:ascii="仿宋" w:hAnsi="仿宋" w:eastAsia="仿宋" w:cs="仿宋"/>
          <w:color w:val="000000"/>
          <w:kern w:val="0"/>
          <w:szCs w:val="32"/>
          <w:highlight w:val="none"/>
          <w:shd w:val="clear" w:color="auto" w:fill="FFFFFF"/>
          <w:lang w:val="en-US" w:eastAsia="zh-CN"/>
        </w:rPr>
        <w:t>10%</w:t>
      </w:r>
      <w:r>
        <w:rPr>
          <w:rFonts w:hint="eastAsia" w:ascii="仿宋" w:hAnsi="仿宋" w:eastAsia="仿宋" w:cs="仿宋"/>
          <w:color w:val="000000"/>
          <w:kern w:val="0"/>
          <w:szCs w:val="32"/>
          <w:highlight w:val="none"/>
          <w:shd w:val="clear" w:color="auto" w:fill="FFFFFF"/>
          <w:lang w:val="zh-CN" w:eastAsia="zh-CN"/>
        </w:rPr>
        <w:t>的项目共计</w:t>
      </w:r>
      <w:r>
        <w:rPr>
          <w:rFonts w:hint="eastAsia" w:ascii="仿宋" w:hAnsi="仿宋" w:eastAsia="仿宋" w:cs="仿宋"/>
          <w:color w:val="000000"/>
          <w:kern w:val="0"/>
          <w:szCs w:val="32"/>
          <w:highlight w:val="none"/>
          <w:shd w:val="clear" w:color="auto" w:fill="FFFFFF"/>
          <w:lang w:val="en-US" w:eastAsia="zh-CN"/>
        </w:rPr>
        <w:t>0</w:t>
      </w:r>
      <w:r>
        <w:rPr>
          <w:rFonts w:hint="eastAsia" w:ascii="仿宋" w:hAnsi="仿宋" w:eastAsia="仿宋" w:cs="仿宋"/>
          <w:color w:val="000000"/>
          <w:kern w:val="0"/>
          <w:szCs w:val="32"/>
          <w:highlight w:val="none"/>
          <w:shd w:val="clear" w:color="auto" w:fill="FFFFFF"/>
          <w:lang w:val="zh-CN" w:eastAsia="zh-CN"/>
        </w:rPr>
        <w:t>个。</w:t>
      </w:r>
      <w:r>
        <w:rPr>
          <w:rFonts w:hint="eastAsia" w:ascii="仿宋" w:hAnsi="仿宋" w:eastAsia="仿宋" w:cs="仿宋"/>
          <w:color w:val="000000"/>
          <w:kern w:val="0"/>
          <w:szCs w:val="32"/>
          <w:highlight w:val="none"/>
          <w:shd w:val="clear" w:color="auto" w:fill="FFFFFF"/>
          <w:lang w:val="en-US" w:eastAsia="zh-CN"/>
        </w:rPr>
        <w:t>完成年度目标任务。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color w:val="000000"/>
          <w:kern w:val="0"/>
          <w:szCs w:val="32"/>
          <w:highlight w:val="none"/>
          <w:shd w:val="clear" w:color="auto" w:fill="FFFFFF"/>
          <w:lang w:val="zh-CN" w:eastAsia="zh-CN"/>
        </w:rPr>
      </w:pPr>
      <w:r>
        <w:rPr>
          <w:rFonts w:hint="eastAsia" w:ascii="仿宋" w:hAnsi="仿宋" w:eastAsia="仿宋" w:cs="仿宋"/>
          <w:color w:val="000000"/>
          <w:kern w:val="0"/>
          <w:szCs w:val="32"/>
          <w:highlight w:val="none"/>
          <w:shd w:val="clear" w:color="auto" w:fill="FFFFFF"/>
          <w:lang w:val="en-US" w:eastAsia="zh-CN"/>
        </w:rPr>
        <w:t>阶段（一次性）项目绩效分析。</w:t>
      </w:r>
      <w:r>
        <w:rPr>
          <w:rFonts w:hint="eastAsia" w:ascii="仿宋" w:hAnsi="仿宋" w:eastAsia="仿宋" w:cs="仿宋"/>
          <w:color w:val="000000"/>
          <w:kern w:val="0"/>
          <w:szCs w:val="32"/>
          <w:highlight w:val="none"/>
          <w:shd w:val="clear" w:color="auto" w:fill="FFFFFF"/>
          <w:lang w:val="zh-CN" w:eastAsia="zh-CN"/>
        </w:rPr>
        <w:t>该类项目总数</w:t>
      </w:r>
      <w:r>
        <w:rPr>
          <w:rFonts w:hint="eastAsia" w:ascii="仿宋" w:hAnsi="仿宋" w:eastAsia="仿宋" w:cs="仿宋"/>
          <w:color w:val="000000"/>
          <w:kern w:val="0"/>
          <w:szCs w:val="32"/>
          <w:highlight w:val="none"/>
          <w:shd w:val="clear" w:color="auto" w:fill="FFFFFF"/>
          <w:lang w:val="en-US" w:eastAsia="zh-CN"/>
        </w:rPr>
        <w:t>3</w:t>
      </w:r>
      <w:r>
        <w:rPr>
          <w:rFonts w:hint="eastAsia" w:ascii="仿宋" w:hAnsi="仿宋" w:eastAsia="仿宋" w:cs="仿宋"/>
          <w:color w:val="000000"/>
          <w:kern w:val="0"/>
          <w:szCs w:val="32"/>
          <w:highlight w:val="none"/>
          <w:shd w:val="clear" w:color="auto" w:fill="FFFFFF"/>
          <w:lang w:val="zh-CN" w:eastAsia="zh-CN"/>
        </w:rPr>
        <w:t>个，涉及预算总金额</w:t>
      </w:r>
      <w:r>
        <w:rPr>
          <w:rFonts w:hint="eastAsia" w:ascii="仿宋" w:hAnsi="仿宋" w:eastAsia="仿宋" w:cs="仿宋"/>
          <w:color w:val="000000"/>
          <w:kern w:val="0"/>
          <w:szCs w:val="32"/>
          <w:highlight w:val="none"/>
          <w:shd w:val="clear" w:color="auto" w:fill="FFFFFF"/>
          <w:lang w:val="en-US" w:eastAsia="zh-CN"/>
        </w:rPr>
        <w:t>257.96</w:t>
      </w:r>
      <w:r>
        <w:rPr>
          <w:rFonts w:hint="eastAsia" w:ascii="仿宋" w:hAnsi="仿宋" w:eastAsia="仿宋" w:cs="仿宋"/>
          <w:color w:val="000000"/>
          <w:kern w:val="0"/>
          <w:szCs w:val="32"/>
          <w:highlight w:val="none"/>
          <w:shd w:val="clear" w:color="auto" w:fill="FFFFFF"/>
          <w:lang w:val="zh-CN" w:eastAsia="zh-CN"/>
        </w:rPr>
        <w:t>万元，</w:t>
      </w:r>
      <w:r>
        <w:rPr>
          <w:rFonts w:hint="eastAsia" w:ascii="仿宋" w:hAnsi="仿宋" w:eastAsia="仿宋" w:cs="仿宋"/>
          <w:color w:val="000000"/>
          <w:kern w:val="0"/>
          <w:szCs w:val="32"/>
          <w:highlight w:val="none"/>
          <w:shd w:val="clear" w:color="auto" w:fill="FFFFFF"/>
          <w:lang w:val="zh-CN"/>
        </w:rPr>
        <w:t>1</w:t>
      </w:r>
      <w:r>
        <w:rPr>
          <w:rFonts w:hint="eastAsia" w:ascii="仿宋" w:hAnsi="仿宋" w:eastAsia="仿宋" w:cs="仿宋"/>
          <w:color w:val="000000"/>
          <w:kern w:val="0"/>
          <w:szCs w:val="32"/>
          <w:highlight w:val="none"/>
          <w:shd w:val="clear" w:color="auto" w:fill="FFFFFF"/>
          <w:lang w:val="zh-CN" w:eastAsia="zh-CN"/>
        </w:rPr>
        <w:t>—</w:t>
      </w:r>
      <w:r>
        <w:rPr>
          <w:rFonts w:hint="eastAsia" w:ascii="仿宋" w:hAnsi="仿宋" w:eastAsia="仿宋" w:cs="仿宋"/>
          <w:color w:val="000000"/>
          <w:kern w:val="0"/>
          <w:szCs w:val="32"/>
          <w:highlight w:val="none"/>
          <w:shd w:val="clear" w:color="auto" w:fill="FFFFFF"/>
          <w:lang w:val="zh-CN"/>
        </w:rPr>
        <w:t>1</w:t>
      </w:r>
      <w:r>
        <w:rPr>
          <w:rFonts w:hint="eastAsia" w:ascii="仿宋" w:hAnsi="仿宋" w:eastAsia="仿宋" w:cs="仿宋"/>
          <w:color w:val="000000"/>
          <w:kern w:val="0"/>
          <w:szCs w:val="32"/>
          <w:highlight w:val="none"/>
          <w:shd w:val="clear" w:color="auto" w:fill="FFFFFF"/>
          <w:lang w:val="en-US" w:eastAsia="zh-CN"/>
        </w:rPr>
        <w:t>2</w:t>
      </w:r>
      <w:r>
        <w:rPr>
          <w:rFonts w:hint="eastAsia" w:ascii="仿宋" w:hAnsi="仿宋" w:eastAsia="仿宋" w:cs="仿宋"/>
          <w:color w:val="000000"/>
          <w:kern w:val="0"/>
          <w:szCs w:val="32"/>
          <w:highlight w:val="none"/>
          <w:shd w:val="clear" w:color="auto" w:fill="FFFFFF"/>
          <w:lang w:val="zh-CN"/>
        </w:rPr>
        <w:t>月预算执行总体进度为</w:t>
      </w:r>
      <w:r>
        <w:rPr>
          <w:rFonts w:hint="eastAsia" w:ascii="仿宋" w:hAnsi="仿宋" w:eastAsia="仿宋" w:cs="仿宋"/>
          <w:color w:val="000000"/>
          <w:kern w:val="0"/>
          <w:szCs w:val="32"/>
          <w:highlight w:val="none"/>
          <w:shd w:val="clear" w:color="auto" w:fill="FFFFFF"/>
          <w:lang w:val="en-US" w:eastAsia="zh-CN"/>
        </w:rPr>
        <w:t>100</w:t>
      </w:r>
      <w:r>
        <w:rPr>
          <w:rFonts w:hint="eastAsia" w:ascii="仿宋" w:hAnsi="仿宋" w:eastAsia="仿宋" w:cs="仿宋"/>
          <w:color w:val="000000"/>
          <w:kern w:val="0"/>
          <w:szCs w:val="32"/>
          <w:highlight w:val="none"/>
          <w:shd w:val="clear" w:color="auto" w:fill="FFFFFF"/>
          <w:lang w:val="zh-CN"/>
        </w:rPr>
        <w:t>%，其中：</w:t>
      </w:r>
      <w:r>
        <w:rPr>
          <w:rFonts w:hint="eastAsia" w:ascii="仿宋" w:hAnsi="仿宋" w:eastAsia="仿宋" w:cs="仿宋"/>
          <w:color w:val="000000"/>
          <w:kern w:val="0"/>
          <w:szCs w:val="32"/>
          <w:highlight w:val="none"/>
          <w:shd w:val="clear" w:color="auto" w:fill="FFFFFF"/>
          <w:lang w:val="zh-CN" w:eastAsia="zh-CN"/>
        </w:rPr>
        <w:t>预算结余率大于</w:t>
      </w:r>
      <w:r>
        <w:rPr>
          <w:rFonts w:hint="eastAsia" w:ascii="仿宋" w:hAnsi="仿宋" w:eastAsia="仿宋" w:cs="仿宋"/>
          <w:color w:val="000000"/>
          <w:kern w:val="0"/>
          <w:szCs w:val="32"/>
          <w:highlight w:val="none"/>
          <w:shd w:val="clear" w:color="auto" w:fill="FFFFFF"/>
          <w:lang w:val="en-US" w:eastAsia="zh-CN"/>
        </w:rPr>
        <w:t>10%</w:t>
      </w:r>
      <w:r>
        <w:rPr>
          <w:rFonts w:hint="eastAsia" w:ascii="仿宋" w:hAnsi="仿宋" w:eastAsia="仿宋" w:cs="仿宋"/>
          <w:color w:val="000000"/>
          <w:kern w:val="0"/>
          <w:szCs w:val="32"/>
          <w:highlight w:val="none"/>
          <w:shd w:val="clear" w:color="auto" w:fill="FFFFFF"/>
          <w:lang w:val="zh-CN" w:eastAsia="zh-CN"/>
        </w:rPr>
        <w:t>的项目共计</w:t>
      </w:r>
      <w:r>
        <w:rPr>
          <w:rFonts w:hint="eastAsia" w:ascii="仿宋" w:hAnsi="仿宋" w:eastAsia="仿宋" w:cs="仿宋"/>
          <w:color w:val="000000"/>
          <w:kern w:val="0"/>
          <w:szCs w:val="32"/>
          <w:highlight w:val="none"/>
          <w:shd w:val="clear" w:color="auto" w:fill="FFFFFF"/>
          <w:lang w:val="en-US" w:eastAsia="zh-CN"/>
        </w:rPr>
        <w:t>0</w:t>
      </w:r>
      <w:r>
        <w:rPr>
          <w:rFonts w:hint="eastAsia" w:ascii="仿宋" w:hAnsi="仿宋" w:eastAsia="仿宋" w:cs="仿宋"/>
          <w:color w:val="000000"/>
          <w:kern w:val="0"/>
          <w:szCs w:val="32"/>
          <w:highlight w:val="none"/>
          <w:shd w:val="clear" w:color="auto" w:fill="FFFFFF"/>
          <w:lang w:val="zh-CN" w:eastAsia="zh-CN"/>
        </w:rPr>
        <w:t>个。</w:t>
      </w:r>
      <w:r>
        <w:rPr>
          <w:rFonts w:hint="eastAsia" w:ascii="仿宋" w:hAnsi="仿宋" w:eastAsia="仿宋" w:cs="仿宋"/>
          <w:color w:val="000000"/>
          <w:kern w:val="0"/>
          <w:szCs w:val="32"/>
          <w:highlight w:val="none"/>
          <w:shd w:val="clear" w:color="auto" w:fill="FFFFFF"/>
          <w:lang w:val="en-US" w:eastAsia="zh-CN"/>
        </w:rPr>
        <w:t>完成年度目标任务。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Cs w:val="32"/>
          <w:highlight w:val="none"/>
          <w:shd w:val="clear" w:color="auto" w:fill="FFFFFF"/>
          <w:lang w:val="en-US" w:eastAsia="zh-CN"/>
        </w:rPr>
      </w:pPr>
      <w:r>
        <w:rPr>
          <w:rFonts w:hint="eastAsia" w:ascii="楷体_GB2312" w:hAnsi="楷体_GB2312" w:eastAsia="楷体_GB2312" w:cs="楷体_GB2312"/>
          <w:color w:val="000000"/>
          <w:kern w:val="0"/>
          <w:szCs w:val="32"/>
          <w:highlight w:val="none"/>
          <w:shd w:val="clear" w:color="auto" w:fill="FFFFFF"/>
          <w:lang w:val="en-US" w:eastAsia="zh-CN"/>
        </w:rPr>
        <w:t>1.项目决策。指标分值12分，自评得分12分。</w:t>
      </w:r>
    </w:p>
    <w:p>
      <w:pPr>
        <w:snapToGrid w:val="0"/>
        <w:spacing w:line="360" w:lineRule="auto"/>
        <w:ind w:firstLine="640" w:firstLineChars="200"/>
        <w:rPr>
          <w:rFonts w:hint="eastAsia" w:ascii="仿宋" w:hAnsi="仿宋" w:eastAsia="仿宋" w:cs="仿宋"/>
          <w:color w:val="000000"/>
          <w:kern w:val="0"/>
          <w:sz w:val="32"/>
          <w:szCs w:val="32"/>
          <w:highlight w:val="none"/>
          <w:shd w:val="clear" w:color="auto" w:fill="FFFFFF"/>
          <w:lang w:val="en-US" w:eastAsia="zh-CN" w:bidi="ar-SA"/>
        </w:rPr>
      </w:pPr>
      <w:r>
        <w:rPr>
          <w:rFonts w:hint="eastAsia" w:ascii="仿宋" w:hAnsi="仿宋" w:eastAsia="仿宋" w:cs="仿宋"/>
          <w:color w:val="000000"/>
          <w:kern w:val="0"/>
          <w:szCs w:val="32"/>
          <w:highlight w:val="none"/>
          <w:shd w:val="clear" w:color="auto" w:fill="FFFFFF"/>
          <w:lang w:val="en-US" w:eastAsia="zh-CN"/>
        </w:rPr>
        <w:t>项目入库：</w:t>
      </w:r>
      <w:r>
        <w:rPr>
          <w:rFonts w:hint="eastAsia" w:ascii="楷体_GB2312" w:hAnsi="楷体_GB2312" w:eastAsia="楷体_GB2312" w:cs="楷体_GB2312"/>
          <w:color w:val="000000"/>
          <w:kern w:val="0"/>
          <w:szCs w:val="32"/>
          <w:highlight w:val="none"/>
          <w:shd w:val="clear" w:color="auto" w:fill="FFFFFF"/>
          <w:lang w:val="en-US" w:eastAsia="zh-CN"/>
        </w:rPr>
        <w:t>晴</w:t>
      </w:r>
      <w:r>
        <w:rPr>
          <w:rFonts w:hint="eastAsia" w:ascii="仿宋" w:hAnsi="仿宋" w:eastAsia="仿宋" w:cs="仿宋"/>
          <w:color w:val="000000"/>
          <w:kern w:val="0"/>
          <w:szCs w:val="32"/>
          <w:highlight w:val="none"/>
          <w:shd w:val="clear" w:color="auto" w:fill="FFFFFF"/>
          <w:lang w:val="en-US" w:eastAsia="zh-CN"/>
        </w:rPr>
        <w:t>朗乡2023年常年项目包括村干部工资、村干部体检、乡人大建设经费、驻村工作队经费、村基础设施维修维护费、年度考核奖、乡镇避险转移经费按照县财政局统一安排经费标准并结合乡实际情况建立项目库，设置项目绩效目标，撰写项目事前绩效评估报告后按规定履行评估论证、申报程序；部门预算项目绩效目标与计划期内的任务量、预算安排的资金量匹配，绩效目标设置科学合理、规范完整、量化细化、预算匹配；部门预算项目在规定时间完成项目入库。</w:t>
      </w:r>
      <w:r>
        <w:rPr>
          <w:rFonts w:hint="eastAsia" w:ascii="仿宋" w:hAnsi="仿宋" w:eastAsia="仿宋" w:cs="仿宋"/>
          <w:color w:val="000000"/>
          <w:kern w:val="0"/>
          <w:sz w:val="32"/>
          <w:szCs w:val="32"/>
          <w:highlight w:val="none"/>
          <w:shd w:val="clear" w:color="auto" w:fill="FFFFFF"/>
          <w:lang w:val="en-US" w:eastAsia="zh-CN" w:bidi="ar-SA"/>
        </w:rPr>
        <w:t>晴朗乡</w:t>
      </w:r>
      <w:r>
        <w:rPr>
          <w:rFonts w:hint="eastAsia" w:ascii="仿宋" w:hAnsi="仿宋" w:eastAsia="仿宋" w:cs="仿宋"/>
          <w:color w:val="000000"/>
          <w:kern w:val="0"/>
          <w:sz w:val="32"/>
          <w:szCs w:val="32"/>
          <w:highlight w:val="none"/>
          <w:shd w:val="clear" w:color="auto" w:fill="FFFFFF"/>
          <w:lang w:val="zh-CN" w:eastAsia="zh-CN" w:bidi="ar-SA"/>
        </w:rPr>
        <w:t>人民政府2023年阶段（一次性）项目</w:t>
      </w:r>
      <w:r>
        <w:rPr>
          <w:rFonts w:hint="eastAsia" w:ascii="仿宋" w:hAnsi="仿宋" w:eastAsia="仿宋" w:cs="仿宋"/>
          <w:color w:val="000000"/>
          <w:kern w:val="0"/>
          <w:sz w:val="32"/>
          <w:szCs w:val="32"/>
          <w:highlight w:val="none"/>
          <w:shd w:val="clear" w:color="auto" w:fill="FFFFFF"/>
          <w:lang w:val="en-US" w:eastAsia="zh-CN" w:bidi="ar-SA"/>
        </w:rPr>
        <w:t>主要包括晴朗乡2022年安全饮水巩固提升项目，黑水县晴朗乡红星村生产便桥建设项目，黑水县乡镇综合服务设施建设项目（晴朗乡提升）。项目组织实施单位由项目所在乡负责。投入产出及效果较匹配，成本测算依据较充分，测算相对合理。项目实施及时，真实、并按时公告公示项目建设和资金使用等情况，接受社会和群众监督，确保项目在阳光下管理，资金在阳光下运行。</w:t>
      </w:r>
      <w:r>
        <w:rPr>
          <w:rFonts w:hint="eastAsia" w:ascii="仿宋" w:hAnsi="仿宋" w:eastAsia="仿宋" w:cs="仿宋"/>
          <w:bCs/>
          <w:sz w:val="32"/>
          <w:szCs w:val="32"/>
        </w:rPr>
        <w:t>项目总体方案可行，建设符合衔接资金使用方向，符合农村经济发展的目标，立足实际，定位准确，</w:t>
      </w:r>
      <w:r>
        <w:rPr>
          <w:rFonts w:hint="eastAsia" w:ascii="仿宋" w:hAnsi="仿宋" w:eastAsia="仿宋" w:cs="仿宋"/>
          <w:bCs/>
          <w:sz w:val="32"/>
          <w:szCs w:val="32"/>
          <w:lang w:val="en-US" w:eastAsia="zh-CN"/>
        </w:rPr>
        <w:t>项目的实施</w:t>
      </w:r>
      <w:r>
        <w:rPr>
          <w:rFonts w:hint="eastAsia" w:ascii="仿宋" w:hAnsi="仿宋" w:eastAsia="仿宋" w:cs="仿宋"/>
          <w:bCs/>
          <w:sz w:val="32"/>
          <w:szCs w:val="32"/>
        </w:rPr>
        <w:t>将是</w:t>
      </w:r>
      <w:r>
        <w:rPr>
          <w:rFonts w:hint="eastAsia" w:ascii="仿宋" w:hAnsi="仿宋" w:eastAsia="仿宋" w:cs="仿宋"/>
          <w:bCs/>
          <w:sz w:val="32"/>
          <w:szCs w:val="32"/>
          <w:lang w:val="en-US" w:eastAsia="zh-CN"/>
        </w:rPr>
        <w:t>晴朗乡</w:t>
      </w:r>
      <w:r>
        <w:rPr>
          <w:rFonts w:hint="eastAsia" w:ascii="仿宋" w:hAnsi="仿宋" w:eastAsia="仿宋" w:cs="仿宋"/>
          <w:bCs/>
          <w:sz w:val="32"/>
          <w:szCs w:val="32"/>
        </w:rPr>
        <w:t>经济发展新的增长点，对促进产业结构调整和乡域经济发展意义重大，经济效益、社会效益显著，可操作性强</w:t>
      </w:r>
      <w:r>
        <w:rPr>
          <w:rFonts w:hint="eastAsia" w:ascii="仿宋" w:hAnsi="仿宋" w:eastAsia="仿宋" w:cs="仿宋"/>
          <w:bCs/>
          <w:sz w:val="32"/>
          <w:szCs w:val="32"/>
          <w:lang w:eastAsia="zh-CN"/>
        </w:rPr>
        <w:t>。</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4</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4</w:t>
      </w:r>
      <w:r>
        <w:rPr>
          <w:rFonts w:hint="eastAsia" w:ascii="仿宋_GB2312" w:eastAsia="仿宋_GB2312"/>
          <w:b w:val="0"/>
          <w:sz w:val="32"/>
          <w:szCs w:val="32"/>
          <w:lang w:val="zh-CN" w:eastAsia="zh-CN"/>
        </w:rPr>
        <w:t>分。</w:t>
      </w:r>
    </w:p>
    <w:p>
      <w:pPr>
        <w:ind w:left="0" w:firstLine="640" w:firstLineChars="200"/>
        <w:rPr>
          <w:rFonts w:ascii="楷体_GB2312" w:eastAsia="楷体_GB2312" w:cs="楷体_GB2312"/>
          <w:color w:val="000000"/>
          <w:kern w:val="0"/>
          <w:szCs w:val="32"/>
          <w:highlight w:val="none"/>
          <w:shd w:val="clear" w:color="auto" w:fill="FFFFFF"/>
          <w:lang w:val="zh-CN"/>
        </w:rPr>
      </w:pPr>
      <w:r>
        <w:rPr>
          <w:rFonts w:hint="eastAsia" w:ascii="楷体_GB2312" w:eastAsia="楷体_GB2312" w:cs="楷体_GB2312"/>
          <w:color w:val="000000"/>
          <w:kern w:val="0"/>
          <w:szCs w:val="32"/>
          <w:highlight w:val="none"/>
          <w:shd w:val="clear" w:color="auto" w:fill="FFFFFF"/>
          <w:lang w:val="en-US" w:eastAsia="zh-CN"/>
        </w:rPr>
        <w:t>2.项目执行</w:t>
      </w:r>
      <w:r>
        <w:rPr>
          <w:rFonts w:hint="eastAsia" w:ascii="楷体_GB2312" w:eastAsia="楷体_GB2312" w:cs="楷体_GB2312"/>
          <w:color w:val="000000"/>
          <w:kern w:val="0"/>
          <w:szCs w:val="32"/>
          <w:highlight w:val="none"/>
          <w:shd w:val="clear" w:color="auto" w:fill="FFFFFF"/>
          <w:lang w:val="zh-CN"/>
        </w:rPr>
        <w:t>。</w:t>
      </w:r>
      <w:r>
        <w:rPr>
          <w:rFonts w:ascii="楷体_GB2312" w:eastAsia="楷体_GB2312" w:cs="楷体_GB2312"/>
          <w:color w:val="000000"/>
          <w:kern w:val="0"/>
          <w:szCs w:val="32"/>
          <w:highlight w:val="none"/>
          <w:shd w:val="clear" w:color="auto" w:fill="FFFFFF"/>
          <w:lang w:val="zh-CN"/>
        </w:rPr>
        <w:t>指标分值</w:t>
      </w:r>
      <w:r>
        <w:rPr>
          <w:rFonts w:hint="eastAsia" w:ascii="楷体_GB2312" w:eastAsia="楷体_GB2312" w:cs="楷体_GB2312"/>
          <w:color w:val="000000"/>
          <w:kern w:val="0"/>
          <w:szCs w:val="32"/>
          <w:highlight w:val="none"/>
          <w:shd w:val="clear" w:color="auto" w:fill="FFFFFF"/>
          <w:lang w:val="en-US" w:eastAsia="zh-CN"/>
        </w:rPr>
        <w:t>12</w:t>
      </w:r>
      <w:r>
        <w:rPr>
          <w:rFonts w:ascii="楷体_GB2312" w:eastAsia="楷体_GB2312" w:cs="楷体_GB2312"/>
          <w:color w:val="000000"/>
          <w:kern w:val="0"/>
          <w:szCs w:val="32"/>
          <w:highlight w:val="none"/>
          <w:shd w:val="clear" w:color="auto" w:fill="FFFFFF"/>
          <w:lang w:val="zh-CN"/>
        </w:rPr>
        <w:t>分，自评得分</w:t>
      </w:r>
      <w:r>
        <w:rPr>
          <w:rFonts w:hint="eastAsia" w:ascii="楷体_GB2312" w:eastAsia="楷体_GB2312" w:cs="楷体_GB2312"/>
          <w:color w:val="000000"/>
          <w:kern w:val="0"/>
          <w:szCs w:val="32"/>
          <w:highlight w:val="none"/>
          <w:shd w:val="clear" w:color="auto" w:fill="FFFFFF"/>
          <w:lang w:val="en-US" w:eastAsia="zh-CN"/>
        </w:rPr>
        <w:t>12</w:t>
      </w:r>
      <w:r>
        <w:rPr>
          <w:rFonts w:ascii="楷体_GB2312" w:eastAsia="楷体_GB2312" w:cs="楷体_GB2312"/>
          <w:color w:val="000000"/>
          <w:kern w:val="0"/>
          <w:szCs w:val="32"/>
          <w:highlight w:val="none"/>
          <w:shd w:val="clear" w:color="auto" w:fill="FFFFFF"/>
          <w:lang w:val="zh-CN"/>
        </w:rPr>
        <w:t>分。</w:t>
      </w:r>
    </w:p>
    <w:p>
      <w:pPr>
        <w:ind w:left="0" w:firstLine="640" w:firstLineChars="200"/>
        <w:rPr>
          <w:rFonts w:hint="eastAsia" w:ascii="仿宋_GB2312" w:eastAsia="仿宋_GB2312"/>
          <w:b w:val="0"/>
          <w:sz w:val="32"/>
          <w:szCs w:val="32"/>
          <w:lang w:val="zh-CN" w:eastAsia="zh-CN"/>
        </w:rPr>
      </w:pPr>
      <w:r>
        <w:rPr>
          <w:rFonts w:hint="eastAsia" w:ascii="仿宋_GB2312" w:eastAsia="仿宋_GB2312" w:cs="Times New Roman"/>
          <w:kern w:val="2"/>
          <w:sz w:val="32"/>
          <w:szCs w:val="32"/>
          <w:lang w:val="en-US" w:eastAsia="zh-CN" w:bidi="ar-SA"/>
        </w:rPr>
        <w:t>执行同向</w:t>
      </w:r>
      <w:r>
        <w:rPr>
          <w:rFonts w:hint="eastAsia" w:ascii="仿宋_GB2312" w:cs="Times New Roman"/>
          <w:kern w:val="2"/>
          <w:sz w:val="32"/>
          <w:szCs w:val="32"/>
          <w:lang w:val="en-US" w:eastAsia="zh-CN" w:bidi="ar-SA"/>
        </w:rPr>
        <w:t>：各项目实际列支内容是否与绩效目标设置方向相符。</w:t>
      </w:r>
      <w:r>
        <w:rPr>
          <w:rFonts w:hint="eastAsia" w:ascii="仿宋_GB2312" w:eastAsia="仿宋_GB2312" w:cs="Times New Roman"/>
          <w:kern w:val="2"/>
          <w:sz w:val="32"/>
          <w:szCs w:val="32"/>
          <w:lang w:val="en-US" w:eastAsia="zh-CN" w:bidi="ar-SA"/>
        </w:rPr>
        <w:t>项目组织管理架构及具体实施流程，包括机构设置、监管措施、执行相关管理制度等符合相关规定。</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4</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4</w:t>
      </w:r>
      <w:r>
        <w:rPr>
          <w:rFonts w:hint="eastAsia" w:ascii="仿宋_GB2312" w:eastAsia="仿宋_GB2312"/>
          <w:b w:val="0"/>
          <w:sz w:val="32"/>
          <w:szCs w:val="32"/>
          <w:lang w:val="zh-CN" w:eastAsia="zh-CN"/>
        </w:rPr>
        <w:t>分。</w:t>
      </w:r>
    </w:p>
    <w:p>
      <w:pPr>
        <w:ind w:left="0" w:firstLine="640" w:firstLineChars="200"/>
        <w:rPr>
          <w:rFonts w:hint="eastAsia" w:ascii="仿宋_GB2312" w:eastAsia="仿宋_GB2312"/>
          <w:b w:val="0"/>
          <w:sz w:val="32"/>
          <w:szCs w:val="32"/>
          <w:lang w:val="zh-CN" w:eastAsia="zh-CN"/>
        </w:rPr>
      </w:pPr>
      <w:r>
        <w:rPr>
          <w:rFonts w:hint="eastAsia" w:ascii="仿宋_GB2312" w:eastAsia="仿宋_GB2312" w:cs="Times New Roman"/>
          <w:kern w:val="2"/>
          <w:sz w:val="32"/>
          <w:szCs w:val="32"/>
          <w:lang w:val="en-US" w:eastAsia="zh-CN" w:bidi="ar-SA"/>
        </w:rPr>
        <w:t>项目调整</w:t>
      </w:r>
      <w:r>
        <w:rPr>
          <w:rFonts w:hint="eastAsia" w:ascii="仿宋_GB2312" w:cs="Times New Roman"/>
          <w:kern w:val="2"/>
          <w:sz w:val="32"/>
          <w:szCs w:val="32"/>
          <w:lang w:val="en-US" w:eastAsia="zh-CN" w:bidi="ar-SA"/>
        </w:rPr>
        <w:t>：按照县委资金分配，设立项目，未调整。</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4</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4</w:t>
      </w:r>
      <w:r>
        <w:rPr>
          <w:rFonts w:hint="eastAsia" w:ascii="仿宋_GB2312" w:eastAsia="仿宋_GB2312"/>
          <w:b w:val="0"/>
          <w:sz w:val="32"/>
          <w:szCs w:val="32"/>
          <w:lang w:val="zh-CN" w:eastAsia="zh-CN"/>
        </w:rPr>
        <w:t>分。</w:t>
      </w:r>
    </w:p>
    <w:p>
      <w:pPr>
        <w:ind w:left="0"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执行结果</w:t>
      </w:r>
      <w:r>
        <w:rPr>
          <w:rFonts w:hint="eastAsia" w:ascii="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资金开支范围、标准及支付进度，支付依据合规合法，资金支付与预算相符。</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4</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4</w:t>
      </w:r>
      <w:r>
        <w:rPr>
          <w:rFonts w:hint="eastAsia" w:ascii="仿宋_GB2312" w:eastAsia="仿宋_GB2312"/>
          <w:b w:val="0"/>
          <w:sz w:val="32"/>
          <w:szCs w:val="32"/>
          <w:lang w:val="zh-CN" w:eastAsia="zh-CN"/>
        </w:rPr>
        <w:t>分。</w:t>
      </w:r>
    </w:p>
    <w:p>
      <w:pPr>
        <w:keepNext w:val="0"/>
        <w:keepLines w:val="0"/>
        <w:pageBreakBefore w:val="0"/>
        <w:widowControl w:val="0"/>
        <w:kinsoku/>
        <w:wordWrap/>
        <w:overflowPunct/>
        <w:topLinePunct w:val="0"/>
        <w:autoSpaceDE/>
        <w:autoSpaceDN/>
        <w:bidi w:val="0"/>
        <w:adjustRightInd w:val="0"/>
        <w:snapToGrid w:val="0"/>
        <w:spacing w:line="578" w:lineRule="exact"/>
        <w:ind w:left="640" w:leftChars="200"/>
        <w:contextualSpacing/>
        <w:jc w:val="left"/>
        <w:textAlignment w:val="auto"/>
        <w:outlineLvl w:val="9"/>
        <w:rPr>
          <w:rFonts w:ascii="楷体_GB2312" w:eastAsia="楷体_GB2312" w:cs="楷体_GB2312"/>
          <w:color w:val="000000"/>
          <w:kern w:val="0"/>
          <w:szCs w:val="32"/>
          <w:highlight w:val="none"/>
          <w:shd w:val="clear" w:color="auto" w:fill="FFFFFF"/>
          <w:lang w:val="zh-CN"/>
        </w:rPr>
      </w:pPr>
      <w:r>
        <w:rPr>
          <w:rFonts w:hint="eastAsia" w:ascii="楷体_GB2312" w:eastAsia="楷体_GB2312" w:cs="楷体_GB2312"/>
          <w:color w:val="000000"/>
          <w:kern w:val="0"/>
          <w:szCs w:val="32"/>
          <w:highlight w:val="none"/>
          <w:shd w:val="clear" w:color="auto" w:fill="FFFFFF"/>
          <w:lang w:val="en-US" w:eastAsia="zh-CN"/>
        </w:rPr>
        <w:t>3.</w:t>
      </w:r>
      <w:r>
        <w:rPr>
          <w:rFonts w:hint="eastAsia" w:ascii="楷体_GB2312" w:eastAsia="楷体_GB2312" w:cs="楷体_GB2312"/>
          <w:color w:val="000000"/>
          <w:kern w:val="0"/>
          <w:szCs w:val="32"/>
          <w:highlight w:val="none"/>
          <w:shd w:val="clear" w:color="auto" w:fill="FFFFFF"/>
          <w:lang w:val="zh-CN"/>
        </w:rPr>
        <w:t>目标实现。</w:t>
      </w:r>
      <w:r>
        <w:rPr>
          <w:rFonts w:ascii="楷体_GB2312" w:eastAsia="楷体_GB2312" w:cs="楷体_GB2312"/>
          <w:color w:val="000000"/>
          <w:kern w:val="0"/>
          <w:szCs w:val="32"/>
          <w:highlight w:val="none"/>
          <w:shd w:val="clear" w:color="auto" w:fill="FFFFFF"/>
          <w:lang w:val="zh-CN"/>
        </w:rPr>
        <w:t>指标分值</w:t>
      </w:r>
      <w:r>
        <w:rPr>
          <w:rFonts w:hint="eastAsia" w:ascii="楷体_GB2312" w:eastAsia="楷体_GB2312" w:cs="楷体_GB2312"/>
          <w:color w:val="000000"/>
          <w:kern w:val="0"/>
          <w:szCs w:val="32"/>
          <w:highlight w:val="none"/>
          <w:shd w:val="clear" w:color="auto" w:fill="FFFFFF"/>
          <w:lang w:val="en-US" w:eastAsia="zh-CN"/>
        </w:rPr>
        <w:t>11</w:t>
      </w:r>
      <w:r>
        <w:rPr>
          <w:rFonts w:ascii="楷体_GB2312" w:eastAsia="楷体_GB2312" w:cs="楷体_GB2312"/>
          <w:color w:val="000000"/>
          <w:kern w:val="0"/>
          <w:szCs w:val="32"/>
          <w:highlight w:val="none"/>
          <w:shd w:val="clear" w:color="auto" w:fill="FFFFFF"/>
          <w:lang w:val="zh-CN"/>
        </w:rPr>
        <w:t>分，自评得分</w:t>
      </w:r>
      <w:r>
        <w:rPr>
          <w:rFonts w:hint="eastAsia" w:ascii="楷体_GB2312" w:eastAsia="楷体_GB2312" w:cs="楷体_GB2312"/>
          <w:color w:val="000000"/>
          <w:kern w:val="0"/>
          <w:szCs w:val="32"/>
          <w:highlight w:val="none"/>
          <w:shd w:val="clear" w:color="auto" w:fill="FFFFFF"/>
          <w:lang w:val="en-US" w:eastAsia="zh-CN"/>
        </w:rPr>
        <w:t>11</w:t>
      </w:r>
      <w:r>
        <w:rPr>
          <w:rFonts w:ascii="楷体_GB2312" w:eastAsia="楷体_GB2312" w:cs="楷体_GB2312"/>
          <w:color w:val="000000"/>
          <w:kern w:val="0"/>
          <w:szCs w:val="32"/>
          <w:highlight w:val="none"/>
          <w:shd w:val="clear" w:color="auto" w:fill="FFFFFF"/>
          <w:lang w:val="zh-CN"/>
        </w:rPr>
        <w:t>分。</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contextualSpacing/>
        <w:jc w:val="left"/>
        <w:textAlignment w:val="auto"/>
        <w:outlineLvl w:val="9"/>
        <w:rPr>
          <w:rFonts w:hint="eastAsia" w:ascii="Times New Roman" w:hAnsi="Times New Roman" w:cs="Times New Roman"/>
          <w:color w:val="000000"/>
          <w:kern w:val="0"/>
          <w:szCs w:val="32"/>
          <w:highlight w:val="none"/>
          <w:shd w:val="clear" w:color="auto" w:fill="FFFFFF"/>
          <w:lang w:val="zh-CN"/>
        </w:rPr>
      </w:pPr>
      <w:r>
        <w:rPr>
          <w:rFonts w:hint="eastAsia" w:ascii="Times New Roman" w:hAnsi="Times New Roman" w:cs="Times New Roman"/>
          <w:color w:val="000000"/>
          <w:kern w:val="0"/>
          <w:szCs w:val="32"/>
          <w:highlight w:val="none"/>
          <w:shd w:val="clear" w:color="auto" w:fill="FFFFFF"/>
          <w:lang w:val="zh-CN"/>
        </w:rPr>
        <w:t>目标完成</w:t>
      </w:r>
      <w:r>
        <w:rPr>
          <w:rFonts w:hint="eastAsia" w:cs="Times New Roman"/>
          <w:color w:val="000000"/>
          <w:kern w:val="0"/>
          <w:szCs w:val="32"/>
          <w:highlight w:val="none"/>
          <w:shd w:val="clear" w:color="auto" w:fill="FFFFFF"/>
          <w:lang w:val="zh-CN"/>
        </w:rPr>
        <w:t>：</w:t>
      </w:r>
      <w:r>
        <w:rPr>
          <w:rFonts w:hint="eastAsia" w:ascii="Times New Roman" w:hAnsi="Times New Roman" w:cs="Times New Roman"/>
          <w:color w:val="000000"/>
          <w:kern w:val="0"/>
          <w:szCs w:val="32"/>
          <w:highlight w:val="none"/>
          <w:shd w:val="clear" w:color="auto" w:fill="FFFFFF"/>
          <w:lang w:val="zh-CN"/>
        </w:rPr>
        <w:t>项目从经济、社会、生态、可持续效益以及服务对象满意度等方面</w:t>
      </w:r>
      <w:r>
        <w:rPr>
          <w:rFonts w:hint="eastAsia" w:cs="Times New Roman"/>
          <w:color w:val="000000"/>
          <w:kern w:val="0"/>
          <w:szCs w:val="32"/>
          <w:highlight w:val="none"/>
          <w:shd w:val="clear" w:color="auto" w:fill="FFFFFF"/>
          <w:lang w:val="zh-CN"/>
        </w:rPr>
        <w:t>科学制定目标任务</w:t>
      </w:r>
      <w:r>
        <w:rPr>
          <w:rFonts w:hint="eastAsia" w:ascii="Times New Roman" w:hAnsi="Times New Roman" w:cs="Times New Roman"/>
          <w:color w:val="000000"/>
          <w:kern w:val="0"/>
          <w:szCs w:val="32"/>
          <w:highlight w:val="none"/>
          <w:shd w:val="clear" w:color="auto" w:fill="FFFFFF"/>
          <w:lang w:val="zh-CN"/>
        </w:rPr>
        <w:t>。</w:t>
      </w:r>
      <w:r>
        <w:rPr>
          <w:rFonts w:hint="eastAsia" w:cs="Times New Roman"/>
          <w:color w:val="000000"/>
          <w:kern w:val="0"/>
          <w:szCs w:val="32"/>
          <w:highlight w:val="none"/>
          <w:shd w:val="clear" w:color="auto" w:fill="FFFFFF"/>
          <w:lang w:val="zh-CN"/>
        </w:rPr>
        <w:t>截止</w:t>
      </w:r>
      <w:r>
        <w:rPr>
          <w:rFonts w:hint="eastAsia" w:cs="Times New Roman"/>
          <w:color w:val="000000"/>
          <w:kern w:val="0"/>
          <w:szCs w:val="32"/>
          <w:highlight w:val="none"/>
          <w:shd w:val="clear" w:color="auto" w:fill="FFFFFF"/>
          <w:lang w:val="en-US" w:eastAsia="zh-CN"/>
        </w:rPr>
        <w:t>2023年年底</w:t>
      </w:r>
      <w:r>
        <w:rPr>
          <w:rFonts w:hint="eastAsia" w:ascii="Times New Roman" w:hAnsi="Times New Roman" w:cs="Times New Roman"/>
          <w:color w:val="000000"/>
          <w:kern w:val="0"/>
          <w:szCs w:val="32"/>
          <w:highlight w:val="none"/>
          <w:shd w:val="clear" w:color="auto" w:fill="FFFFFF"/>
          <w:lang w:val="zh-CN"/>
        </w:rPr>
        <w:t>项目</w:t>
      </w:r>
      <w:r>
        <w:rPr>
          <w:rFonts w:hint="eastAsia" w:cs="Times New Roman"/>
          <w:color w:val="000000"/>
          <w:kern w:val="0"/>
          <w:szCs w:val="32"/>
          <w:highlight w:val="none"/>
          <w:shd w:val="clear" w:color="auto" w:fill="FFFFFF"/>
          <w:lang w:val="zh-CN"/>
        </w:rPr>
        <w:t>按照目标任务</w:t>
      </w:r>
      <w:r>
        <w:rPr>
          <w:rFonts w:hint="eastAsia" w:ascii="Times New Roman" w:hAnsi="Times New Roman" w:cs="Times New Roman"/>
          <w:color w:val="000000"/>
          <w:kern w:val="0"/>
          <w:szCs w:val="32"/>
          <w:highlight w:val="none"/>
          <w:shd w:val="clear" w:color="auto" w:fill="FFFFFF"/>
          <w:lang w:val="zh-CN"/>
        </w:rPr>
        <w:t>完成数量、质量、时效、成本等计划完成目标。</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4</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4</w:t>
      </w:r>
      <w:r>
        <w:rPr>
          <w:rFonts w:hint="eastAsia" w:ascii="仿宋_GB2312" w:eastAsia="仿宋_GB2312"/>
          <w:b w:val="0"/>
          <w:sz w:val="32"/>
          <w:szCs w:val="32"/>
          <w:lang w:val="zh-CN" w:eastAsia="zh-CN"/>
        </w:rPr>
        <w:t>分。</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contextualSpacing/>
        <w:jc w:val="left"/>
        <w:textAlignment w:val="auto"/>
        <w:outlineLvl w:val="9"/>
        <w:rPr>
          <w:rFonts w:hint="eastAsia" w:cs="Times New Roman"/>
          <w:color w:val="000000"/>
          <w:kern w:val="0"/>
          <w:szCs w:val="32"/>
          <w:highlight w:val="none"/>
          <w:shd w:val="clear" w:color="auto" w:fill="FFFFFF"/>
          <w:lang w:val="zh-CN"/>
        </w:rPr>
      </w:pPr>
      <w:r>
        <w:rPr>
          <w:rFonts w:hint="eastAsia" w:ascii="Times New Roman" w:hAnsi="Times New Roman" w:cs="Times New Roman"/>
          <w:color w:val="000000"/>
          <w:kern w:val="0"/>
          <w:szCs w:val="32"/>
          <w:highlight w:val="none"/>
          <w:shd w:val="clear" w:color="auto" w:fill="FFFFFF"/>
          <w:lang w:val="zh-CN"/>
        </w:rPr>
        <w:t>目标偏离</w:t>
      </w:r>
      <w:r>
        <w:rPr>
          <w:rFonts w:hint="eastAsia" w:cs="Times New Roman"/>
          <w:color w:val="000000"/>
          <w:kern w:val="0"/>
          <w:szCs w:val="32"/>
          <w:highlight w:val="none"/>
          <w:shd w:val="clear" w:color="auto" w:fill="FFFFFF"/>
          <w:lang w:val="zh-CN"/>
        </w:rPr>
        <w:t>：预算项目绩效目标数量指标实现程度与预期目标的无偏离情况。各项目实际工作中达到预期的目标或标准，与设定的绩效目标之间不存在差异。</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4</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4</w:t>
      </w:r>
      <w:r>
        <w:rPr>
          <w:rFonts w:hint="eastAsia" w:ascii="仿宋_GB2312" w:eastAsia="仿宋_GB2312"/>
          <w:b w:val="0"/>
          <w:sz w:val="32"/>
          <w:szCs w:val="32"/>
          <w:lang w:val="zh-CN" w:eastAsia="zh-CN"/>
        </w:rPr>
        <w:t>分。</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640" w:firstLineChars="200"/>
        <w:contextualSpacing/>
        <w:jc w:val="left"/>
        <w:textAlignment w:val="auto"/>
        <w:outlineLvl w:val="9"/>
        <w:rPr>
          <w:rFonts w:hint="eastAsia" w:cs="Times New Roman"/>
          <w:color w:val="000000"/>
          <w:kern w:val="0"/>
          <w:szCs w:val="32"/>
          <w:highlight w:val="none"/>
          <w:shd w:val="clear" w:color="auto" w:fill="FFFFFF"/>
          <w:lang w:val="zh-CN"/>
        </w:rPr>
      </w:pPr>
      <w:r>
        <w:rPr>
          <w:rFonts w:hint="eastAsia" w:cs="Times New Roman"/>
          <w:color w:val="000000"/>
          <w:kern w:val="0"/>
          <w:szCs w:val="32"/>
          <w:highlight w:val="none"/>
          <w:shd w:val="clear" w:color="auto" w:fill="FFFFFF"/>
          <w:lang w:val="zh-CN"/>
        </w:rPr>
        <w:t>实现效果：加快构建全方位、全过程、全覆盖预算绩效管理体系，财政资源配置效率和资金使用效益实现“双提升”。</w:t>
      </w:r>
      <w:r>
        <w:rPr>
          <w:rFonts w:hint="eastAsia" w:ascii="仿宋_GB2312" w:eastAsia="仿宋_GB2312"/>
          <w:b w:val="0"/>
          <w:sz w:val="32"/>
          <w:szCs w:val="32"/>
          <w:lang w:val="zh-CN" w:eastAsia="zh-CN"/>
        </w:rPr>
        <w:t>指标分值</w:t>
      </w:r>
      <w:r>
        <w:rPr>
          <w:rFonts w:hint="eastAsia" w:ascii="仿宋_GB2312"/>
          <w:b w:val="0"/>
          <w:sz w:val="32"/>
          <w:szCs w:val="32"/>
          <w:lang w:val="en-US" w:eastAsia="zh-CN"/>
        </w:rPr>
        <w:t>3</w:t>
      </w:r>
      <w:r>
        <w:rPr>
          <w:rFonts w:hint="eastAsia" w:ascii="仿宋_GB2312" w:eastAsia="仿宋_GB2312"/>
          <w:b w:val="0"/>
          <w:sz w:val="32"/>
          <w:szCs w:val="32"/>
          <w:lang w:val="zh-CN" w:eastAsia="zh-CN"/>
        </w:rPr>
        <w:t>分，自评得分</w:t>
      </w:r>
      <w:r>
        <w:rPr>
          <w:rFonts w:hint="eastAsia" w:ascii="仿宋_GB2312"/>
          <w:b w:val="0"/>
          <w:sz w:val="32"/>
          <w:szCs w:val="32"/>
          <w:lang w:val="en-US" w:eastAsia="zh-CN"/>
        </w:rPr>
        <w:t>3</w:t>
      </w:r>
      <w:r>
        <w:rPr>
          <w:rFonts w:hint="eastAsia" w:ascii="仿宋_GB2312" w:eastAsia="仿宋_GB2312"/>
          <w:b w:val="0"/>
          <w:sz w:val="32"/>
          <w:szCs w:val="32"/>
          <w:lang w:val="zh-CN" w:eastAsia="zh-CN"/>
        </w:rPr>
        <w:t>分。</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楷体_GB2312" w:cs="Times New Roman"/>
          <w:color w:val="333333"/>
          <w:sz w:val="32"/>
          <w:szCs w:val="32"/>
          <w:highlight w:val="none"/>
          <w:u w:val="none"/>
          <w:shd w:val="clear" w:color="auto" w:fill="auto"/>
        </w:rPr>
      </w:pPr>
      <w:r>
        <w:rPr>
          <w:rFonts w:hint="eastAsia" w:cs="Times New Roman"/>
          <w:sz w:val="32"/>
          <w:szCs w:val="32"/>
          <w:u w:val="none"/>
          <w:lang w:eastAsia="zh-CN"/>
        </w:rPr>
        <w:t>我单位不涉及</w:t>
      </w:r>
      <w:r>
        <w:rPr>
          <w:rFonts w:hint="eastAsia" w:ascii="Times New Roman" w:hAnsi="Times New Roman" w:eastAsia="仿宋_GB2312" w:cs="Times New Roman"/>
          <w:sz w:val="32"/>
          <w:szCs w:val="32"/>
          <w:u w:val="none"/>
          <w:lang w:val="en-US" w:eastAsia="zh-CN"/>
        </w:rPr>
        <w:t>2023年度</w:t>
      </w:r>
      <w:r>
        <w:rPr>
          <w:rFonts w:ascii="Times New Roman" w:hAnsi="Times New Roman" w:eastAsia="仿宋_GB2312" w:cs="Times New Roman"/>
          <w:sz w:val="32"/>
          <w:szCs w:val="32"/>
          <w:u w:val="none"/>
        </w:rPr>
        <w:t>若涉及国有资</w:t>
      </w:r>
      <w:r>
        <w:rPr>
          <w:rFonts w:ascii="Times New Roman" w:hAnsi="Times New Roman" w:eastAsia="仿宋_GB2312" w:cs="Times New Roman"/>
          <w:sz w:val="32"/>
          <w:szCs w:val="32"/>
          <w:highlight w:val="none"/>
          <w:u w:val="none"/>
        </w:rPr>
        <w:t>本经营预算、社会保险基金预算。</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w:t>
      </w:r>
      <w:r>
        <w:rPr>
          <w:rFonts w:hint="default" w:ascii="Times New Roman" w:hAnsi="Times New Roman" w:eastAsia="楷体_GB2312" w:cs="Times New Roman"/>
          <w:b/>
          <w:bCs/>
          <w:color w:val="000000"/>
          <w:kern w:val="0"/>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default" w:ascii="Times New Roman" w:hAnsi="Times New Roman" w:eastAsia="楷体_GB2312" w:cs="Times New Roman"/>
          <w:b/>
          <w:bCs/>
          <w:color w:val="000000"/>
          <w:kern w:val="0"/>
          <w:szCs w:val="32"/>
          <w:highlight w:val="none"/>
          <w:shd w:val="clear" w:color="auto" w:fill="FFFFFF"/>
          <w:lang w:val="zh-CN" w:eastAsia="zh-CN"/>
        </w:rPr>
        <w:t>。</w:t>
      </w:r>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楷体_GB2312" w:cs="Times New Roman"/>
          <w:color w:val="333333"/>
          <w:sz w:val="32"/>
          <w:szCs w:val="32"/>
          <w:highlight w:val="none"/>
          <w:u w:val="none"/>
          <w:shd w:val="clear" w:color="auto" w:fill="auto"/>
        </w:rPr>
      </w:pPr>
      <w:r>
        <w:rPr>
          <w:rFonts w:hint="eastAsia" w:cs="Times New Roman"/>
          <w:sz w:val="32"/>
          <w:szCs w:val="32"/>
          <w:u w:val="none"/>
          <w:lang w:eastAsia="zh-CN"/>
        </w:rPr>
        <w:t>我单位不涉及</w:t>
      </w:r>
      <w:r>
        <w:rPr>
          <w:rFonts w:hint="eastAsia" w:ascii="Times New Roman" w:hAnsi="Times New Roman" w:eastAsia="仿宋_GB2312" w:cs="Times New Roman"/>
          <w:sz w:val="32"/>
          <w:szCs w:val="32"/>
          <w:u w:val="none"/>
          <w:lang w:val="en-US" w:eastAsia="zh-CN"/>
        </w:rPr>
        <w:t>2023年度</w:t>
      </w:r>
      <w:r>
        <w:rPr>
          <w:rFonts w:ascii="Times New Roman" w:hAnsi="Times New Roman" w:eastAsia="仿宋_GB2312" w:cs="Times New Roman"/>
          <w:sz w:val="32"/>
          <w:szCs w:val="32"/>
          <w:u w:val="none"/>
        </w:rPr>
        <w:t>若涉及国有资</w:t>
      </w:r>
      <w:r>
        <w:rPr>
          <w:rFonts w:ascii="Times New Roman" w:hAnsi="Times New Roman" w:eastAsia="仿宋_GB2312" w:cs="Times New Roman"/>
          <w:sz w:val="32"/>
          <w:szCs w:val="32"/>
          <w:highlight w:val="none"/>
          <w:u w:val="none"/>
        </w:rPr>
        <w:t>本经营预算、社会保险基金预算。</w:t>
      </w:r>
    </w:p>
    <w:p>
      <w:pPr>
        <w:snapToGrid w:val="0"/>
        <w:spacing w:line="360" w:lineRule="auto"/>
        <w:ind w:firstLine="640" w:firstLineChars="200"/>
        <w:rPr>
          <w:rFonts w:hint="eastAsia" w:ascii="仿宋_GB2312" w:eastAsia="仿宋_GB2312" w:cs="仿宋_GB2312"/>
          <w:sz w:val="32"/>
          <w:szCs w:val="32"/>
        </w:rPr>
      </w:pPr>
      <w:r>
        <w:rPr>
          <w:rFonts w:hint="eastAsia" w:ascii="仿宋" w:hAnsi="仿宋" w:eastAsia="仿宋" w:cs="仿宋"/>
          <w:color w:val="000000"/>
          <w:kern w:val="0"/>
          <w:szCs w:val="32"/>
          <w:highlight w:val="none"/>
          <w:shd w:val="clear" w:color="auto" w:fill="FFFFFF"/>
          <w:lang w:val="en-US" w:eastAsia="zh-CN"/>
        </w:rPr>
        <w:t>截止2023年12月，晴朗乡固定资产期末原值348.91万元，累计折旧136.69万元，期末净值212.22万元。</w:t>
      </w:r>
      <w:r>
        <w:rPr>
          <w:rFonts w:hint="eastAsia" w:ascii="仿宋_GB2312" w:eastAsia="仿宋_GB2312" w:cs="仿宋_GB2312"/>
          <w:sz w:val="32"/>
          <w:szCs w:val="32"/>
        </w:rPr>
        <w:t>，固定资产在用率达</w:t>
      </w:r>
      <w:r>
        <w:rPr>
          <w:rFonts w:ascii="仿宋_GB2312" w:eastAsia="仿宋_GB2312" w:cs="仿宋_GB2312"/>
          <w:sz w:val="32"/>
          <w:szCs w:val="32"/>
        </w:rPr>
        <w:t>100%</w:t>
      </w:r>
      <w:r>
        <w:rPr>
          <w:rFonts w:hint="eastAsia" w:ascii="仿宋_GB2312" w:eastAsia="仿宋_GB2312" w:cs="仿宋_GB2312"/>
          <w:sz w:val="32"/>
          <w:szCs w:val="32"/>
        </w:rPr>
        <w:t>。</w:t>
      </w:r>
    </w:p>
    <w:p>
      <w:pPr>
        <w:snapToGrid w:val="0"/>
        <w:spacing w:line="360" w:lineRule="auto"/>
        <w:ind w:firstLine="640" w:firstLineChars="200"/>
        <w:rPr>
          <w:rFonts w:ascii="仿宋_GB2312" w:eastAsia="仿宋_GB2312" w:cs="仿宋_GB2312"/>
          <w:sz w:val="32"/>
          <w:szCs w:val="32"/>
        </w:rPr>
      </w:pPr>
      <w:r>
        <w:rPr>
          <w:rFonts w:hint="eastAsia" w:ascii="仿宋_GB2312" w:cs="仿宋_GB2312"/>
          <w:sz w:val="32"/>
          <w:szCs w:val="32"/>
          <w:lang w:val="en-US" w:eastAsia="zh-CN"/>
        </w:rPr>
        <w:t>2023年</w:t>
      </w:r>
      <w:r>
        <w:rPr>
          <w:rFonts w:hint="eastAsia" w:ascii="仿宋_GB2312" w:eastAsia="仿宋_GB2312" w:cs="仿宋_GB2312"/>
          <w:sz w:val="32"/>
          <w:szCs w:val="32"/>
        </w:rPr>
        <w:t>年度政府采购货物支出</w:t>
      </w:r>
      <w:r>
        <w:rPr>
          <w:rFonts w:hint="eastAsia" w:ascii="仿宋_GB2312" w:cs="仿宋_GB2312"/>
          <w:sz w:val="32"/>
          <w:szCs w:val="32"/>
          <w:lang w:val="en-US" w:eastAsia="zh-CN"/>
        </w:rPr>
        <w:t>0</w:t>
      </w:r>
      <w:r>
        <w:rPr>
          <w:rFonts w:hint="eastAsia" w:ascii="仿宋_GB2312" w:eastAsia="仿宋_GB2312" w:cs="仿宋_GB2312"/>
          <w:sz w:val="32"/>
          <w:szCs w:val="32"/>
        </w:rPr>
        <w:t>万元，政府采购工程支出</w:t>
      </w:r>
      <w:r>
        <w:rPr>
          <w:rFonts w:hint="eastAsia" w:ascii="仿宋_GB2312" w:cs="仿宋_GB2312"/>
          <w:sz w:val="32"/>
          <w:szCs w:val="32"/>
          <w:lang w:val="en-US" w:eastAsia="zh-CN"/>
        </w:rPr>
        <w:t>0万元</w:t>
      </w:r>
      <w:r>
        <w:rPr>
          <w:rFonts w:hint="eastAsia" w:ascii="仿宋_GB2312" w:eastAsia="仿宋_GB2312" w:cs="仿宋_GB2312"/>
          <w:sz w:val="32"/>
          <w:szCs w:val="32"/>
        </w:rPr>
        <w:t>，政府采购服务支出</w:t>
      </w:r>
      <w:r>
        <w:rPr>
          <w:rFonts w:ascii="仿宋_GB2312" w:eastAsia="仿宋_GB2312" w:cs="仿宋_GB2312"/>
          <w:sz w:val="32"/>
          <w:szCs w:val="32"/>
        </w:rPr>
        <w:t>0</w:t>
      </w:r>
      <w:r>
        <w:rPr>
          <w:rFonts w:hint="eastAsia" w:ascii="仿宋_GB2312" w:eastAsia="仿宋_GB2312" w:cs="仿宋_GB2312"/>
          <w:sz w:val="32"/>
          <w:szCs w:val="32"/>
        </w:rPr>
        <w:t>万元。</w:t>
      </w:r>
    </w:p>
    <w:p>
      <w:pPr>
        <w:snapToGrid w:val="0"/>
        <w:spacing w:line="360" w:lineRule="auto"/>
        <w:ind w:firstLine="640" w:firstLineChars="200"/>
        <w:rPr>
          <w:rFonts w:ascii="Times New Roman" w:hAnsi="Times New Roman" w:cs="Times New Roman"/>
          <w:color w:val="000000"/>
          <w:kern w:val="0"/>
          <w:szCs w:val="32"/>
          <w:highlight w:val="none"/>
          <w:shd w:val="clear" w:color="auto" w:fill="FFFFFF"/>
          <w:lang w:val="en-US" w:eastAsia="zh-CN"/>
        </w:rPr>
      </w:pPr>
      <w:r>
        <w:rPr>
          <w:rFonts w:hint="eastAsia" w:ascii="仿宋_GB2312" w:eastAsia="仿宋_GB2312" w:cs="仿宋_GB2312"/>
          <w:sz w:val="32"/>
          <w:szCs w:val="32"/>
        </w:rPr>
        <w:t>政府采购授予中小企业合同金额</w:t>
      </w:r>
      <w:r>
        <w:rPr>
          <w:rFonts w:hint="eastAsia" w:ascii="仿宋_GB2312" w:cs="仿宋_GB2312"/>
          <w:sz w:val="32"/>
          <w:szCs w:val="32"/>
          <w:lang w:val="en-US" w:eastAsia="zh-CN"/>
        </w:rPr>
        <w:t>0</w:t>
      </w:r>
      <w:r>
        <w:rPr>
          <w:rFonts w:hint="eastAsia" w:ascii="仿宋_GB2312" w:eastAsia="仿宋_GB2312" w:cs="仿宋_GB2312"/>
          <w:sz w:val="32"/>
          <w:szCs w:val="32"/>
        </w:rPr>
        <w:t>万元，其中：授予小微企业合同金额</w:t>
      </w:r>
      <w:r>
        <w:rPr>
          <w:rFonts w:ascii="仿宋_GB2312" w:eastAsia="仿宋_GB2312" w:cs="仿宋_GB2312"/>
          <w:sz w:val="32"/>
          <w:szCs w:val="32"/>
        </w:rPr>
        <w:t>0</w:t>
      </w:r>
      <w:r>
        <w:rPr>
          <w:rFonts w:hint="eastAsia" w:ascii="仿宋_GB2312" w:eastAsia="仿宋_GB2312" w:cs="仿宋_GB2312"/>
          <w:sz w:val="32"/>
          <w:szCs w:val="32"/>
        </w:rPr>
        <w:t>万元。</w:t>
      </w:r>
    </w:p>
    <w:p>
      <w:pPr>
        <w:keepNext w:val="0"/>
        <w:keepLines w:val="0"/>
        <w:pageBreakBefore w:val="0"/>
        <w:widowControl w:val="0"/>
        <w:numPr>
          <w:ilvl w:val="0"/>
          <w:numId w:val="2"/>
        </w:numPr>
        <w:kinsoku/>
        <w:wordWrap/>
        <w:overflowPunct/>
        <w:topLinePunct w:val="0"/>
        <w:autoSpaceDE/>
        <w:autoSpaceDN/>
        <w:bidi w:val="0"/>
        <w:snapToGrid w:val="0"/>
        <w:spacing w:line="600" w:lineRule="exact"/>
        <w:ind w:left="0" w:leftChars="0" w:firstLine="643" w:firstLineChars="200"/>
        <w:textAlignment w:val="auto"/>
        <w:rPr>
          <w:rFonts w:hint="default"/>
          <w:b w:val="0"/>
          <w:bCs w:val="0"/>
        </w:rPr>
      </w:pPr>
      <w:r>
        <w:rPr>
          <w:rFonts w:hint="default" w:ascii="Times New Roman" w:hAnsi="Times New Roman" w:eastAsia="楷体_GB2312" w:cs="Times New Roman"/>
          <w:b/>
          <w:bCs/>
          <w:szCs w:val="32"/>
          <w:lang w:val="zh-CN"/>
        </w:rPr>
        <w:t>绩效结果应用情况</w:t>
      </w:r>
      <w:r>
        <w:rPr>
          <w:rFonts w:hint="eastAsia" w:ascii="Times New Roman" w:hAnsi="Times New Roman" w:eastAsia="楷体_GB2312" w:cs="Times New Roman"/>
          <w:b/>
          <w:bCs/>
          <w:szCs w:val="32"/>
          <w:lang w:val="zh-CN"/>
        </w:rPr>
        <w:t>。</w:t>
      </w:r>
    </w:p>
    <w:p>
      <w:pPr>
        <w:pStyle w:val="11"/>
        <w:ind w:left="0" w:leftChars="0" w:firstLine="620" w:firstLineChars="200"/>
        <w:rPr>
          <w:rFonts w:hint="default"/>
        </w:rPr>
      </w:pPr>
      <w:r>
        <w:rPr>
          <w:rFonts w:ascii="仿宋_GB2312" w:hAnsi="宋体" w:eastAsia="仿宋_GB2312" w:cs="仿宋_GB2312"/>
          <w:i w:val="0"/>
          <w:iCs w:val="0"/>
          <w:caps w:val="0"/>
          <w:color w:val="333333"/>
          <w:spacing w:val="0"/>
          <w:sz w:val="31"/>
          <w:szCs w:val="31"/>
          <w:shd w:val="clear" w:fill="FFFFFF"/>
        </w:rPr>
        <w:t>绩效评价情况综合评定，认为</w:t>
      </w:r>
      <w:r>
        <w:rPr>
          <w:rFonts w:hint="eastAsia" w:ascii="仿宋_GB2312" w:hAnsi="宋体" w:cs="仿宋_GB2312"/>
          <w:i w:val="0"/>
          <w:iCs w:val="0"/>
          <w:caps w:val="0"/>
          <w:color w:val="333333"/>
          <w:spacing w:val="0"/>
          <w:sz w:val="31"/>
          <w:szCs w:val="31"/>
          <w:shd w:val="clear" w:fill="FFFFFF"/>
          <w:lang w:val="en-US" w:eastAsia="zh-CN"/>
        </w:rPr>
        <w:t>晴朗乡2023年度整体预算资金</w:t>
      </w:r>
      <w:r>
        <w:rPr>
          <w:rFonts w:ascii="仿宋_GB2312" w:hAnsi="宋体" w:eastAsia="仿宋_GB2312" w:cs="仿宋_GB2312"/>
          <w:i w:val="0"/>
          <w:iCs w:val="0"/>
          <w:caps w:val="0"/>
          <w:color w:val="333333"/>
          <w:spacing w:val="0"/>
          <w:sz w:val="31"/>
          <w:szCs w:val="31"/>
          <w:shd w:val="clear" w:fill="FFFFFF"/>
        </w:rPr>
        <w:t>的管理使用规范、资金使用效益明显，成效显著，根据2023年项目支出绩效自评指标评分表评分，按照打分标准，得出2023年度</w:t>
      </w:r>
      <w:r>
        <w:rPr>
          <w:rFonts w:hint="eastAsia" w:ascii="仿宋_GB2312" w:hAnsi="宋体" w:cs="仿宋_GB2312"/>
          <w:i w:val="0"/>
          <w:iCs w:val="0"/>
          <w:caps w:val="0"/>
          <w:color w:val="333333"/>
          <w:spacing w:val="0"/>
          <w:sz w:val="31"/>
          <w:szCs w:val="31"/>
          <w:shd w:val="clear" w:fill="FFFFFF"/>
          <w:lang w:val="en-US" w:eastAsia="zh-CN"/>
        </w:rPr>
        <w:t>晴朗乡部门预算整体支出</w:t>
      </w:r>
      <w:r>
        <w:rPr>
          <w:rFonts w:ascii="仿宋_GB2312" w:hAnsi="宋体" w:eastAsia="仿宋_GB2312" w:cs="仿宋_GB2312"/>
          <w:i w:val="0"/>
          <w:iCs w:val="0"/>
          <w:caps w:val="0"/>
          <w:color w:val="333333"/>
          <w:spacing w:val="0"/>
          <w:sz w:val="31"/>
          <w:szCs w:val="31"/>
          <w:shd w:val="clear" w:fill="FFFFFF"/>
        </w:rPr>
        <w:t>综合评价自评分数为9</w:t>
      </w:r>
      <w:r>
        <w:rPr>
          <w:rFonts w:hint="eastAsia" w:ascii="仿宋_GB2312" w:hAnsi="宋体" w:cs="仿宋_GB2312"/>
          <w:i w:val="0"/>
          <w:iCs w:val="0"/>
          <w:caps w:val="0"/>
          <w:color w:val="333333"/>
          <w:spacing w:val="0"/>
          <w:sz w:val="31"/>
          <w:szCs w:val="31"/>
          <w:shd w:val="clear" w:fill="FFFFFF"/>
          <w:lang w:val="en-US" w:eastAsia="zh-CN"/>
        </w:rPr>
        <w:t>7</w:t>
      </w:r>
      <w:r>
        <w:rPr>
          <w:rFonts w:ascii="仿宋_GB2312" w:hAnsi="宋体" w:eastAsia="仿宋_GB2312" w:cs="仿宋_GB2312"/>
          <w:i w:val="0"/>
          <w:iCs w:val="0"/>
          <w:caps w:val="0"/>
          <w:color w:val="333333"/>
          <w:spacing w:val="0"/>
          <w:sz w:val="31"/>
          <w:szCs w:val="31"/>
          <w:shd w:val="clear" w:fill="FFFFFF"/>
        </w:rPr>
        <w:t>分，绩效评价等次为“优秀”。</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黑体" w:cs="Times New Roman"/>
          <w:color w:val="000000"/>
          <w:kern w:val="0"/>
          <w:szCs w:val="32"/>
          <w:highlight w:val="none"/>
          <w:shd w:val="clear" w:color="auto" w:fill="FFFFFF"/>
        </w:rPr>
      </w:pPr>
      <w:r>
        <w:rPr>
          <w:rFonts w:hint="default" w:ascii="Times New Roman" w:hAnsi="Times New Roman" w:eastAsia="黑体" w:cs="Times New Roman"/>
          <w:color w:val="000000"/>
          <w:kern w:val="0"/>
          <w:szCs w:val="32"/>
          <w:highlight w:val="none"/>
          <w:shd w:val="clear" w:color="auto" w:fill="FFFFFF"/>
          <w:lang w:eastAsia="zh-CN"/>
        </w:rPr>
        <w:t>四、</w:t>
      </w:r>
      <w:r>
        <w:rPr>
          <w:rFonts w:hint="default" w:ascii="Times New Roman" w:hAnsi="Times New Roman" w:eastAsia="黑体" w:cs="Times New Roman"/>
          <w:color w:val="000000"/>
          <w:kern w:val="0"/>
          <w:szCs w:val="32"/>
          <w:highlight w:val="none"/>
          <w:shd w:val="clear" w:color="auto" w:fill="FFFFFF"/>
        </w:rPr>
        <w:t>评价结论及建议</w:t>
      </w:r>
    </w:p>
    <w:p>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（一）评价结论。</w:t>
      </w:r>
    </w:p>
    <w:p>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根据黑水县财政局《关于开展2024年县级部门绩效自评工作的通知》，我乡对本部门2023年度整体绩效情况开展了自评工作，对照《部门预算绩效评价指标体系》进行了自评打分，</w:t>
      </w:r>
      <w:r>
        <w:rPr>
          <w:rFonts w:hint="eastAsia" w:ascii="仿宋" w:hAnsi="仿宋" w:eastAsia="仿宋" w:cs="仿宋"/>
          <w:b w:val="0"/>
          <w:bCs w:val="0"/>
          <w:szCs w:val="32"/>
          <w:lang w:val="en-US" w:eastAsia="zh-CN"/>
        </w:rPr>
        <w:t>2023年晴朗乡绩效管理情况较为理想，达到了年初设定的各项绩效目标，所有资金使用严格按审批程序办理、操作规范，会计核算结果真实、准确，各项支出严格按照制度执行。</w:t>
      </w:r>
      <w:r>
        <w:rPr>
          <w:rFonts w:hint="eastAsia" w:ascii="仿宋" w:hAnsi="仿宋" w:eastAsia="仿宋" w:cs="仿宋"/>
          <w:b w:val="0"/>
          <w:bCs w:val="0"/>
          <w:kern w:val="2"/>
          <w:sz w:val="32"/>
          <w:szCs w:val="32"/>
          <w:lang w:val="en-US" w:eastAsia="zh-CN" w:bidi="ar-SA"/>
        </w:rPr>
        <w:t>自评总分98分，</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08" w:firstLineChars="200"/>
        <w:contextualSpacing/>
        <w:jc w:val="left"/>
        <w:textAlignment w:val="auto"/>
        <w:outlineLvl w:val="9"/>
        <w:rPr>
          <w:rFonts w:hint="eastAsia" w:ascii="仿宋" w:hAnsi="仿宋" w:eastAsia="仿宋" w:cs="仿宋"/>
          <w:b/>
          <w:bCs/>
          <w:color w:val="000000"/>
          <w:kern w:val="0"/>
          <w:szCs w:val="32"/>
          <w:highlight w:val="none"/>
          <w:shd w:val="clear" w:color="auto" w:fill="FFFFFF"/>
          <w:lang w:val="en-US" w:eastAsia="zh-CN"/>
        </w:rPr>
      </w:pPr>
      <w:r>
        <w:rPr>
          <w:rFonts w:hint="eastAsia" w:ascii="仿宋" w:hAnsi="仿宋" w:eastAsia="仿宋" w:cs="仿宋"/>
          <w:b w:val="0"/>
          <w:bCs w:val="0"/>
          <w:w w:val="95"/>
          <w:kern w:val="0"/>
          <w:position w:val="0"/>
          <w:sz w:val="32"/>
          <w:szCs w:val="32"/>
          <w:highlight w:val="none"/>
          <w:lang w:val="en-US" w:eastAsia="zh-CN" w:bidi="ar-SA"/>
        </w:rPr>
        <w:t>内控制度需进一步完善，强化财务监督体制。</w:t>
      </w:r>
    </w:p>
    <w:p>
      <w:pPr>
        <w:keepNext w:val="0"/>
        <w:keepLines w:val="0"/>
        <w:pageBreakBefore w:val="0"/>
        <w:widowControl/>
        <w:numPr>
          <w:ilvl w:val="0"/>
          <w:numId w:val="3"/>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eastAsia="zh-CN"/>
        </w:rPr>
        <w:t>改进建议。</w:t>
      </w:r>
      <w:bookmarkStart w:id="0" w:name="_Hlk110546638"/>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 w:hAnsi="仿宋" w:eastAsia="仿宋" w:cs="仿宋"/>
          <w:b w:val="0"/>
          <w:bCs w:val="0"/>
          <w:kern w:val="0"/>
          <w:position w:val="0"/>
          <w:sz w:val="32"/>
          <w:szCs w:val="32"/>
          <w:highlight w:val="none"/>
          <w:lang w:val="en-US" w:eastAsia="zh-CN" w:bidi="ar-SA"/>
        </w:rPr>
      </w:pPr>
      <w:r>
        <w:rPr>
          <w:rFonts w:hint="eastAsia" w:ascii="仿宋" w:hAnsi="仿宋" w:eastAsia="仿宋" w:cs="仿宋"/>
          <w:b w:val="0"/>
          <w:bCs w:val="0"/>
          <w:kern w:val="0"/>
          <w:position w:val="0"/>
          <w:sz w:val="32"/>
          <w:szCs w:val="32"/>
          <w:highlight w:val="none"/>
          <w:lang w:val="en-US" w:eastAsia="zh-CN" w:bidi="ar-SA"/>
        </w:rPr>
        <w:t>1.科学合理编制预算，严格执行预算。进一步提高预算编制到位率，做准做全基本支出预算，做全项目支出预算，坚强预算支出审核、跟踪及预算执行情况分析，提高预算编制严谨性和可控性。</w:t>
      </w:r>
    </w:p>
    <w:p>
      <w:pPr>
        <w:pStyle w:val="11"/>
        <w:numPr>
          <w:ilvl w:val="0"/>
          <w:numId w:val="0"/>
        </w:numPr>
        <w:ind w:leftChars="0" w:firstLine="640" w:firstLineChars="200"/>
        <w:rPr>
          <w:rFonts w:hint="eastAsia" w:ascii="仿宋" w:hAnsi="仿宋" w:eastAsia="仿宋" w:cs="仿宋"/>
          <w:szCs w:val="32"/>
          <w:highlight w:val="none"/>
          <w:lang w:val="en-US" w:eastAsia="zh-CN"/>
        </w:rPr>
      </w:pPr>
      <w:r>
        <w:rPr>
          <w:rFonts w:hint="eastAsia" w:ascii="仿宋" w:hAnsi="仿宋" w:eastAsia="仿宋" w:cs="仿宋"/>
          <w:b w:val="0"/>
          <w:bCs w:val="0"/>
          <w:kern w:val="0"/>
          <w:position w:val="0"/>
          <w:sz w:val="32"/>
          <w:szCs w:val="32"/>
          <w:highlight w:val="none"/>
          <w:lang w:val="en-US" w:eastAsia="zh-CN" w:bidi="ar-SA"/>
        </w:rPr>
        <w:t>2.进一步完善内部管理制度，提升管理效能，更好的旅行生态文明建设职能。</w:t>
      </w:r>
      <w:bookmarkEnd w:id="0"/>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附表：部门整体支出绩效目标完成情况自评表</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 w:hAnsi="仿宋" w:eastAsia="仿宋" w:cs="仿宋"/>
          <w:color w:val="000000"/>
          <w:kern w:val="0"/>
          <w:szCs w:val="32"/>
          <w:highlight w:val="none"/>
          <w:shd w:val="clear" w:color="auto" w:fill="FFFFFF"/>
          <w:lang w:val="en-US" w:eastAsia="zh-CN"/>
        </w:rPr>
      </w:pP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仿宋" w:hAnsi="仿宋" w:eastAsia="仿宋" w:cs="仿宋"/>
          <w:color w:val="000000"/>
          <w:kern w:val="0"/>
          <w:szCs w:val="32"/>
          <w:highlight w:val="none"/>
          <w:shd w:val="clear" w:color="auto" w:fill="FFFFFF"/>
          <w:lang w:val="en-US" w:eastAsia="zh-CN"/>
        </w:rPr>
      </w:pPr>
    </w:p>
    <w:p>
      <w:pPr>
        <w:keepNext w:val="0"/>
        <w:keepLines w:val="0"/>
        <w:pageBreakBefore w:val="0"/>
        <w:kinsoku/>
        <w:wordWrap/>
        <w:overflowPunct/>
        <w:topLinePunct w:val="0"/>
        <w:autoSpaceDE/>
        <w:autoSpaceDN/>
        <w:bidi w:val="0"/>
        <w:spacing w:line="578" w:lineRule="exact"/>
        <w:ind w:firstLine="5120" w:firstLineChars="1600"/>
        <w:textAlignment w:val="auto"/>
        <w:rPr>
          <w:rFonts w:hint="eastAsia" w:ascii="仿宋" w:hAnsi="仿宋" w:eastAsia="仿宋" w:cs="仿宋"/>
          <w:color w:val="000000"/>
          <w:kern w:val="0"/>
          <w:szCs w:val="32"/>
          <w:highlight w:val="none"/>
          <w:shd w:val="clear" w:color="auto" w:fill="FFFFFF"/>
          <w:lang w:val="en-US" w:eastAsia="zh-CN"/>
        </w:rPr>
      </w:pPr>
      <w:r>
        <w:rPr>
          <w:rFonts w:hint="eastAsia" w:ascii="仿宋" w:hAnsi="仿宋" w:eastAsia="仿宋" w:cs="仿宋"/>
          <w:color w:val="000000"/>
          <w:kern w:val="0"/>
          <w:szCs w:val="32"/>
          <w:highlight w:val="none"/>
          <w:shd w:val="clear" w:color="auto" w:fill="FFFFFF"/>
          <w:lang w:val="en-US" w:eastAsia="zh-CN"/>
        </w:rPr>
        <w:t>黑水县晴朗乡人民政府</w:t>
      </w:r>
    </w:p>
    <w:p>
      <w:pPr>
        <w:keepNext w:val="0"/>
        <w:keepLines w:val="0"/>
        <w:pageBreakBefore w:val="0"/>
        <w:kinsoku/>
        <w:wordWrap/>
        <w:overflowPunct/>
        <w:topLinePunct w:val="0"/>
        <w:autoSpaceDE/>
        <w:autoSpaceDN/>
        <w:bidi w:val="0"/>
        <w:spacing w:line="578" w:lineRule="exact"/>
        <w:ind w:firstLine="5440" w:firstLineChars="1700"/>
        <w:textAlignment w:val="auto"/>
        <w:rPr>
          <w:rFonts w:hint="default" w:ascii="Times New Roman" w:hAnsi="Times New Roman" w:eastAsia="仿宋_GB2312" w:cs="Times New Roman"/>
          <w:kern w:val="2"/>
          <w:sz w:val="32"/>
          <w:szCs w:val="24"/>
          <w:highlight w:val="none"/>
          <w:lang w:val="en-US" w:eastAsia="zh-CN" w:bidi="ar-SA"/>
        </w:rPr>
      </w:pPr>
      <w:r>
        <w:rPr>
          <w:rFonts w:hint="eastAsia" w:ascii="仿宋" w:hAnsi="仿宋" w:eastAsia="仿宋" w:cs="仿宋"/>
          <w:color w:val="000000"/>
          <w:kern w:val="0"/>
          <w:szCs w:val="32"/>
          <w:highlight w:val="none"/>
          <w:shd w:val="clear" w:color="auto" w:fill="FFFFFF"/>
          <w:lang w:val="en-US" w:eastAsia="zh-CN"/>
        </w:rPr>
        <w:t>2024年8月10日</w:t>
      </w:r>
      <w:r>
        <w:rPr>
          <w:rFonts w:hint="eastAsia" w:ascii="仿宋" w:hAnsi="仿宋" w:eastAsia="仿宋" w:cs="仿宋"/>
          <w:color w:val="000000"/>
          <w:kern w:val="0"/>
          <w:szCs w:val="32"/>
          <w:highlight w:val="none"/>
          <w:shd w:val="clear" w:color="auto" w:fill="FFFFFF"/>
          <w:lang w:val="en-US" w:eastAsia="zh-CN"/>
        </w:rPr>
        <w:br w:type="page"/>
      </w:r>
      <w:r>
        <w:rPr>
          <w:rFonts w:hint="eastAsia" w:ascii="黑体" w:hAnsi="黑体" w:eastAsia="黑体" w:cs="黑体"/>
          <w:kern w:val="2"/>
          <w:sz w:val="32"/>
          <w:szCs w:val="24"/>
          <w:highlight w:val="none"/>
          <w:lang w:val="en-US" w:eastAsia="zh-CN" w:bidi="ar-SA"/>
        </w:rPr>
        <w:t>附表</w:t>
      </w:r>
    </w:p>
    <w:tbl>
      <w:tblPr>
        <w:tblStyle w:val="14"/>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347"/>
        <w:gridCol w:w="1273"/>
        <w:gridCol w:w="1100"/>
        <w:gridCol w:w="1144"/>
        <w:gridCol w:w="1"/>
        <w:gridCol w:w="1289"/>
        <w:gridCol w:w="1058"/>
        <w:gridCol w:w="926"/>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gridSpan w:val="10"/>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3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黑水县晴朗乡人民政府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1199.24</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1199.24</w:t>
            </w:r>
          </w:p>
        </w:tc>
        <w:tc>
          <w:tcPr>
            <w:tcW w:w="43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92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加强基层党建，统筹乡村发展，组织公共服务，实施综合管理，优化营商环境，维护辖区稳定平安，办理县委、县政府和上级行业部门交办的其他事项。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突出政治功能，加强党委自身建设，强化对所辖党组织的领导，认真贯彻执行党的路线方针政策、上级党组织决策部署，确保政令畅通、令行禁止；强化城乡基层党建系统建设和整体建设，统筹推进村党建、驻辖区单位党建、行业党建、“两新”组织党建等互联互动、共建共享，引导各方力量积极参与村发展治理、有效服务村民群众；统筹做好基层党组织成员培养、选拔、教育、管理、监督工作，用好用活党建指导员、社会工作者等各类人才；严格落实党风廉政建设责任制，层层传导管党治党压力，深化标本兼治、正风肃纪，扎实推进惩治和预防腐败体系建设，营造风清气正的政治生态；全面加强基层理论武装、社会宣传、舆论引导、精神文明建设，培育和践行社会主义核心价值观，规范管理基层意识形态阵地，全面落实党管意识形态工作责任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2.指导和促进村、社会组织（社会企业）、社会工作各项机制发展完善，加强基层群众性自治组织规范化建设；负责人大代表和政协委员的联络、换届、服务以及提案（建议）办理，负责工会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强村服务配套设施和综合服务平台建设，完善村综合服务功能，促进村生活性服务业提档升级；负责教育、劳动就业、社会保障、卫生健康、医疗保障、低保救助、助老助残、殡葬管理、妇女儿童、双拥等工作；组织开展村文化教育宣传，完善村文化载体，保护村历史遗存，传承村特色文化，丰富村文化内容。</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组织开展辖区内乡村管理、社会管理、人口管理等工作；协助开展辖区内规划建设和国土资源管理工作，协助相关部门和单位做好乡村改造、征地拆迁安置等工作；保护生态环境和自然资源，组织开展辖区内环境综合治理、城乡绿化美化、公共设施维护管理等工作，协助相关部门开展环境保护工作；负责乡村产业发展规划，承担服务农业农村经济发展、农村集体产权制度改革、农村扶贫开发等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参与辖区内发展规划编制，对辖区内重大基础设施建设、重大公共服务资源布局、重大政策提出意见建议。参与和协助项目规划等，承担项目促建服务和营商环境优化工作；联系和服务辖区内单位、企业及个体经营主体，指导和服务村创新创业，积极培育服务群众的社会企业，整合各类社会资源，建立村合作社，增强村自我造血功能和可持续发展能力；统筹协调辖区内行政执法工作，组织开展日常巡查，协助开展区域内综合行政执法等工作；依托“互联网+政务服</w:t>
            </w:r>
            <w:bookmarkStart w:id="1" w:name="_GoBack"/>
            <w:bookmarkEnd w:id="1"/>
            <w:r>
              <w:rPr>
                <w:rFonts w:hint="default" w:ascii="Times New Roman" w:hAnsi="Times New Roman" w:eastAsia="宋体" w:cs="Times New Roman"/>
                <w:i w:val="0"/>
                <w:color w:val="000000"/>
                <w:kern w:val="0"/>
                <w:sz w:val="24"/>
                <w:szCs w:val="24"/>
                <w:u w:val="none"/>
                <w:lang w:val="en-US" w:eastAsia="zh-CN" w:bidi="ar"/>
              </w:rPr>
              <w:t>务”，培育村服务新业态新模式，发展村电子商务，促进村共享经济发展。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6.组织开展辖区内社会治安综合治理，负责处理群众来信来访，开展综治维稳，反映村情民意，化解矛盾纠纷；组织开展辖区内安全生产管理，开展食品药品、消防等安全宣传和安全隐患排查，协助处理突发事件</w:t>
            </w:r>
            <w:r>
              <w:rPr>
                <w:rFonts w:hint="eastAsia" w:ascii="Times New Roman" w:hAnsi="Times New Roman" w:eastAsia="宋体"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项目支出：村干部体检费</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村干部健康查体，主要是为强化对村干部的关心关爱，本次绩效评价范围为2022年黑水县晴朗乡人民政府村干部体检费，体检费标准男400元/人，女500元/人，我乡共7个村，合计村干部67名，其中男60人，女7人，项目金额共计27500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项目支出：村干部工资，保险</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黑水县晴朗乡共7个村，支部书记（主任）7名，每人每月基本工资预计3500元，绩效绩效资金核定预计420元/月，养老保险补贴预计175元/月，医疗保险补贴预计300元/年，意外伤害保险预计100元/年，全年共计（3500+420+175）*12*7+（300+100）*7=346780元；  村支部副书记4名，每人每月基本工资预计2800元，绩效绩效资金核定预计420元/月，养老保险补贴预计140元/月，医疗保险补贴预计300元/年，意外伤害保险预计100元/年，全年共计（2800+420+140）*12*4+1600=162880元；村副主任7名，每人每月基本工资预计2800元，绩效绩效资金核定预计420元/月，养老保险补贴预计140元/月，医疗保险补贴预计300元/年，意外伤害保险预计100元/年，全年共计（2800+420+140）*12*7+2800=285040元；村会计7名，每人每月基本工资预计2450元，绩效绩效资金核定预计420元/月，养老保险补贴预计122.5元/月，医疗保险补贴预计300元/年，意外伤害保险预计100元/年，全年共计（2450+420+122.5）*12*7+2800=254170元；每村设立监督委员会主任1名，共7名，每人每月基本工资预计2450元，绩效绩效资金核定预计420元/月，养老保险补贴预计122.5元/月，医疗保险补贴预计300元/年，意外伤害保险预计100元/年，全年共计（2450+420+122.5）*12*7+2800=254170元；每村设立妇联主席1名，共7名，每人每月基本工资预计1000元，绩效绩效资金核定预计300元/月，意外伤害保险预计100元/年，全年共计（1000*12+300*12++100）*7=109900元；村组长共25人，每人每月基本工资预计1000元，绩效绩效资金核定预计300元/月，意外伤害保险预计100元/年，全年共计（1000*12+300*12++100）*25=392500元。民兵连长，团支部书记3人，每人每月基本工资预计1000元，绩效绩效资金核定预计300元/月，意外伤害保险预计100元/年全年共计（1000*12+300*12++100）*3=47100元；全年合计1852540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项目支出：村级运行维护费</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晴朗乡行政村经过2021年建制调整划分为7个行政村（原有11个行政村），涉及基础设施运行维护费7万*7=490000元。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基本支出：保障人员经费按时发放</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包括在职人员基础性绩效，年度目标考核奖，工资，在职人员保险，住房公积金等支出共计5799904.83元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基本支出：定额公用经费</w:t>
            </w:r>
          </w:p>
        </w:tc>
        <w:tc>
          <w:tcPr>
            <w:tcW w:w="66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包括公车运行维护费，日常公用经费（办公费，邮电费，电费，劳务费，培训费，差旅费，等支出）提高预算编制质量，严格执行预算，保障单位日常运转。共计：807500元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2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实际完成</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27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2023年晴朗乡2023年在职村干部共计66人，确保村干部工资，保险等按时发放和缴纳，保障村干部基本生活和提高村干部工作积极性。</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c>
          <w:tcPr>
            <w:tcW w:w="111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2023年晴朗乡行政村经过2021年建制调整划分为7个行政村（原有11个行政村）保障各村基础设施建设</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2023年晴朗乡在编车辆1辆，捐赠车1辆，消防车1辆，垃圾车1辆，严格控制三公经费支出，确保厉行节约原则</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辆</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2023年晴朗乡在职职工共计32人，包括在职人员基础性绩效，年度目标考核奖，工资，在职人员保险，住房公积金等支出，确保按时发放工资和保险缴纳</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273"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保障村干部工资绩效支出，安排每年1此体检，保障村干部身体健康，有效开展工作。</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良好</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保障职工基本工资和乡日常工作经费，有利于提高职工工作能力，强化工作职能。</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良好</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273" w:type="dxa"/>
            <w:vMerge w:val="continue"/>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村级运行维护费有利保障村基础环境，提高村民生活质量</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良好</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jc w:val="center"/>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i w:val="0"/>
                <w:color w:val="000000"/>
                <w:sz w:val="24"/>
                <w:szCs w:val="24"/>
                <w:u w:val="none"/>
                <w:lang w:val="en-US" w:eastAsia="zh-CN"/>
              </w:rPr>
            </w:pPr>
            <w:r>
              <w:rPr>
                <w:rFonts w:hint="default" w:ascii="Arial" w:hAnsi="Arial" w:eastAsia="宋体" w:cs="Arial"/>
                <w:i w:val="0"/>
                <w:color w:val="000000"/>
                <w:sz w:val="24"/>
                <w:szCs w:val="24"/>
                <w:u w:val="none"/>
                <w:lang w:val="en-US" w:eastAsia="zh-CN"/>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eastAsia="zh-CN"/>
              </w:rPr>
            </w:pPr>
            <w:r>
              <w:rPr>
                <w:rFonts w:hint="eastAsia" w:eastAsia="宋体" w:cs="Times New Roman"/>
                <w:i w:val="0"/>
                <w:color w:val="000000"/>
                <w:sz w:val="24"/>
                <w:szCs w:val="24"/>
                <w:u w:val="none"/>
                <w:lang w:val="en-US" w:eastAsia="zh-CN"/>
              </w:rPr>
              <w:t>98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98</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Lines="0" w:beforeAutospacing="0" w:after="0" w:afterLines="0" w:afterAutospacing="0" w:line="576" w:lineRule="exact"/>
        <w:ind w:left="0" w:right="0" w:firstLine="640" w:firstLineChars="200"/>
        <w:textAlignment w:val="auto"/>
        <w:rPr>
          <w:rFonts w:hint="default" w:ascii="Times New Roman" w:hAnsi="Times New Roman" w:eastAsia="方正仿宋_GBK" w:cs="Times New Roman"/>
          <w:kern w:val="2"/>
          <w:sz w:val="32"/>
          <w:szCs w:val="32"/>
          <w:lang w:val="en-US" w:eastAsia="zh-CN" w:bidi="ar-SA"/>
        </w:rPr>
        <w:sectPr>
          <w:footerReference r:id="rId3" w:type="default"/>
          <w:pgSz w:w="11906" w:h="16838"/>
          <w:pgMar w:top="2098" w:right="1417" w:bottom="2041" w:left="1587" w:header="851" w:footer="992" w:gutter="0"/>
          <w:pgNumType w:fmt="decimal" w:start="1"/>
          <w:cols w:space="720" w:num="1"/>
          <w:docGrid w:type="lines" w:linePitch="312" w:charSpace="0"/>
        </w:sectPr>
      </w:pPr>
    </w:p>
    <w:p>
      <w:pPr>
        <w:pStyle w:val="13"/>
        <w:ind w:left="0" w:leftChars="0" w:firstLine="0" w:firstLineChars="0"/>
        <w:rPr>
          <w:rFonts w:hint="default" w:ascii="Times New Roman" w:hAnsi="Times New Roman" w:eastAsia="黑体" w:cs="Times New Roman"/>
          <w:sz w:val="24"/>
          <w:szCs w:val="24"/>
          <w:highlight w:val="none"/>
          <w:lang w:val="en-US" w:eastAsia="zh-CN"/>
        </w:rPr>
      </w:pPr>
    </w:p>
    <w:sectPr>
      <w:headerReference r:id="rId4" w:type="default"/>
      <w:footerReference r:id="rId5"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33D9D"/>
    <w:multiLevelType w:val="singleLevel"/>
    <w:tmpl w:val="EC433D9D"/>
    <w:lvl w:ilvl="0" w:tentative="0">
      <w:start w:val="2"/>
      <w:numFmt w:val="chineseCounting"/>
      <w:suff w:val="nothing"/>
      <w:lvlText w:val="（%1）"/>
      <w:lvlJc w:val="left"/>
      <w:rPr>
        <w:rFonts w:hint="eastAsia"/>
      </w:rPr>
    </w:lvl>
  </w:abstractNum>
  <w:abstractNum w:abstractNumId="1">
    <w:nsid w:val="F5641982"/>
    <w:multiLevelType w:val="singleLevel"/>
    <w:tmpl w:val="F5641982"/>
    <w:lvl w:ilvl="0" w:tentative="0">
      <w:start w:val="2"/>
      <w:numFmt w:val="chineseCounting"/>
      <w:suff w:val="nothing"/>
      <w:lvlText w:val="（%1）"/>
      <w:lvlJc w:val="left"/>
      <w:rPr>
        <w:rFonts w:hint="eastAsia"/>
      </w:rPr>
    </w:lvl>
  </w:abstractNum>
  <w:abstractNum w:abstractNumId="2">
    <w:nsid w:val="75E90EE3"/>
    <w:multiLevelType w:val="singleLevel"/>
    <w:tmpl w:val="75E90EE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MDM4ZWNlODdiMWMzMWE5YmIxMWZhNjFkZDc5ODk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21565B1"/>
    <w:rsid w:val="028B65EE"/>
    <w:rsid w:val="0DC31556"/>
    <w:rsid w:val="13EB39F8"/>
    <w:rsid w:val="164075DC"/>
    <w:rsid w:val="1A3D6143"/>
    <w:rsid w:val="1C013801"/>
    <w:rsid w:val="1CAB3B14"/>
    <w:rsid w:val="1D686603"/>
    <w:rsid w:val="1DFD8D3B"/>
    <w:rsid w:val="1FB79DC9"/>
    <w:rsid w:val="1FBFC3F2"/>
    <w:rsid w:val="1FFFE033"/>
    <w:rsid w:val="22974BCB"/>
    <w:rsid w:val="26F22E12"/>
    <w:rsid w:val="27F352A6"/>
    <w:rsid w:val="2D527252"/>
    <w:rsid w:val="2DDC1740"/>
    <w:rsid w:val="2EAE55F2"/>
    <w:rsid w:val="2EDF4302"/>
    <w:rsid w:val="2EFE1A04"/>
    <w:rsid w:val="2FE821A3"/>
    <w:rsid w:val="30243701"/>
    <w:rsid w:val="35BBF80F"/>
    <w:rsid w:val="39A86722"/>
    <w:rsid w:val="3B736F08"/>
    <w:rsid w:val="3BE3D531"/>
    <w:rsid w:val="3D431A40"/>
    <w:rsid w:val="3EFF42CA"/>
    <w:rsid w:val="3F6FCA38"/>
    <w:rsid w:val="3FD5AF3D"/>
    <w:rsid w:val="3FFED8BE"/>
    <w:rsid w:val="3FFF43BB"/>
    <w:rsid w:val="433DCF8E"/>
    <w:rsid w:val="45FF973D"/>
    <w:rsid w:val="47550EBA"/>
    <w:rsid w:val="4BF7E09D"/>
    <w:rsid w:val="4FFFFC3E"/>
    <w:rsid w:val="531A262E"/>
    <w:rsid w:val="53BB74FC"/>
    <w:rsid w:val="55FDDF92"/>
    <w:rsid w:val="55FFBC03"/>
    <w:rsid w:val="56CDA72E"/>
    <w:rsid w:val="576F5916"/>
    <w:rsid w:val="577FDAE2"/>
    <w:rsid w:val="57FBE2C7"/>
    <w:rsid w:val="5B335734"/>
    <w:rsid w:val="5B7F322F"/>
    <w:rsid w:val="5BCAB023"/>
    <w:rsid w:val="5D733DF6"/>
    <w:rsid w:val="5DDA9B94"/>
    <w:rsid w:val="5EAB810D"/>
    <w:rsid w:val="5EFF9DA6"/>
    <w:rsid w:val="5F7751B9"/>
    <w:rsid w:val="5F9F7232"/>
    <w:rsid w:val="5F9F9588"/>
    <w:rsid w:val="5FBD32D2"/>
    <w:rsid w:val="5FD450B0"/>
    <w:rsid w:val="5FEF60CD"/>
    <w:rsid w:val="5FFB203D"/>
    <w:rsid w:val="5FFB8CF9"/>
    <w:rsid w:val="63887EDD"/>
    <w:rsid w:val="63D13B59"/>
    <w:rsid w:val="63DBAF21"/>
    <w:rsid w:val="6636451A"/>
    <w:rsid w:val="66636C75"/>
    <w:rsid w:val="67DE80AA"/>
    <w:rsid w:val="69367E7D"/>
    <w:rsid w:val="697E3B47"/>
    <w:rsid w:val="69BF132E"/>
    <w:rsid w:val="6BFEE5F3"/>
    <w:rsid w:val="6CAFF34E"/>
    <w:rsid w:val="6CFFCF4F"/>
    <w:rsid w:val="6DFFF8B6"/>
    <w:rsid w:val="6E9FE641"/>
    <w:rsid w:val="6EEDE807"/>
    <w:rsid w:val="6EEE4BE4"/>
    <w:rsid w:val="6EF65E9C"/>
    <w:rsid w:val="6F3D9197"/>
    <w:rsid w:val="6FAB3EC4"/>
    <w:rsid w:val="6FB6AF41"/>
    <w:rsid w:val="6FD894C8"/>
    <w:rsid w:val="6FE36A9E"/>
    <w:rsid w:val="6FEFB2D1"/>
    <w:rsid w:val="6FFF97E6"/>
    <w:rsid w:val="71397E03"/>
    <w:rsid w:val="71FB5B08"/>
    <w:rsid w:val="73FB87D9"/>
    <w:rsid w:val="75EF0FBA"/>
    <w:rsid w:val="7607C293"/>
    <w:rsid w:val="76DFA4E8"/>
    <w:rsid w:val="778720BD"/>
    <w:rsid w:val="77A7D615"/>
    <w:rsid w:val="77FF366A"/>
    <w:rsid w:val="77FF8C96"/>
    <w:rsid w:val="77FFA8F9"/>
    <w:rsid w:val="7976604B"/>
    <w:rsid w:val="79DA7706"/>
    <w:rsid w:val="79F3BC78"/>
    <w:rsid w:val="7A5B6CAA"/>
    <w:rsid w:val="7A9314AC"/>
    <w:rsid w:val="7B4F6850"/>
    <w:rsid w:val="7BABD5C4"/>
    <w:rsid w:val="7BB12055"/>
    <w:rsid w:val="7BBFADBA"/>
    <w:rsid w:val="7BFF492D"/>
    <w:rsid w:val="7C631402"/>
    <w:rsid w:val="7C978C63"/>
    <w:rsid w:val="7CA35AD0"/>
    <w:rsid w:val="7CDF8BC3"/>
    <w:rsid w:val="7CEB72A5"/>
    <w:rsid w:val="7D18750B"/>
    <w:rsid w:val="7DDFDC39"/>
    <w:rsid w:val="7E140770"/>
    <w:rsid w:val="7E5D92FB"/>
    <w:rsid w:val="7EF51D64"/>
    <w:rsid w:val="7EFFF488"/>
    <w:rsid w:val="7F574612"/>
    <w:rsid w:val="7F7F4920"/>
    <w:rsid w:val="7FB7C299"/>
    <w:rsid w:val="7FBFFB92"/>
    <w:rsid w:val="7FC53B3C"/>
    <w:rsid w:val="7FD76ACB"/>
    <w:rsid w:val="7FD89DA2"/>
    <w:rsid w:val="7FDBD805"/>
    <w:rsid w:val="7FDEC14D"/>
    <w:rsid w:val="7FDF8B76"/>
    <w:rsid w:val="7FDFE693"/>
    <w:rsid w:val="7FEFB5DD"/>
    <w:rsid w:val="7FEFBBD9"/>
    <w:rsid w:val="7FFD6A57"/>
    <w:rsid w:val="7FFDA7EC"/>
    <w:rsid w:val="7FFDEA1E"/>
    <w:rsid w:val="7FFEC1F6"/>
    <w:rsid w:val="7FFF2F52"/>
    <w:rsid w:val="8F7B4EC8"/>
    <w:rsid w:val="8FBD4480"/>
    <w:rsid w:val="8FF7AE96"/>
    <w:rsid w:val="955F5184"/>
    <w:rsid w:val="9F6311D7"/>
    <w:rsid w:val="9FF54399"/>
    <w:rsid w:val="A46D76C1"/>
    <w:rsid w:val="A7FF43C2"/>
    <w:rsid w:val="ABF66286"/>
    <w:rsid w:val="AD9E3F04"/>
    <w:rsid w:val="ADA70464"/>
    <w:rsid w:val="AFE97CD3"/>
    <w:rsid w:val="B1BF5C63"/>
    <w:rsid w:val="B1FF3A18"/>
    <w:rsid w:val="B3CDF284"/>
    <w:rsid w:val="B3E8107B"/>
    <w:rsid w:val="B5F66F24"/>
    <w:rsid w:val="B7F5200A"/>
    <w:rsid w:val="BABDA1AA"/>
    <w:rsid w:val="BB1B4BF1"/>
    <w:rsid w:val="BBE5FE68"/>
    <w:rsid w:val="BBFEB9C1"/>
    <w:rsid w:val="BDF7406A"/>
    <w:rsid w:val="BE6FD8DB"/>
    <w:rsid w:val="BEEF57C2"/>
    <w:rsid w:val="BF6D5596"/>
    <w:rsid w:val="BFBEBB2C"/>
    <w:rsid w:val="BFC68935"/>
    <w:rsid w:val="BFDD0F1D"/>
    <w:rsid w:val="BFDDD096"/>
    <w:rsid w:val="C5B3F496"/>
    <w:rsid w:val="C96F3E49"/>
    <w:rsid w:val="CBBF14F3"/>
    <w:rsid w:val="CBE5DCF2"/>
    <w:rsid w:val="CCFCC735"/>
    <w:rsid w:val="CEEB8A74"/>
    <w:rsid w:val="D37FB642"/>
    <w:rsid w:val="D7F99798"/>
    <w:rsid w:val="D7FF400C"/>
    <w:rsid w:val="DBED1CD4"/>
    <w:rsid w:val="DBFBB328"/>
    <w:rsid w:val="DDD7453A"/>
    <w:rsid w:val="DE3E1FD7"/>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4">
    <w:name w:val="Document Map"/>
    <w:basedOn w:val="1"/>
    <w:link w:val="21"/>
    <w:qFormat/>
    <w:uiPriority w:val="0"/>
    <w:rPr>
      <w:rFonts w:ascii="宋体" w:eastAsia="宋体"/>
      <w:sz w:val="18"/>
      <w:szCs w:val="18"/>
    </w:rPr>
  </w:style>
  <w:style w:type="paragraph" w:styleId="5">
    <w:name w:val="Body Text"/>
    <w:basedOn w:val="1"/>
    <w:next w:val="1"/>
    <w:qFormat/>
    <w:uiPriority w:val="0"/>
    <w:pPr>
      <w:spacing w:after="120"/>
    </w:pPr>
  </w:style>
  <w:style w:type="paragraph" w:styleId="6">
    <w:name w:val="Body Text Indent"/>
    <w:basedOn w:val="1"/>
    <w:qFormat/>
    <w:uiPriority w:val="0"/>
    <w:pPr>
      <w:spacing w:after="120"/>
      <w:ind w:leftChars="200"/>
    </w:pPr>
    <w:rPr>
      <w:rFonts w:ascii="仿宋_GB2312"/>
      <w:szCs w:val="32"/>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rFonts w:eastAsia="宋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0">
    <w:name w:val="toc 1"/>
    <w:basedOn w:val="1"/>
    <w:next w:val="1"/>
    <w:qFormat/>
    <w:uiPriority w:val="0"/>
  </w:style>
  <w:style w:type="paragraph" w:styleId="11">
    <w:name w:val="table of figures"/>
    <w:basedOn w:val="1"/>
    <w:next w:val="1"/>
    <w:qFormat/>
    <w:uiPriority w:val="0"/>
    <w:pPr>
      <w:spacing w:before="100" w:beforeAutospacing="1" w:after="100" w:afterAutospacing="1"/>
      <w:ind w:left="200" w:leftChars="200" w:hanging="200" w:hangingChars="200"/>
    </w:pPr>
    <w:rPr>
      <w:kern w:val="0"/>
      <w:sz w:val="20"/>
      <w:szCs w:val="21"/>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3">
    <w:name w:val="Body Text First Indent 2"/>
    <w:basedOn w:val="6"/>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正文2"/>
    <w:basedOn w:val="1"/>
    <w:next w:val="1"/>
    <w:qFormat/>
    <w:uiPriority w:val="99"/>
  </w:style>
  <w:style w:type="paragraph" w:customStyle="1" w:styleId="19">
    <w:name w:val="四号正文"/>
    <w:basedOn w:val="1"/>
    <w:link w:val="20"/>
    <w:qFormat/>
    <w:uiPriority w:val="0"/>
    <w:pPr>
      <w:spacing w:line="360" w:lineRule="auto"/>
    </w:pPr>
    <w:rPr>
      <w:rFonts w:ascii="??" w:hAnsi="??" w:eastAsia="宋体" w:cs="宋体"/>
      <w:color w:val="000000"/>
      <w:kern w:val="0"/>
      <w:sz w:val="28"/>
      <w:szCs w:val="21"/>
    </w:rPr>
  </w:style>
  <w:style w:type="character" w:customStyle="1" w:styleId="20">
    <w:name w:val="四号正文 Char"/>
    <w:basedOn w:val="16"/>
    <w:link w:val="19"/>
    <w:qFormat/>
    <w:uiPriority w:val="0"/>
    <w:rPr>
      <w:rFonts w:ascii="??" w:hAnsi="??" w:eastAsia="宋体" w:cs="宋体"/>
      <w:color w:val="000000"/>
      <w:sz w:val="28"/>
      <w:szCs w:val="21"/>
      <w:lang w:val="en-US" w:eastAsia="zh-CN" w:bidi="ar-SA"/>
    </w:rPr>
  </w:style>
  <w:style w:type="character" w:customStyle="1" w:styleId="21">
    <w:name w:val="文档结构图 Char"/>
    <w:basedOn w:val="16"/>
    <w:link w:val="4"/>
    <w:qFormat/>
    <w:uiPriority w:val="0"/>
    <w:rPr>
      <w:rFonts w:ascii="宋体"/>
      <w:kern w:val="2"/>
      <w:sz w:val="18"/>
      <w:szCs w:val="18"/>
    </w:rPr>
  </w:style>
  <w:style w:type="paragraph" w:customStyle="1" w:styleId="22">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3">
    <w:name w:val="页脚 Char"/>
    <w:basedOn w:val="16"/>
    <w:link w:val="8"/>
    <w:qFormat/>
    <w:uiPriority w:val="99"/>
    <w:rPr>
      <w:kern w:val="2"/>
      <w:sz w:val="18"/>
      <w:szCs w:val="18"/>
    </w:rPr>
  </w:style>
  <w:style w:type="character" w:customStyle="1" w:styleId="24">
    <w:name w:val="font31"/>
    <w:basedOn w:val="16"/>
    <w:qFormat/>
    <w:uiPriority w:val="0"/>
    <w:rPr>
      <w:rFonts w:hint="eastAsia" w:ascii="宋体" w:hAnsi="宋体" w:eastAsia="宋体" w:cs="宋体"/>
      <w:color w:val="000000"/>
      <w:sz w:val="24"/>
      <w:szCs w:val="24"/>
      <w:u w:val="none"/>
    </w:rPr>
  </w:style>
  <w:style w:type="character" w:customStyle="1" w:styleId="25">
    <w:name w:val="font51"/>
    <w:basedOn w:val="16"/>
    <w:qFormat/>
    <w:uiPriority w:val="0"/>
    <w:rPr>
      <w:rFonts w:hint="default" w:ascii="Wingdings 2" w:hAnsi="Wingdings 2" w:eastAsia="Wingdings 2" w:cs="Wingdings 2"/>
      <w:color w:val="000000"/>
      <w:sz w:val="18"/>
      <w:szCs w:val="18"/>
      <w:u w:val="none"/>
    </w:rPr>
  </w:style>
  <w:style w:type="character" w:customStyle="1" w:styleId="26">
    <w:name w:val="font01"/>
    <w:basedOn w:val="16"/>
    <w:qFormat/>
    <w:uiPriority w:val="0"/>
    <w:rPr>
      <w:rFonts w:ascii="宋体" w:hAnsi="宋体" w:eastAsia="宋体" w:cs="宋体"/>
      <w:color w:val="000000"/>
      <w:sz w:val="18"/>
      <w:szCs w:val="18"/>
      <w:u w:val="none"/>
    </w:rPr>
  </w:style>
  <w:style w:type="character" w:customStyle="1" w:styleId="27">
    <w:name w:val="font41"/>
    <w:basedOn w:val="16"/>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21</Pages>
  <Words>9870</Words>
  <Characters>10613</Characters>
  <Lines>2</Lines>
  <Paragraphs>1</Paragraphs>
  <TotalTime>1</TotalTime>
  <ScaleCrop>false</ScaleCrop>
  <LinksUpToDate>false</LinksUpToDate>
  <CharactersWithSpaces>10641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2019-05-28T19:06:00Z</dcterms:created>
  <dc:creator>陈萍</dc:creator>
  <cp:lastModifiedBy>admin</cp:lastModifiedBy>
  <cp:lastPrinted>2024-08-26T03:05:19Z</cp:lastPrinted>
  <dcterms:modified xsi:type="dcterms:W3CDTF">2024-08-26T03:05:31Z</dcterms:modified>
  <dc:title>区域性就业培训基地建设项目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109667D3F0724248B081E385C18E4DAB</vt:lpwstr>
  </property>
</Properties>
</file>