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黑水县晴朗乡人民政府</w:t>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zh-CN"/>
        </w:rPr>
        <w:t>晴朗乡2024年自然灾害应急资金项目</w:t>
      </w:r>
      <w:r>
        <w:rPr>
          <w:rFonts w:hint="eastAsia" w:ascii="方正小标宋_GBK" w:hAnsi="方正小标宋_GBK" w:eastAsia="方正小标宋_GBK" w:cs="方正小标宋_GBK"/>
          <w:sz w:val="44"/>
          <w:szCs w:val="44"/>
        </w:rPr>
        <w:t>专项预算绩效自评报告</w:t>
      </w:r>
    </w:p>
    <w:p>
      <w:pPr>
        <w:spacing w:line="580" w:lineRule="exact"/>
        <w:ind w:firstLine="640" w:firstLineChars="200"/>
        <w:rPr>
          <w:rFonts w:ascii="仿宋_GB2312" w:hAnsi="仿宋_GB2312" w:eastAsia="仿宋_GB2312" w:cs="仿宋_GB2312"/>
          <w:sz w:val="32"/>
          <w:szCs w:val="32"/>
        </w:rPr>
      </w:pP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p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（一）设立背景及基本情况。</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黑水县自然灾害应急资金，保障晴朗乡防汛抢险救灾工作顺利开展，清理泥石流堆积物、清理碎石、维修河堤堡坎，保障道路畅通，保障人民群众生命财产安全。</w:t>
      </w:r>
      <w:r>
        <w:rPr>
          <w:rFonts w:hint="eastAsia" w:ascii="仿宋_GB2312" w:hAnsi="仿宋_GB2312" w:eastAsia="仿宋_GB2312" w:cs="仿宋_GB2312"/>
          <w:sz w:val="32"/>
          <w:szCs w:val="32"/>
          <w:lang w:val="en-US" w:eastAsia="zh-CN"/>
        </w:rPr>
        <w:t>晴朗乡人民政府</w:t>
      </w:r>
      <w:r>
        <w:rPr>
          <w:rFonts w:hint="eastAsia" w:ascii="仿宋_GB2312" w:hAnsi="仿宋_GB2312" w:eastAsia="仿宋_GB2312" w:cs="仿宋_GB2312"/>
          <w:sz w:val="32"/>
          <w:szCs w:val="32"/>
          <w:lang w:val="zh-CN"/>
        </w:rPr>
        <w:t>承担专项资金绩效管理的主体责任，主要负责</w:t>
      </w:r>
      <w:r>
        <w:rPr>
          <w:rFonts w:hint="eastAsia" w:ascii="仿宋_GB2312" w:hAnsi="仿宋_GB2312" w:eastAsia="仿宋_GB2312" w:cs="仿宋_GB2312"/>
          <w:sz w:val="32"/>
          <w:szCs w:val="32"/>
          <w:lang w:val="en-US" w:eastAsia="zh-CN"/>
        </w:rPr>
        <w:t>根据文件要求执行</w:t>
      </w:r>
      <w:r>
        <w:rPr>
          <w:rFonts w:hint="eastAsia" w:ascii="仿宋_GB2312" w:hAnsi="仿宋_GB2312" w:eastAsia="仿宋_GB2312" w:cs="仿宋_GB2312"/>
          <w:sz w:val="32"/>
          <w:szCs w:val="32"/>
          <w:lang w:val="zh-CN"/>
        </w:rPr>
        <w:t>专项资金分配方案，制定项目管理制度，组织项目评审和实施，开展项目验收、绩效评价和监督检查等工作。</w:t>
      </w:r>
    </w:p>
    <w:p>
      <w:pPr>
        <w:spacing w:line="560" w:lineRule="exact"/>
        <w:ind w:firstLine="642" w:firstLineChars="200"/>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（二）</w:t>
      </w:r>
      <w:r>
        <w:rPr>
          <w:rFonts w:hint="eastAsia" w:ascii="方正楷体_GBK" w:hAnsi="方正楷体_GBK" w:eastAsia="方正楷体_GBK" w:cs="方正楷体_GBK"/>
          <w:b/>
          <w:sz w:val="32"/>
          <w:szCs w:val="32"/>
        </w:rPr>
        <w:t>实施目的及支持方向。</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黑水县自然灾害应急资金，保障晴朗乡防汛抢险救灾工作顺利开展，清理泥石流堆积物、清理碎石、维修河堤堡坎，保障道路畅通，保障人民群众生命财产安全。晴朗乡2024年自然灾害应急处置资金10万元，主要用于防汛抢险救灾相关支出。</w:t>
      </w:r>
    </w:p>
    <w:p>
      <w:pPr>
        <w:numPr>
          <w:ilvl w:val="0"/>
          <w:numId w:val="0"/>
        </w:num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（三）</w:t>
      </w:r>
      <w:r>
        <w:rPr>
          <w:rFonts w:hint="eastAsia" w:ascii="方正楷体_GBK" w:hAnsi="方正楷体_GBK" w:eastAsia="方正楷体_GBK" w:cs="方正楷体_GBK"/>
          <w:b/>
          <w:sz w:val="32"/>
          <w:szCs w:val="32"/>
        </w:rPr>
        <w:t>预算安排及分配管理</w:t>
      </w:r>
      <w:r>
        <w:rPr>
          <w:rFonts w:hint="eastAsia" w:ascii="方正楷体_GBK" w:hAnsi="方正楷体_GBK" w:eastAsia="方正楷体_GBK" w:cs="方正楷体_GBK"/>
          <w:b/>
          <w:sz w:val="32"/>
          <w:szCs w:val="32"/>
          <w:lang w:val="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预算申报项目资金为10.00万元，批复金额为10.00万元，实际使用金额10.00万元，项目资金符合资金管理办法等相关规定。资金按批复金额在项目实施前全部到位，与资金计划相契合，资金到位率、到位及时性均为100%，保障项目能够如期开展。资金由乡政府监管，各村结合实际报销。</w:t>
      </w:r>
    </w:p>
    <w:p>
      <w:pPr>
        <w:keepNext w:val="0"/>
        <w:keepLines w:val="0"/>
        <w:pageBreakBefore w:val="0"/>
        <w:numPr>
          <w:ilvl w:val="0"/>
          <w:numId w:val="1"/>
        </w:numPr>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项目绩效目标设置。</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保障工作经费及时到位，</w:t>
      </w:r>
      <w:r>
        <w:rPr>
          <w:rFonts w:hint="eastAsia" w:ascii="仿宋_GB2312" w:hAnsi="仿宋_GB2312" w:eastAsia="仿宋_GB2312" w:cs="仿宋_GB2312"/>
          <w:sz w:val="32"/>
          <w:szCs w:val="32"/>
          <w:lang w:val="zh-CN" w:eastAsia="zh-CN"/>
        </w:rPr>
        <w:t>保障</w:t>
      </w:r>
      <w:r>
        <w:rPr>
          <w:rFonts w:hint="eastAsia" w:ascii="仿宋_GB2312" w:hAnsi="仿宋_GB2312" w:eastAsia="仿宋_GB2312" w:cs="仿宋_GB2312"/>
          <w:sz w:val="32"/>
          <w:szCs w:val="32"/>
          <w:lang w:val="en-US" w:eastAsia="zh-CN"/>
        </w:rPr>
        <w:t>晴朗</w:t>
      </w:r>
      <w:r>
        <w:rPr>
          <w:rFonts w:hint="eastAsia" w:ascii="仿宋_GB2312" w:hAnsi="仿宋_GB2312" w:eastAsia="仿宋_GB2312" w:cs="仿宋_GB2312"/>
          <w:sz w:val="32"/>
          <w:szCs w:val="32"/>
          <w:lang w:val="zh-CN" w:eastAsia="zh-CN"/>
        </w:rPr>
        <w:t>乡</w:t>
      </w:r>
      <w:r>
        <w:rPr>
          <w:rFonts w:hint="eastAsia" w:ascii="仿宋_GB2312" w:hAnsi="仿宋_GB2312" w:eastAsia="仿宋_GB2312" w:cs="仿宋_GB2312"/>
          <w:sz w:val="32"/>
          <w:szCs w:val="32"/>
          <w:lang w:val="en-US" w:eastAsia="zh-CN"/>
        </w:rPr>
        <w:t>工作高效运行</w:t>
      </w:r>
      <w:r>
        <w:rPr>
          <w:rFonts w:hint="eastAsia" w:ascii="仿宋_GB2312" w:hAnsi="仿宋_GB2312" w:eastAsia="仿宋_GB2312" w:cs="仿宋_GB2312"/>
          <w:sz w:val="32"/>
          <w:szCs w:val="32"/>
          <w:lang w:val="zh-CN" w:eastAsia="zh-CN"/>
        </w:rPr>
        <w:t>，充分发挥职工履职积极性，确保工作</w:t>
      </w:r>
      <w:r>
        <w:rPr>
          <w:rFonts w:hint="eastAsia" w:ascii="仿宋_GB2312" w:hAnsi="仿宋_GB2312" w:eastAsia="仿宋_GB2312" w:cs="仿宋_GB2312"/>
          <w:sz w:val="32"/>
          <w:szCs w:val="32"/>
          <w:lang w:val="en-US" w:eastAsia="zh-CN"/>
        </w:rPr>
        <w:t>成效</w:t>
      </w:r>
      <w:r>
        <w:rPr>
          <w:rFonts w:hint="eastAsia" w:ascii="仿宋_GB2312" w:hAnsi="仿宋_GB2312" w:eastAsia="仿宋_GB2312" w:cs="仿宋_GB2312"/>
          <w:sz w:val="32"/>
          <w:szCs w:val="32"/>
          <w:lang w:val="zh-CN" w:eastAsia="zh-CN"/>
        </w:rPr>
        <w:t>不断提升。</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二、评价实施</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（一）评价目的。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对预算资金的投入、过程、产出、效果四个方面进行绩效评价，反映项目规范性、绩效目标设立的合理性和科学性、资金到位、支出情况，形成真实完整数据准确、分析透彻、逻辑清晰、客观公正的绩效评价结论为项目后续资金投入、分配和管理提供决策依据；同时作为以后年度晴朗乡编制预算和安排财政项目资金的重要依据逐步树立以结果为导向、讲求绩效的观念。</w:t>
      </w:r>
    </w:p>
    <w:p>
      <w:pPr>
        <w:pStyle w:val="2"/>
        <w:keepNext w:val="0"/>
        <w:keepLines w:val="0"/>
        <w:pageBreakBefore w:val="0"/>
        <w:kinsoku/>
        <w:wordWrap/>
        <w:overflowPunct/>
        <w:topLinePunct w:val="0"/>
        <w:bidi w:val="0"/>
        <w:spacing w:line="560" w:lineRule="exact"/>
        <w:ind w:left="0" w:leftChars="0"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（二）预设问题及评价重点。</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本次评价主要针对该项目的规划编制的内容完整性和项目实施工作的质量问题，结合该项目资金的使用情况来完整地体现。</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仿宋_GB2312" w:hAnsi="仿宋_GB2312" w:eastAsia="仿宋_GB2312" w:cs="仿宋_GB2312"/>
          <w:b/>
          <w:sz w:val="32"/>
          <w:szCs w:val="32"/>
          <w:lang w:val="zh-CN"/>
        </w:rPr>
      </w:pPr>
      <w:r>
        <w:rPr>
          <w:rFonts w:hint="eastAsia" w:ascii="方正楷体_GBK" w:hAnsi="方正楷体_GBK" w:eastAsia="方正楷体_GBK" w:cs="方正楷体_GBK"/>
          <w:b/>
          <w:sz w:val="32"/>
          <w:szCs w:val="32"/>
          <w:lang w:val="zh-CN"/>
        </w:rPr>
        <w:t>（三）评价选点。</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晴朗乡2024年</w:t>
      </w:r>
      <w:r>
        <w:rPr>
          <w:rFonts w:hint="eastAsia" w:ascii="仿宋_GB2312" w:hAnsi="仿宋_GB2312" w:eastAsia="仿宋_GB2312" w:cs="仿宋_GB2312"/>
          <w:sz w:val="32"/>
          <w:szCs w:val="32"/>
          <w:lang w:val="zh-CN" w:eastAsia="zh-CN"/>
        </w:rPr>
        <w:t>自然灾害应急资金</w:t>
      </w:r>
      <w:r>
        <w:rPr>
          <w:rFonts w:hint="eastAsia" w:ascii="仿宋_GB2312" w:hAnsi="仿宋_GB2312" w:eastAsia="仿宋_GB2312" w:cs="仿宋_GB2312"/>
          <w:sz w:val="32"/>
          <w:szCs w:val="32"/>
          <w:lang w:val="zh-CN"/>
        </w:rPr>
        <w:t>项目主要开展地点为</w:t>
      </w:r>
      <w:r>
        <w:rPr>
          <w:rFonts w:hint="eastAsia" w:ascii="仿宋_GB2312" w:hAnsi="仿宋_GB2312" w:eastAsia="仿宋_GB2312" w:cs="仿宋_GB2312"/>
          <w:sz w:val="32"/>
          <w:szCs w:val="32"/>
          <w:lang w:val="zh-CN" w:eastAsia="zh-CN"/>
        </w:rPr>
        <w:t>黑水</w:t>
      </w:r>
      <w:r>
        <w:rPr>
          <w:rFonts w:hint="eastAsia" w:ascii="仿宋_GB2312" w:hAnsi="仿宋_GB2312" w:eastAsia="仿宋_GB2312" w:cs="仿宋_GB2312"/>
          <w:sz w:val="32"/>
          <w:szCs w:val="32"/>
          <w:lang w:val="zh-CN"/>
        </w:rPr>
        <w:t>县</w:t>
      </w:r>
      <w:r>
        <w:rPr>
          <w:rFonts w:hint="eastAsia" w:ascii="仿宋_GB2312" w:hAnsi="仿宋_GB2312" w:eastAsia="仿宋_GB2312" w:cs="仿宋_GB2312"/>
          <w:sz w:val="32"/>
          <w:szCs w:val="32"/>
          <w:lang w:val="en-US" w:eastAsia="zh-CN"/>
        </w:rPr>
        <w:t>晴朗乡</w:t>
      </w:r>
      <w:r>
        <w:rPr>
          <w:rFonts w:hint="eastAsia" w:ascii="仿宋_GB2312" w:hAnsi="仿宋_GB2312" w:eastAsia="仿宋_GB2312" w:cs="仿宋_GB2312"/>
          <w:sz w:val="32"/>
          <w:szCs w:val="32"/>
          <w:lang w:val="zh-CN"/>
        </w:rPr>
        <w:t>，本次绩效评价主体为</w:t>
      </w:r>
      <w:r>
        <w:rPr>
          <w:rFonts w:hint="eastAsia" w:ascii="仿宋_GB2312" w:hAnsi="仿宋_GB2312" w:eastAsia="仿宋_GB2312" w:cs="仿宋_GB2312"/>
          <w:sz w:val="32"/>
          <w:szCs w:val="32"/>
          <w:lang w:val="en-US" w:eastAsia="zh-CN"/>
        </w:rPr>
        <w:t>黑水县晴朗乡人民政府</w:t>
      </w:r>
      <w:r>
        <w:rPr>
          <w:rFonts w:hint="eastAsia" w:ascii="仿宋_GB2312" w:hAnsi="仿宋_GB2312" w:eastAsia="仿宋_GB2312" w:cs="仿宋_GB2312"/>
          <w:sz w:val="32"/>
          <w:szCs w:val="32"/>
          <w:lang w:val="zh-CN"/>
        </w:rPr>
        <w:t>，项目不</w:t>
      </w:r>
      <w:r>
        <w:rPr>
          <w:rFonts w:hint="eastAsia" w:ascii="仿宋_GB2312" w:hAnsi="仿宋_GB2312" w:eastAsia="仿宋_GB2312" w:cs="仿宋_GB2312"/>
          <w:sz w:val="32"/>
          <w:szCs w:val="32"/>
          <w:lang w:val="zh-CN" w:eastAsia="zh-CN"/>
        </w:rPr>
        <w:t>涉及其他单位</w:t>
      </w:r>
      <w:r>
        <w:rPr>
          <w:rFonts w:hint="eastAsia" w:ascii="仿宋_GB2312" w:hAnsi="仿宋_GB2312" w:eastAsia="仿宋_GB2312" w:cs="仿宋_GB2312"/>
          <w:sz w:val="32"/>
          <w:szCs w:val="32"/>
          <w:lang w:val="zh-CN"/>
        </w:rPr>
        <w:t>。</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（四）</w:t>
      </w:r>
      <w:r>
        <w:rPr>
          <w:rFonts w:hint="eastAsia" w:ascii="方正楷体_GBK" w:hAnsi="方正楷体_GBK" w:eastAsia="方正楷体_GBK" w:cs="方正楷体_GBK"/>
          <w:b/>
          <w:sz w:val="32"/>
          <w:szCs w:val="32"/>
          <w:lang w:val="zh-CN"/>
        </w:rPr>
        <w:t>评价方法。</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采用先进的绩效评价方法和科学的数据分析是取得正确客观评价结论的重要保障，结合</w:t>
      </w:r>
      <w:r>
        <w:rPr>
          <w:rFonts w:hint="eastAsia" w:ascii="仿宋_GB2312" w:hAnsi="仿宋_GB2312" w:eastAsia="仿宋_GB2312" w:cs="仿宋_GB2312"/>
          <w:sz w:val="32"/>
          <w:szCs w:val="32"/>
          <w:lang w:val="en-US" w:eastAsia="zh-CN"/>
        </w:rPr>
        <w:t>晴朗乡2024年自然灾害应急资金经费和专项工作经费项目</w:t>
      </w:r>
      <w:r>
        <w:rPr>
          <w:rFonts w:hint="eastAsia" w:ascii="仿宋_GB2312" w:hAnsi="仿宋_GB2312" w:eastAsia="仿宋_GB2312" w:cs="仿宋_GB2312"/>
          <w:sz w:val="32"/>
          <w:szCs w:val="32"/>
          <w:lang w:val="zh-CN"/>
        </w:rPr>
        <w:t>的特点，经与评价组织沟通后采取以下绩效评价方法：</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1.公众评判法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晴朗乡2024年自然灾害应急资金经费</w:t>
      </w:r>
      <w:r>
        <w:rPr>
          <w:rFonts w:hint="eastAsia" w:ascii="仿宋_GB2312" w:hAnsi="仿宋_GB2312" w:eastAsia="仿宋_GB2312" w:cs="仿宋_GB2312"/>
          <w:sz w:val="32"/>
          <w:szCs w:val="32"/>
          <w:lang w:val="zh-CN" w:eastAsia="zh-CN"/>
        </w:rPr>
        <w:t>具有较为清晰的服务群体，且该项目绩效状况的优劣，很大程度上体现在</w:t>
      </w:r>
      <w:r>
        <w:rPr>
          <w:rFonts w:hint="eastAsia" w:ascii="仿宋_GB2312" w:hAnsi="仿宋_GB2312" w:eastAsia="仿宋_GB2312" w:cs="仿宋_GB2312"/>
          <w:sz w:val="32"/>
          <w:szCs w:val="32"/>
          <w:lang w:val="en-US" w:eastAsia="zh-CN"/>
        </w:rPr>
        <w:t>晴朗乡2024年自然灾害应急资金经费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晴朗乡2024年自然灾害应急资金经费</w:t>
      </w:r>
      <w:r>
        <w:rPr>
          <w:rFonts w:hint="eastAsia" w:ascii="仿宋_GB2312" w:hAnsi="仿宋_GB2312" w:eastAsia="仿宋_GB2312" w:cs="仿宋_GB2312"/>
          <w:sz w:val="32"/>
          <w:szCs w:val="32"/>
          <w:lang w:val="zh-CN" w:eastAsia="zh-CN"/>
        </w:rPr>
        <w:t>覆盖率。为此，与该项目评价的具体指标相对应，按照一定比例，以电</w:t>
      </w:r>
      <w:r>
        <w:rPr>
          <w:rFonts w:hint="eastAsia" w:ascii="仿宋_GB2312" w:hAnsi="仿宋_GB2312" w:eastAsia="仿宋_GB2312" w:cs="仿宋_GB2312"/>
          <w:sz w:val="32"/>
          <w:szCs w:val="32"/>
          <w:lang w:val="en-US" w:eastAsia="zh-CN"/>
        </w:rPr>
        <w:t>话</w:t>
      </w:r>
      <w:r>
        <w:rPr>
          <w:rFonts w:hint="eastAsia" w:ascii="仿宋_GB2312" w:hAnsi="仿宋_GB2312" w:eastAsia="仿宋_GB2312" w:cs="仿宋_GB2312"/>
          <w:sz w:val="32"/>
          <w:szCs w:val="32"/>
          <w:lang w:val="zh-CN" w:eastAsia="zh-CN"/>
        </w:rPr>
        <w:t>询问等方式进行调查，收集、分析所取得的样本数据，从而推断确定目标群体的满意度，进而评价满意度指标。</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2.成本效益分析法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本项目将资金投入与</w:t>
      </w:r>
      <w:r>
        <w:rPr>
          <w:rFonts w:hint="eastAsia" w:ascii="仿宋_GB2312" w:hAnsi="仿宋_GB2312" w:eastAsia="仿宋_GB2312" w:cs="仿宋_GB2312"/>
          <w:sz w:val="32"/>
          <w:szCs w:val="32"/>
          <w:lang w:val="en-US" w:eastAsia="zh-CN"/>
        </w:rPr>
        <w:t>晴朗乡2024年自然灾害应急资金经费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晴朗乡2024年自然灾害应急资金经费</w:t>
      </w:r>
      <w:r>
        <w:rPr>
          <w:rFonts w:hint="eastAsia" w:ascii="仿宋_GB2312" w:hAnsi="仿宋_GB2312" w:eastAsia="仿宋_GB2312" w:cs="仿宋_GB2312"/>
          <w:sz w:val="32"/>
          <w:szCs w:val="32"/>
          <w:lang w:val="zh-CN" w:eastAsia="zh-CN"/>
        </w:rPr>
        <w:t>覆盖率、补助标准等进行关联性分析。</w:t>
      </w:r>
    </w:p>
    <w:p>
      <w:pPr>
        <w:pStyle w:val="4"/>
        <w:keepNext w:val="0"/>
        <w:keepLines w:val="0"/>
        <w:pageBreakBefore w:val="0"/>
        <w:kinsoku/>
        <w:wordWrap/>
        <w:overflowPunct/>
        <w:topLinePunct w:val="0"/>
        <w:bidi w:val="0"/>
        <w:spacing w:line="560" w:lineRule="exact"/>
        <w:ind w:firstLine="600"/>
        <w:textAlignment w:val="auto"/>
        <w:rPr>
          <w:rFonts w:hint="eastAsia" w:ascii="方正楷体_GBK" w:hAnsi="方正楷体_GBK" w:eastAsia="方正楷体_GBK" w:cs="方正楷体_GBK"/>
          <w:b/>
          <w:bCs w:val="0"/>
          <w:sz w:val="32"/>
          <w:szCs w:val="32"/>
        </w:rPr>
      </w:pPr>
      <w:r>
        <w:rPr>
          <w:rFonts w:hint="eastAsia" w:ascii="方正楷体_GBK" w:hAnsi="方正楷体_GBK" w:eastAsia="方正楷体_GBK" w:cs="方正楷体_GBK"/>
          <w:b/>
          <w:bCs w:val="0"/>
          <w:sz w:val="32"/>
          <w:szCs w:val="32"/>
          <w:lang w:val="zh-CN"/>
        </w:rPr>
        <w:t>（五）评价组织。</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1.领导小组职责：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（1）研究和决定单位管理绩效评价中的重大问题。</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（2）组织协调绩效评价工作，确保评价的顺利进行。</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（3）对工作目标、绩效考核结果和等次、奖惩方案进行审核，并报乡党委和政府审定。</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2.办公室职责：</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（1）提出政府绩效评价的工作方案，并负责具体组织实施。</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（2）综合评价信息，提出评价结果等次认定方案及奖惩方案等。</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（3）负责绩效评价的日常工作，包括宣传、沟通、协调等。</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（4）根据评价结果撰写绩效评价报告，并递交给领导小组。</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3.具体执行人员职责：</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（1）组长：审批绩效自评方案，监督、检查、核实绩效自评结果。</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三、绩效分析</w:t>
      </w:r>
      <w:r>
        <w:rPr>
          <w:rFonts w:hint="eastAsia" w:ascii="黑体" w:hAnsi="黑体" w:eastAsia="黑体" w:cs="黑体"/>
          <w:sz w:val="32"/>
          <w:szCs w:val="32"/>
          <w:lang w:val="zh-CN"/>
        </w:rPr>
        <w:tab/>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根据项目预算绩效评价指标体系“通用指标”“专用指标”“个性指标”涉及二、三级指标进行逐项绩效分析并评分。</w:t>
      </w:r>
    </w:p>
    <w:p>
      <w:pPr>
        <w:keepNext w:val="0"/>
        <w:keepLines w:val="0"/>
        <w:pageBreakBefore w:val="0"/>
        <w:kinsoku/>
        <w:wordWrap/>
        <w:overflowPunct/>
        <w:topLinePunct w:val="0"/>
        <w:bidi w:val="0"/>
        <w:spacing w:line="560" w:lineRule="exact"/>
        <w:ind w:firstLine="640"/>
        <w:textAlignment w:val="auto"/>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（一）</w:t>
      </w:r>
      <w:r>
        <w:rPr>
          <w:rFonts w:hint="eastAsia" w:ascii="方正楷体_GBK" w:hAnsi="方正楷体_GBK" w:eastAsia="方正楷体_GBK" w:cs="方正楷体_GBK"/>
          <w:b/>
          <w:sz w:val="32"/>
          <w:szCs w:val="32"/>
        </w:rPr>
        <w:t>通用指标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项目决策。</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项目决策程序严密</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zh-CN"/>
        </w:rPr>
        <w:t>村干部</w:t>
      </w:r>
      <w:r>
        <w:rPr>
          <w:rFonts w:hint="eastAsia" w:ascii="仿宋_GB2312" w:hAnsi="仿宋_GB2312" w:eastAsia="仿宋_GB2312" w:cs="仿宋_GB2312"/>
          <w:sz w:val="32"/>
          <w:szCs w:val="32"/>
          <w:lang w:val="en-US" w:eastAsia="zh-CN"/>
        </w:rPr>
        <w:t>体检费</w:t>
      </w:r>
      <w:r>
        <w:rPr>
          <w:rFonts w:hint="eastAsia" w:ascii="仿宋_GB2312" w:hAnsi="仿宋_GB2312" w:eastAsia="仿宋_GB2312" w:cs="仿宋_GB2312"/>
          <w:sz w:val="32"/>
          <w:szCs w:val="32"/>
          <w:lang w:val="zh-CN"/>
        </w:rPr>
        <w:t>项目设立、调整延续等方面符合资金管理基本规范和决策程序要求；项目规划符合中央、省委、省政府有关决策部署安排；项目总体绩效目标设置合理，绩效目标科学合理、规范完整、量化细化、预算匹配；该项目属于政府支持范围，且符合财政事权支出责任划分规定，资金投向与项目总体规划、相关行业事业发展相匹配；聚焦重大任务、重点领域、重点环节和重点项目，体现“集中力量办大事”原则；该项目未与其他同类项目或部门内部相关项目交叉重复。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项目管理。</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资金管理办法等管理制度体系健全完善，不存在管理制度缺失、管理办法过期情况；项目资金分配因素选取、权重设置、区域分布，项目管理、审批符合管理要求；管资金、管项目、政策管绩效，项目绩效监管按要求开展，指导有力有效。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项目实施。</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资金财政拨付、单位执行和地方配套到位；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共计得分9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项目结果。</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项目完成预期目标，实施结果与绩效目标相匹配，反映目标实现100%；项目实际完成时间按计划时间完成。共计得分9分。</w:t>
      </w:r>
    </w:p>
    <w:p>
      <w:pPr>
        <w:keepNext w:val="0"/>
        <w:keepLines w:val="0"/>
        <w:pageBreakBefore w:val="0"/>
        <w:numPr>
          <w:ilvl w:val="0"/>
          <w:numId w:val="0"/>
        </w:numPr>
        <w:kinsoku/>
        <w:wordWrap/>
        <w:overflowPunct/>
        <w:topLinePunct w:val="0"/>
        <w:bidi w:val="0"/>
        <w:spacing w:line="560" w:lineRule="exact"/>
        <w:ind w:firstLine="642" w:firstLineChars="20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eastAsia="zh-CN" w:bidi="ar-SA"/>
        </w:rPr>
        <w:t>（二）</w:t>
      </w:r>
      <w:r>
        <w:rPr>
          <w:rFonts w:hint="eastAsia" w:ascii="方正楷体_GBK" w:hAnsi="方正楷体_GBK" w:eastAsia="方正楷体_GBK" w:cs="方正楷体_GBK"/>
          <w:b/>
          <w:sz w:val="32"/>
          <w:szCs w:val="32"/>
        </w:rPr>
        <w:t>专用指标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根据专项预算项目资金支持对象选择所属指标进行绩效分析。支持对象包括产业发展、民生保障、基础设施、行政运转等方面。</w:t>
      </w:r>
      <w:r>
        <w:rPr>
          <w:rFonts w:hint="eastAsia" w:ascii="仿宋_GB2312" w:hAnsi="仿宋_GB2312" w:eastAsia="仿宋_GB2312" w:cs="仿宋_GB2312"/>
          <w:sz w:val="32"/>
          <w:szCs w:val="32"/>
          <w:lang w:val="en-US" w:eastAsia="zh-CN"/>
        </w:rPr>
        <w:t>该项目属</w:t>
      </w:r>
      <w:r>
        <w:rPr>
          <w:rFonts w:hint="eastAsia" w:ascii="仿宋_GB2312" w:hAnsi="仿宋_GB2312" w:eastAsia="仿宋_GB2312" w:cs="仿宋_GB2312"/>
          <w:sz w:val="32"/>
          <w:szCs w:val="32"/>
          <w:lang w:val="zh-CN"/>
        </w:rPr>
        <w:t>民生保障。项目资金分配均衡；资金实际支持对象符合管理要求，符合支持对象范围；资金实际补贴标准符合资金管理办法规定的补助标准并及时按标准兑现；资金涉及相关受益群体、支持对象满意。共计得分30分。</w:t>
      </w:r>
    </w:p>
    <w:p>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sz w:val="32"/>
          <w:szCs w:val="32"/>
          <w:lang w:val="zh-CN"/>
        </w:rPr>
        <w:t>（三）</w:t>
      </w:r>
      <w:r>
        <w:rPr>
          <w:rFonts w:hint="eastAsia" w:ascii="方正楷体_GBK" w:hAnsi="方正楷体_GBK" w:eastAsia="方正楷体_GBK" w:cs="方正楷体_GBK"/>
          <w:b/>
          <w:sz w:val="32"/>
          <w:szCs w:val="32"/>
        </w:rPr>
        <w:t>个性指标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财务管理：</w:t>
      </w:r>
      <w:r>
        <w:rPr>
          <w:rFonts w:hint="eastAsia" w:ascii="仿宋_GB2312" w:hAnsi="仿宋_GB2312" w:eastAsia="仿宋_GB2312" w:cs="仿宋_GB2312"/>
          <w:sz w:val="32"/>
          <w:szCs w:val="32"/>
          <w:lang w:val="en-US" w:eastAsia="zh-CN"/>
        </w:rPr>
        <w:t>该项目财务管理制度健全，资金拨付效率高，财务资料完整。该项目</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预算编制：</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预算编制合理，投</w:t>
      </w:r>
      <w:r>
        <w:rPr>
          <w:rFonts w:hint="eastAsia" w:ascii="仿宋_GB2312" w:hAnsi="仿宋_GB2312" w:eastAsia="仿宋_GB2312" w:cs="仿宋_GB2312"/>
          <w:sz w:val="32"/>
          <w:szCs w:val="32"/>
          <w:lang w:val="en-US" w:eastAsia="zh-CN"/>
        </w:rPr>
        <w:t>资到位及时。</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bCs/>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执行情况：资金已按期拨付，实际执行情况与预算相符，项目实施后已达到预期效果。该项指标得分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按照绩效自评工作要求，秉承客观公正、实事求是的原则开展项目绩效自评工作，经对各类指标进行评分和汇总分析，本项目的绩效评价结果为“优”，综合评分 99分。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kern w:val="2"/>
          <w:position w:val="0"/>
          <w:sz w:val="32"/>
          <w:szCs w:val="32"/>
          <w:lang w:eastAsia="zh-CN"/>
        </w:rPr>
      </w:pPr>
      <w:r>
        <w:rPr>
          <w:rFonts w:hint="eastAsia" w:ascii="仿宋_GB2312" w:hAnsi="仿宋_GB2312" w:eastAsia="仿宋_GB2312" w:cs="仿宋_GB2312"/>
          <w:position w:val="0"/>
          <w:sz w:val="32"/>
          <w:szCs w:val="32"/>
          <w:lang w:eastAsia="zh-CN"/>
        </w:rPr>
        <w:t>无。</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tabs>
          <w:tab w:val="left" w:pos="1911"/>
        </w:tabs>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kern w:val="0"/>
          <w:sz w:val="32"/>
          <w:szCs w:val="32"/>
          <w:lang w:eastAsia="zh-CN"/>
        </w:rPr>
      </w:pPr>
      <w:bookmarkStart w:id="0" w:name="_Hlk110546638"/>
      <w:r>
        <w:rPr>
          <w:rFonts w:hint="eastAsia" w:ascii="仿宋_GB2312" w:hAnsi="仿宋_GB2312" w:eastAsia="仿宋_GB2312" w:cs="仿宋_GB2312"/>
          <w:kern w:val="0"/>
          <w:sz w:val="32"/>
          <w:szCs w:val="32"/>
        </w:rPr>
        <w:t>无</w:t>
      </w:r>
      <w:r>
        <w:rPr>
          <w:rFonts w:hint="eastAsia" w:ascii="仿宋_GB2312" w:hAnsi="仿宋_GB2312" w:cs="仿宋_GB2312"/>
          <w:kern w:val="0"/>
          <w:sz w:val="32"/>
          <w:szCs w:val="32"/>
          <w:lang w:eastAsia="zh-CN"/>
        </w:rPr>
        <w:t>。</w:t>
      </w:r>
    </w:p>
    <w:bookmarkEnd w:id="0"/>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附表：1.专项预算绩效自评打分表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2.专项预算绩效自评实地踏勘点位清单表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3.专项预算项目绩效目标完成情况自评表</w:t>
      </w:r>
    </w:p>
    <w:p>
      <w:pPr>
        <w:keepNext w:val="0"/>
        <w:keepLines w:val="0"/>
        <w:pageBreakBefore w:val="0"/>
        <w:kinsoku/>
        <w:wordWrap/>
        <w:overflowPunct/>
        <w:topLinePunct w:val="0"/>
        <w:bidi w:val="0"/>
        <w:spacing w:line="560" w:lineRule="exact"/>
        <w:ind w:firstLine="3840" w:firstLineChars="1200"/>
        <w:textAlignment w:val="auto"/>
        <w:rPr>
          <w:rFonts w:hint="eastAsia" w:ascii="仿宋_GB2312" w:hAnsi="仿宋_GB2312" w:eastAsia="仿宋_GB2312" w:cs="仿宋_GB2312"/>
          <w:sz w:val="32"/>
          <w:szCs w:val="32"/>
          <w:lang w:val="zh-CN"/>
        </w:rPr>
      </w:pPr>
    </w:p>
    <w:p>
      <w:pPr>
        <w:ind w:firstLine="3570" w:firstLineChars="1700"/>
        <w:rPr>
          <w:lang w:val="zh-CN"/>
        </w:rPr>
      </w:pPr>
      <w:r>
        <w:rPr>
          <w:rFonts w:hint="eastAsia"/>
          <w:lang w:val="zh-CN"/>
        </w:rPr>
        <w:t>黑水县晴朗乡人民政府</w:t>
      </w:r>
    </w:p>
    <w:p>
      <w:pPr>
        <w:ind w:firstLine="3990" w:firstLineChars="1900"/>
        <w:rPr>
          <w:lang w:val="zh-CN"/>
        </w:rPr>
      </w:pPr>
      <w:r>
        <w:rPr>
          <w:rFonts w:hint="eastAsia"/>
          <w:lang w:val="zh-CN"/>
        </w:rPr>
        <w:t>2025年4月</w:t>
      </w:r>
      <w:r>
        <w:rPr>
          <w:rFonts w:hint="eastAsia"/>
          <w:lang w:val="en-US" w:eastAsia="zh-CN"/>
        </w:rPr>
        <w:t>3</w:t>
      </w:r>
      <w:r>
        <w:rPr>
          <w:rFonts w:hint="eastAsia"/>
          <w:lang w:val="zh-CN"/>
        </w:rPr>
        <w:t>0日</w:t>
      </w:r>
    </w:p>
    <w:p>
      <w:pPr>
        <w:snapToGrid w:val="0"/>
        <w:spacing w:line="578" w:lineRule="exact"/>
        <w:rPr>
          <w:rFonts w:eastAsia="黑体"/>
          <w:kern w:val="0"/>
          <w:shd w:val="clear" w:color="auto" w:fill="FFFFFF"/>
        </w:rPr>
      </w:pPr>
      <w:r>
        <w:rPr>
          <w:rFonts w:eastAsia="黑体"/>
          <w:kern w:val="0"/>
          <w:shd w:val="clear" w:color="auto" w:fill="FFFFFF"/>
          <w:lang w:val="zh-CN"/>
        </w:rPr>
        <w:t>附表</w:t>
      </w:r>
      <w:r>
        <w:rPr>
          <w:rFonts w:eastAsia="黑体"/>
          <w:kern w:val="0"/>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tblPrEx>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w:t>
            </w:r>
            <w:r>
              <w:rPr>
                <w:rFonts w:hint="eastAsia" w:ascii="宋体" w:hAnsi="宋体" w:cs="宋体"/>
                <w:color w:val="000000"/>
                <w:kern w:val="0"/>
                <w:sz w:val="24"/>
                <w:szCs w:val="24"/>
                <w:lang w:eastAsia="zh-CN" w:bidi="ar"/>
              </w:rPr>
              <w:t>中央、省委</w:t>
            </w:r>
            <w:r>
              <w:rPr>
                <w:rFonts w:hint="eastAsia" w:ascii="宋体" w:hAnsi="宋体" w:eastAsia="宋体" w:cs="宋体"/>
                <w:color w:val="000000"/>
                <w:kern w:val="0"/>
                <w:sz w:val="24"/>
                <w:szCs w:val="24"/>
                <w:lang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w:t>
            </w:r>
            <w:r>
              <w:rPr>
                <w:rFonts w:hint="eastAsia" w:ascii="宋体" w:hAnsi="宋体" w:cs="宋体"/>
                <w:color w:val="000000"/>
                <w:kern w:val="0"/>
                <w:sz w:val="24"/>
                <w:szCs w:val="24"/>
                <w:lang w:eastAsia="zh-CN" w:bidi="ar"/>
              </w:rPr>
              <w:t>省委、省政府</w:t>
            </w:r>
            <w:r>
              <w:rPr>
                <w:rFonts w:hint="eastAsia" w:ascii="宋体" w:hAnsi="宋体" w:eastAsia="宋体" w:cs="宋体"/>
                <w:color w:val="000000"/>
                <w:kern w:val="0"/>
                <w:sz w:val="24"/>
                <w:szCs w:val="24"/>
                <w:lang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2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357"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财务管理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财务管理不符合专项资金管理要求。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预算编制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预算编制不符合专项资金管理要求。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执行情况</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资金执行不符合专项资金管理要求。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spacing w:line="578" w:lineRule="exact"/>
      </w:pPr>
      <w:r>
        <w:rPr>
          <w:rFonts w:eastAsia="黑体"/>
          <w:kern w:val="0"/>
          <w:shd w:val="clear" w:color="auto" w:fill="FFFFFF"/>
          <w:lang w:val="zh-CN"/>
        </w:rPr>
        <w:br w:type="page"/>
      </w:r>
      <w:r>
        <w:rPr>
          <w:rFonts w:eastAsia="黑体"/>
          <w:kern w:val="0"/>
          <w:shd w:val="clear" w:color="auto" w:fill="FFFFFF"/>
          <w:lang w:val="zh-CN"/>
        </w:rPr>
        <w:t>附表</w:t>
      </w:r>
      <w:r>
        <w:rPr>
          <w:rFonts w:hint="eastAsia"/>
          <w:kern w:val="0"/>
          <w:shd w:val="clear" w:color="auto" w:fill="FFFFFF"/>
        </w:rPr>
        <w:t>2</w:t>
      </w:r>
    </w:p>
    <w:p>
      <w:pPr>
        <w:spacing w:line="578" w:lineRule="exact"/>
        <w:jc w:val="center"/>
        <w:rPr>
          <w:rFonts w:eastAsia="方正小标宋_GBK"/>
          <w:sz w:val="40"/>
          <w:szCs w:val="40"/>
        </w:rPr>
      </w:pPr>
      <w:r>
        <w:rPr>
          <w:rFonts w:eastAsia="方正小标宋_GBK"/>
          <w:sz w:val="40"/>
          <w:szCs w:val="40"/>
        </w:rPr>
        <w:t>专项预算绩效自评实地踏勘点位清单表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黑体"/>
                <w:sz w:val="24"/>
                <w:szCs w:val="24"/>
              </w:rPr>
            </w:pPr>
            <w:r>
              <w:rPr>
                <w:rFonts w:eastAsia="黑体"/>
                <w:sz w:val="24"/>
                <w:szCs w:val="24"/>
              </w:rPr>
              <w:t>序号</w:t>
            </w:r>
          </w:p>
        </w:tc>
        <w:tc>
          <w:tcPr>
            <w:tcW w:w="5956" w:type="dxa"/>
            <w:noWrap w:val="0"/>
            <w:vAlign w:val="top"/>
          </w:tcPr>
          <w:p>
            <w:pPr>
              <w:spacing w:line="300" w:lineRule="exact"/>
              <w:jc w:val="center"/>
              <w:rPr>
                <w:rFonts w:eastAsia="黑体"/>
                <w:sz w:val="24"/>
                <w:szCs w:val="24"/>
                <w:lang w:val="en"/>
              </w:rPr>
            </w:pPr>
            <w:r>
              <w:rPr>
                <w:rFonts w:eastAsia="黑体"/>
                <w:sz w:val="24"/>
                <w:szCs w:val="24"/>
              </w:rPr>
              <w:t>实地踏勘点位</w:t>
            </w:r>
          </w:p>
        </w:tc>
        <w:tc>
          <w:tcPr>
            <w:tcW w:w="905" w:type="dxa"/>
            <w:noWrap w:val="0"/>
            <w:vAlign w:val="top"/>
          </w:tcPr>
          <w:p>
            <w:pPr>
              <w:spacing w:line="300" w:lineRule="exact"/>
              <w:jc w:val="center"/>
              <w:rPr>
                <w:rFonts w:eastAsia="黑体"/>
                <w:sz w:val="24"/>
                <w:szCs w:val="24"/>
              </w:rPr>
            </w:pPr>
            <w:r>
              <w:rPr>
                <w:rFonts w:eastAsia="黑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w:t>
            </w:r>
          </w:p>
        </w:tc>
        <w:tc>
          <w:tcPr>
            <w:tcW w:w="5956" w:type="dxa"/>
            <w:noWrap w:val="0"/>
            <w:vAlign w:val="top"/>
          </w:tcPr>
          <w:p>
            <w:pPr>
              <w:spacing w:line="300" w:lineRule="exact"/>
              <w:jc w:val="center"/>
              <w:rPr>
                <w:rFonts w:hint="default" w:eastAsia="仿宋_GB2312"/>
                <w:sz w:val="24"/>
                <w:szCs w:val="24"/>
                <w:lang w:val="en-US" w:eastAsia="zh-CN"/>
              </w:rPr>
            </w:pPr>
            <w:r>
              <w:rPr>
                <w:rFonts w:hint="eastAsia"/>
                <w:sz w:val="24"/>
                <w:szCs w:val="24"/>
                <w:lang w:val="en-US" w:eastAsia="zh-CN"/>
              </w:rPr>
              <w:t>黑水县晴朗乡人民政府</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8</w:t>
            </w:r>
          </w:p>
        </w:tc>
        <w:tc>
          <w:tcPr>
            <w:tcW w:w="5956" w:type="dxa"/>
            <w:noWrap w:val="0"/>
            <w:vAlign w:val="top"/>
          </w:tcPr>
          <w:p>
            <w:pPr>
              <w:spacing w:line="300" w:lineRule="exact"/>
              <w:jc w:val="center"/>
              <w:rPr>
                <w:sz w:val="24"/>
                <w:szCs w:val="24"/>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9</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10</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11</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18</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19</w:t>
            </w:r>
          </w:p>
        </w:tc>
        <w:tc>
          <w:tcPr>
            <w:tcW w:w="5956" w:type="dxa"/>
            <w:noWrap w:val="0"/>
            <w:vAlign w:val="top"/>
          </w:tcPr>
          <w:p>
            <w:pPr>
              <w:spacing w:line="300" w:lineRule="exact"/>
              <w:jc w:val="center"/>
              <w:rPr>
                <w:sz w:val="24"/>
                <w:szCs w:val="24"/>
                <w:lang w:val="en"/>
              </w:rPr>
            </w:pPr>
            <w:r>
              <w:rPr>
                <w:rFonts w:hint="eastAsia"/>
                <w:sz w:val="24"/>
                <w:szCs w:val="24"/>
                <w:lang w:val="en"/>
              </w:rPr>
              <w:t>……</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20</w:t>
            </w:r>
          </w:p>
        </w:tc>
        <w:tc>
          <w:tcPr>
            <w:tcW w:w="5956" w:type="dxa"/>
            <w:noWrap w:val="0"/>
            <w:vAlign w:val="top"/>
          </w:tcPr>
          <w:p>
            <w:pPr>
              <w:spacing w:line="300" w:lineRule="exact"/>
              <w:rPr>
                <w:sz w:val="24"/>
                <w:szCs w:val="24"/>
                <w:lang w:val="en"/>
              </w:rPr>
            </w:pPr>
          </w:p>
        </w:tc>
        <w:tc>
          <w:tcPr>
            <w:tcW w:w="905" w:type="dxa"/>
            <w:noWrap w:val="0"/>
            <w:vAlign w:val="top"/>
          </w:tcPr>
          <w:p>
            <w:pPr>
              <w:spacing w:line="300" w:lineRule="exact"/>
              <w:rPr>
                <w:sz w:val="24"/>
                <w:szCs w:val="24"/>
              </w:rPr>
            </w:pPr>
          </w:p>
        </w:tc>
      </w:tr>
    </w:tbl>
    <w:p>
      <w:pPr>
        <w:spacing w:line="400" w:lineRule="exact"/>
        <w:jc w:val="center"/>
        <w:rPr>
          <w:rFonts w:eastAsia="宋体"/>
          <w:sz w:val="21"/>
          <w:szCs w:val="21"/>
        </w:rPr>
      </w:pPr>
      <w:r>
        <w:rPr>
          <w:rFonts w:eastAsia="宋体"/>
          <w:sz w:val="21"/>
          <w:szCs w:val="21"/>
        </w:rPr>
        <w:t>备注：项目</w:t>
      </w:r>
      <w:r>
        <w:rPr>
          <w:rFonts w:hint="eastAsia" w:eastAsia="宋体"/>
          <w:sz w:val="21"/>
          <w:szCs w:val="21"/>
        </w:rPr>
        <w:t>实地踏勘</w:t>
      </w:r>
      <w:r>
        <w:rPr>
          <w:rFonts w:eastAsia="宋体"/>
          <w:sz w:val="21"/>
          <w:szCs w:val="21"/>
        </w:rPr>
        <w:t>点位包括市（州）本级、县（市、区）</w:t>
      </w:r>
      <w:r>
        <w:rPr>
          <w:rFonts w:hint="eastAsia" w:eastAsia="宋体"/>
          <w:sz w:val="21"/>
          <w:szCs w:val="21"/>
        </w:rPr>
        <w:t>本级及有关项目、单位、公司</w:t>
      </w:r>
      <w:r>
        <w:rPr>
          <w:rFonts w:eastAsia="宋体"/>
          <w:sz w:val="21"/>
          <w:szCs w:val="21"/>
        </w:rPr>
        <w:t>等。</w:t>
      </w:r>
    </w:p>
    <w:p>
      <w:pPr>
        <w:snapToGrid w:val="0"/>
        <w:spacing w:line="578" w:lineRule="exact"/>
        <w:rPr>
          <w:rFonts w:eastAsia="黑体"/>
          <w:kern w:val="0"/>
          <w:shd w:val="clear" w:color="auto" w:fill="FFFFFF"/>
          <w:lang w:val="zh-CN"/>
        </w:rPr>
      </w:pPr>
    </w:p>
    <w:p>
      <w:pPr>
        <w:snapToGrid w:val="0"/>
        <w:spacing w:line="578" w:lineRule="exact"/>
        <w:rPr>
          <w:rFonts w:eastAsia="黑体"/>
          <w:kern w:val="0"/>
          <w:shd w:val="clear" w:color="auto" w:fill="FFFFFF"/>
        </w:rPr>
      </w:pPr>
      <w:r>
        <w:rPr>
          <w:rFonts w:eastAsia="黑体"/>
          <w:kern w:val="0"/>
          <w:shd w:val="clear" w:color="auto" w:fill="FFFFFF"/>
          <w:lang w:val="zh-CN"/>
        </w:rPr>
        <w:br w:type="page"/>
      </w:r>
      <w:r>
        <w:rPr>
          <w:rFonts w:eastAsia="黑体"/>
          <w:kern w:val="0"/>
          <w:shd w:val="clear" w:color="auto" w:fill="FFFFFF"/>
          <w:lang w:val="zh-CN"/>
        </w:rPr>
        <w:t>附表</w:t>
      </w:r>
      <w:r>
        <w:rPr>
          <w:rFonts w:hint="eastAsia" w:eastAsia="黑体"/>
          <w:kern w:val="0"/>
          <w:shd w:val="clear" w:color="auto" w:fill="FFFFFF"/>
        </w:rPr>
        <w:t>3</w:t>
      </w:r>
    </w:p>
    <w:tbl>
      <w:tblPr>
        <w:tblStyle w:val="10"/>
        <w:tblW w:w="10233" w:type="dxa"/>
        <w:jc w:val="center"/>
        <w:tblLayout w:type="fixed"/>
        <w:tblCellMar>
          <w:top w:w="15" w:type="dxa"/>
          <w:left w:w="15" w:type="dxa"/>
          <w:bottom w:w="15" w:type="dxa"/>
          <w:right w:w="15" w:type="dxa"/>
        </w:tblCellMar>
      </w:tblPr>
      <w:tblGrid>
        <w:gridCol w:w="500"/>
        <w:gridCol w:w="1490"/>
        <w:gridCol w:w="1283"/>
        <w:gridCol w:w="1641"/>
        <w:gridCol w:w="380"/>
        <w:gridCol w:w="1219"/>
        <w:gridCol w:w="381"/>
        <w:gridCol w:w="793"/>
        <w:gridCol w:w="369"/>
        <w:gridCol w:w="326"/>
        <w:gridCol w:w="1851"/>
      </w:tblGrid>
      <w:tr>
        <w:tblPrEx>
          <w:tblCellMar>
            <w:top w:w="15" w:type="dxa"/>
            <w:left w:w="15" w:type="dxa"/>
            <w:bottom w:w="15" w:type="dxa"/>
            <w:right w:w="15" w:type="dxa"/>
          </w:tblCellMar>
        </w:tblPrEx>
        <w:trPr>
          <w:trHeight w:val="576" w:hRule="atLeast"/>
          <w:jc w:val="center"/>
        </w:trPr>
        <w:tc>
          <w:tcPr>
            <w:tcW w:w="10233" w:type="dxa"/>
            <w:gridSpan w:val="11"/>
            <w:noWrap w:val="0"/>
            <w:vAlign w:val="center"/>
          </w:tcPr>
          <w:p>
            <w:pPr>
              <w:keepNext w:val="0"/>
              <w:keepLines w:val="0"/>
              <w:widowControl/>
              <w:suppressLineNumbers w:val="0"/>
              <w:jc w:val="center"/>
              <w:textAlignment w:val="center"/>
              <w:rPr>
                <w:rFonts w:eastAsia="黑体"/>
                <w:color w:val="000000"/>
                <w:sz w:val="30"/>
                <w:szCs w:val="30"/>
              </w:rPr>
            </w:pPr>
            <w:r>
              <w:rPr>
                <w:rFonts w:hint="default" w:ascii="黑体" w:hAnsi="宋体" w:eastAsia="黑体" w:cs="黑体"/>
                <w:b/>
                <w:bCs/>
                <w:i w:val="0"/>
                <w:iCs w:val="0"/>
                <w:color w:val="000000"/>
                <w:kern w:val="0"/>
                <w:sz w:val="30"/>
                <w:szCs w:val="30"/>
                <w:u w:val="none"/>
                <w:lang w:val="en-US" w:eastAsia="zh-CN" w:bidi="ar"/>
              </w:rPr>
              <w:t>部门预算项目支出绩效自评表（2024年度）</w:t>
            </w:r>
          </w:p>
        </w:tc>
      </w:tr>
      <w:tr>
        <w:tblPrEx>
          <w:tblCellMar>
            <w:top w:w="15" w:type="dxa"/>
            <w:left w:w="15" w:type="dxa"/>
            <w:bottom w:w="15" w:type="dxa"/>
            <w:right w:w="15" w:type="dxa"/>
          </w:tblCellMar>
        </w:tblPrEx>
        <w:trPr>
          <w:trHeight w:val="23"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项目名称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51322825T000012135360-自然灾害应急资金</w:t>
            </w:r>
          </w:p>
        </w:tc>
      </w:tr>
      <w:tr>
        <w:tblPrEx>
          <w:tblCellMar>
            <w:top w:w="15" w:type="dxa"/>
            <w:left w:w="15" w:type="dxa"/>
            <w:bottom w:w="15" w:type="dxa"/>
            <w:right w:w="15" w:type="dxa"/>
          </w:tblCellMar>
        </w:tblPrEx>
        <w:trPr>
          <w:trHeight w:val="458"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主管部门</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黑水县晴朗乡</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实施单位 （盖章）</w:t>
            </w:r>
          </w:p>
        </w:tc>
        <w:tc>
          <w:tcPr>
            <w:tcW w:w="254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黑水县晴朗乡人民政府（行政及参公）</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项目基本情况</w:t>
            </w: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晴朗乡2024年自然灾害应急处置资金10万元，主要用于防汛抢险救灾相关支出。</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已完成。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2.项目实施内容及过程概述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保障晴朗乡防汛抢险救灾工作顺利开展，清理泥石流堆积物、清理碎石、维修河堤堡坎，保障道路畅通，保障人民群众生命财产安全。</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预算执行情况（10分）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年度预算数（万元）</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调整后预算数</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预算执行数</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预算执行率</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原因</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总额</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10.00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restart"/>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其中：财政资金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财政专户管理资金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单位资金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其他资金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绩效指标（90分）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一级指标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三级指标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产出指标</w:t>
            </w:r>
          </w:p>
        </w:tc>
        <w:tc>
          <w:tcPr>
            <w:tcW w:w="128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维修村道防护栏</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米</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维修河堤堡坎</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立方米</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维修村道堡坎</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9.6</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立方米</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9.6</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608" w:hRule="atLeast"/>
          <w:jc w:val="center"/>
        </w:trPr>
        <w:tc>
          <w:tcPr>
            <w:tcW w:w="50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eastAsia="宋体"/>
                <w:color w:val="000000"/>
                <w:sz w:val="24"/>
                <w:szCs w:val="24"/>
              </w:rPr>
            </w:pPr>
          </w:p>
        </w:tc>
        <w:tc>
          <w:tcPr>
            <w:tcW w:w="1283"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质量指标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防汛抢险覆盖率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283"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经费使用年限</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rPr>
            </w:pPr>
            <w:r>
              <w:rPr>
                <w:rFonts w:ascii="宋体" w:hAnsi="宋体" w:eastAsia="宋体" w:cs="宋体"/>
                <w:i w:val="0"/>
                <w:iCs w:val="0"/>
                <w:color w:val="000000"/>
                <w:kern w:val="0"/>
                <w:sz w:val="18"/>
                <w:szCs w:val="18"/>
                <w:u w:val="none"/>
                <w:lang w:val="en-US" w:eastAsia="zh-CN" w:bidi="ar"/>
              </w:rPr>
              <w:t>1</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年</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效益指标</w:t>
            </w:r>
          </w:p>
        </w:tc>
        <w:tc>
          <w:tcPr>
            <w:tcW w:w="1283" w:type="dxa"/>
            <w:tcBorders>
              <w:top w:val="single" w:color="000000" w:sz="4" w:space="0"/>
              <w:left w:val="single" w:color="auto"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社会效益指标</w:t>
            </w:r>
          </w:p>
        </w:tc>
        <w:tc>
          <w:tcPr>
            <w:tcW w:w="16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保障群众生命财产安全</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98</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28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受益群众满意度</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478"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成本指标</w:t>
            </w:r>
          </w:p>
        </w:tc>
        <w:tc>
          <w:tcPr>
            <w:tcW w:w="128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本年投入总预算</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万元</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6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left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7687" w:type="dxa"/>
            <w:gridSpan w:val="8"/>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合计</w:t>
            </w:r>
          </w:p>
        </w:tc>
        <w:tc>
          <w:tcPr>
            <w:tcW w:w="36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26"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1851" w:type="dxa"/>
            <w:tcBorders>
              <w:left w:val="single" w:color="auto" w:sz="4" w:space="0"/>
              <w:bottom w:val="single" w:color="auto" w:sz="4" w:space="0"/>
              <w:right w:val="single" w:color="auto"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评价结论</w:t>
            </w:r>
          </w:p>
        </w:tc>
        <w:tc>
          <w:tcPr>
            <w:tcW w:w="9733"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pPr>
            <w:r>
              <w:rPr>
                <w:rFonts w:hint="default" w:ascii="微软雅黑" w:hAnsi="微软雅黑" w:eastAsia="微软雅黑" w:cs="微软雅黑"/>
                <w:i/>
                <w:iCs/>
                <w:color w:val="000000"/>
                <w:kern w:val="0"/>
                <w:sz w:val="16"/>
                <w:szCs w:val="16"/>
                <w:u w:val="none"/>
                <w:lang w:val="en-US" w:eastAsia="zh-CN" w:bidi="ar"/>
              </w:rPr>
              <w:t>保障晴朗乡防汛抢险救灾工作顺利开展，清理泥石流堆积物、清理碎石、维修河堤堡坎，保障道路畅通，保障人民群众生命财产安全。</w:t>
            </w:r>
          </w:p>
        </w:tc>
      </w:tr>
      <w:tr>
        <w:tblPrEx>
          <w:tblCellMar>
            <w:top w:w="15" w:type="dxa"/>
            <w:left w:w="15" w:type="dxa"/>
            <w:bottom w:w="15" w:type="dxa"/>
            <w:right w:w="15" w:type="dxa"/>
          </w:tblCellMar>
        </w:tblPrEx>
        <w:trPr>
          <w:trHeight w:val="23" w:hRule="atLeast"/>
          <w:jc w:val="center"/>
        </w:trPr>
        <w:tc>
          <w:tcPr>
            <w:tcW w:w="50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存在问题</w:t>
            </w:r>
          </w:p>
        </w:tc>
        <w:tc>
          <w:tcPr>
            <w:tcW w:w="9733" w:type="dxa"/>
            <w:gridSpan w:val="10"/>
            <w:tcBorders>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pPr>
            <w:r>
              <w:rPr>
                <w:rFonts w:hint="default" w:ascii="微软雅黑" w:hAnsi="微软雅黑" w:eastAsia="微软雅黑" w:cs="微软雅黑"/>
                <w:i/>
                <w:iCs/>
                <w:color w:val="000000"/>
                <w:kern w:val="0"/>
                <w:sz w:val="16"/>
                <w:szCs w:val="16"/>
                <w:u w:val="none"/>
                <w:lang w:val="en-US" w:eastAsia="zh-CN" w:bidi="ar"/>
              </w:rPr>
              <w:t>无</w:t>
            </w:r>
          </w:p>
        </w:tc>
      </w:tr>
    </w:tbl>
    <w:p>
      <w:pP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br w:type="page"/>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黑水县晴朗乡人民政府</w:t>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2024年乡镇避险转移经费专项预算绩效自评报告</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p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（一）设立背景及基本情况。</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根据中央和</w:t>
      </w:r>
      <w:bookmarkStart w:id="1" w:name="_GoBack"/>
      <w:bookmarkEnd w:id="1"/>
      <w:r>
        <w:rPr>
          <w:rFonts w:hint="eastAsia" w:ascii="仿宋_GB2312" w:hAnsi="仿宋_GB2312" w:eastAsia="仿宋_GB2312" w:cs="仿宋_GB2312"/>
          <w:sz w:val="32"/>
          <w:szCs w:val="32"/>
          <w:lang w:val="zh-CN"/>
        </w:rPr>
        <w:t>省、市关于向重点乡村持续选派第一书记和工作队的安排部署，为助力实现巩固拓展脱贫攻坚成果同乡村振兴有效衔接，全面推进乡村振兴，同时把乡村振兴作为培训锻炼干部的广阔舞台，县级财政配套专项资金</w:t>
      </w:r>
      <w:r>
        <w:rPr>
          <w:rFonts w:hint="eastAsia" w:ascii="仿宋_GB2312" w:hAnsi="仿宋_GB2312" w:cs="仿宋_GB2312"/>
          <w:sz w:val="32"/>
          <w:szCs w:val="32"/>
          <w:lang w:val="en-US" w:eastAsia="zh-CN"/>
        </w:rPr>
        <w:t>1.9</w:t>
      </w:r>
      <w:r>
        <w:rPr>
          <w:rFonts w:hint="eastAsia" w:ascii="仿宋_GB2312" w:hAnsi="仿宋_GB2312" w:eastAsia="仿宋_GB2312" w:cs="仿宋_GB2312"/>
          <w:sz w:val="32"/>
          <w:szCs w:val="32"/>
          <w:lang w:val="zh-CN"/>
        </w:rPr>
        <w:t>万元。</w:t>
      </w:r>
      <w:r>
        <w:rPr>
          <w:rFonts w:hint="eastAsia" w:ascii="仿宋_GB2312" w:hAnsi="仿宋_GB2312" w:eastAsia="仿宋_GB2312" w:cs="仿宋_GB2312"/>
          <w:sz w:val="32"/>
          <w:szCs w:val="32"/>
          <w:lang w:val="en-US" w:eastAsia="zh-CN"/>
        </w:rPr>
        <w:t>晴朗乡人民政府</w:t>
      </w:r>
      <w:r>
        <w:rPr>
          <w:rFonts w:hint="eastAsia" w:ascii="仿宋_GB2312" w:hAnsi="仿宋_GB2312" w:eastAsia="仿宋_GB2312" w:cs="仿宋_GB2312"/>
          <w:sz w:val="32"/>
          <w:szCs w:val="32"/>
        </w:rPr>
        <w:t>承担专项资金绩效管理的主体责任，主要负责</w:t>
      </w:r>
      <w:r>
        <w:rPr>
          <w:rFonts w:hint="eastAsia" w:ascii="仿宋_GB2312" w:hAnsi="仿宋_GB2312" w:cs="仿宋_GB2312"/>
          <w:sz w:val="32"/>
          <w:szCs w:val="32"/>
          <w:lang w:val="en-US" w:eastAsia="zh-CN"/>
        </w:rPr>
        <w:t>根据文件要求执行</w:t>
      </w:r>
      <w:r>
        <w:rPr>
          <w:rFonts w:hint="eastAsia" w:ascii="仿宋_GB2312" w:hAnsi="仿宋_GB2312" w:eastAsia="仿宋_GB2312" w:cs="仿宋_GB2312"/>
          <w:sz w:val="32"/>
          <w:szCs w:val="32"/>
        </w:rPr>
        <w:t>专项资金分配方案，制定项目管理制度，组织项目评审和实施，开展项目验收、绩效评价和监督检查等工作。</w:t>
      </w:r>
    </w:p>
    <w:p>
      <w:pPr>
        <w:spacing w:line="560" w:lineRule="exact"/>
        <w:ind w:firstLine="642" w:firstLineChars="200"/>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（二）</w:t>
      </w:r>
      <w:r>
        <w:rPr>
          <w:rFonts w:hint="eastAsia" w:ascii="方正楷体_GBK" w:hAnsi="方正楷体_GBK" w:eastAsia="方正楷体_GBK" w:cs="方正楷体_GBK"/>
          <w:b/>
          <w:sz w:val="32"/>
          <w:szCs w:val="32"/>
        </w:rPr>
        <w:t>实施目的及支持方向。</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用于开展避险转移工作，每转移1人，按20元标准补助</w:t>
      </w:r>
    </w:p>
    <w:p>
      <w:pPr>
        <w:numPr>
          <w:ilvl w:val="0"/>
          <w:numId w:val="0"/>
        </w:num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（三）</w:t>
      </w:r>
      <w:r>
        <w:rPr>
          <w:rFonts w:hint="eastAsia" w:ascii="方正楷体_GBK" w:hAnsi="方正楷体_GBK" w:eastAsia="方正楷体_GBK" w:cs="方正楷体_GBK"/>
          <w:b/>
          <w:sz w:val="32"/>
          <w:szCs w:val="32"/>
        </w:rPr>
        <w:t>预算安排及分配管理</w:t>
      </w:r>
      <w:r>
        <w:rPr>
          <w:rFonts w:hint="eastAsia" w:ascii="方正楷体_GBK" w:hAnsi="方正楷体_GBK" w:eastAsia="方正楷体_GBK" w:cs="方正楷体_GBK"/>
          <w:b/>
          <w:sz w:val="32"/>
          <w:szCs w:val="32"/>
          <w:lang w:val="zh-CN"/>
        </w:rPr>
        <w:t>。</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预算申报项目资金为1.9万元，每人20元，批复金额为1.9万元，实际使用金额1.9万元，项目资金符合资金管理办法等相关规定。资金按批复金额在项目实施前全部到位，与资金计划相契合，资金到位率、到位及时性均为100%，保障项目能够如期开展。资金由乡政府监管，各村结合实际报销。</w:t>
      </w:r>
    </w:p>
    <w:p>
      <w:pPr>
        <w:keepNext w:val="0"/>
        <w:keepLines w:val="0"/>
        <w:pageBreakBefore w:val="0"/>
        <w:numPr>
          <w:ilvl w:val="0"/>
          <w:numId w:val="1"/>
        </w:numPr>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项目绩效目标设置。</w:t>
      </w:r>
    </w:p>
    <w:p>
      <w:pPr>
        <w:keepNext w:val="0"/>
        <w:keepLines w:val="0"/>
        <w:pageBreakBefore w:val="0"/>
        <w:numPr>
          <w:ilvl w:val="0"/>
          <w:numId w:val="0"/>
        </w:numPr>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保障工作经费及时到位，</w:t>
      </w:r>
      <w:r>
        <w:rPr>
          <w:rFonts w:hint="eastAsia" w:ascii="仿宋_GB2312" w:hAnsi="仿宋_GB2312" w:eastAsia="仿宋_GB2312" w:cs="仿宋_GB2312"/>
          <w:sz w:val="32"/>
          <w:szCs w:val="32"/>
          <w:lang w:val="zh-CN" w:eastAsia="zh-CN"/>
        </w:rPr>
        <w:t>保障</w:t>
      </w:r>
      <w:r>
        <w:rPr>
          <w:rFonts w:hint="eastAsia" w:ascii="仿宋_GB2312" w:hAnsi="仿宋_GB2312" w:eastAsia="仿宋_GB2312" w:cs="仿宋_GB2312"/>
          <w:sz w:val="32"/>
          <w:szCs w:val="32"/>
          <w:lang w:val="en-US" w:eastAsia="zh-CN"/>
        </w:rPr>
        <w:t>晴朗</w:t>
      </w:r>
      <w:r>
        <w:rPr>
          <w:rFonts w:hint="eastAsia" w:ascii="仿宋_GB2312" w:hAnsi="仿宋_GB2312" w:eastAsia="仿宋_GB2312" w:cs="仿宋_GB2312"/>
          <w:sz w:val="32"/>
          <w:szCs w:val="32"/>
          <w:lang w:val="zh-CN" w:eastAsia="zh-CN"/>
        </w:rPr>
        <w:t>乡</w:t>
      </w:r>
      <w:r>
        <w:rPr>
          <w:rFonts w:hint="eastAsia" w:ascii="仿宋_GB2312" w:hAnsi="仿宋_GB2312" w:eastAsia="仿宋_GB2312" w:cs="仿宋_GB2312"/>
          <w:sz w:val="32"/>
          <w:szCs w:val="32"/>
          <w:lang w:val="en-US" w:eastAsia="zh-CN"/>
        </w:rPr>
        <w:t>工作高效运行</w:t>
      </w:r>
      <w:r>
        <w:rPr>
          <w:rFonts w:hint="eastAsia" w:ascii="仿宋_GB2312" w:hAnsi="仿宋_GB2312" w:eastAsia="仿宋_GB2312" w:cs="仿宋_GB2312"/>
          <w:sz w:val="32"/>
          <w:szCs w:val="32"/>
          <w:lang w:val="zh-CN" w:eastAsia="zh-CN"/>
        </w:rPr>
        <w:t>，充分发挥职工履职积极性，确保工作</w:t>
      </w:r>
      <w:r>
        <w:rPr>
          <w:rFonts w:hint="eastAsia" w:ascii="仿宋_GB2312" w:hAnsi="仿宋_GB2312" w:eastAsia="仿宋_GB2312" w:cs="仿宋_GB2312"/>
          <w:sz w:val="32"/>
          <w:szCs w:val="32"/>
          <w:lang w:val="en-US" w:eastAsia="zh-CN"/>
        </w:rPr>
        <w:t>成效</w:t>
      </w:r>
      <w:r>
        <w:rPr>
          <w:rFonts w:hint="eastAsia" w:ascii="仿宋_GB2312" w:hAnsi="仿宋_GB2312" w:eastAsia="仿宋_GB2312" w:cs="仿宋_GB2312"/>
          <w:sz w:val="32"/>
          <w:szCs w:val="32"/>
          <w:lang w:val="zh-CN" w:eastAsia="zh-CN"/>
        </w:rPr>
        <w:t>不断提升。</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二、评价实施</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（一）评价目的。</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对预算资金的投入、过程、产出、效果四个方面进行绩效评价，反映项目规范性、绩效目标设立的合理性和科学性、资金到位、支出情况，形成真实完整数据准确、分析透彻、逻辑清晰、客观公正的绩效评价结论为项目后续资金投入、分配和管理提供决策依据；同时作为以后年度晴朗乡编制预算和安排财政项目资金的重要依据逐步树立以结果为导向、讲求绩效的观念。</w:t>
      </w:r>
    </w:p>
    <w:p>
      <w:pPr>
        <w:pStyle w:val="2"/>
        <w:keepNext w:val="0"/>
        <w:keepLines w:val="0"/>
        <w:pageBreakBefore w:val="0"/>
        <w:kinsoku/>
        <w:wordWrap/>
        <w:overflowPunct/>
        <w:topLinePunct w:val="0"/>
        <w:bidi w:val="0"/>
        <w:spacing w:line="560" w:lineRule="exact"/>
        <w:ind w:left="0" w:leftChars="0"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（二）预设问题及评价重点。</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本次评价主要针对该项目的规划编制的内容完整性和项目实施工作的质量问题，结合该项目资金的使用情况来完整地体现。</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仿宋_GB2312" w:hAnsi="仿宋_GB2312" w:eastAsia="仿宋_GB2312" w:cs="仿宋_GB2312"/>
          <w:b/>
          <w:sz w:val="32"/>
          <w:szCs w:val="32"/>
          <w:lang w:val="zh-CN"/>
        </w:rPr>
      </w:pPr>
      <w:r>
        <w:rPr>
          <w:rFonts w:hint="eastAsia" w:ascii="方正楷体_GBK" w:hAnsi="方正楷体_GBK" w:eastAsia="方正楷体_GBK" w:cs="方正楷体_GBK"/>
          <w:b/>
          <w:sz w:val="32"/>
          <w:szCs w:val="32"/>
          <w:lang w:val="zh-CN"/>
        </w:rPr>
        <w:t>（三）评价选点。</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kern w:val="0"/>
          <w:szCs w:val="28"/>
        </w:rPr>
      </w:pPr>
      <w:r>
        <w:rPr>
          <w:rFonts w:hint="eastAsia" w:ascii="仿宋_GB2312" w:hAnsi="仿宋_GB2312" w:eastAsia="仿宋_GB2312" w:cs="仿宋_GB2312"/>
          <w:sz w:val="32"/>
          <w:szCs w:val="32"/>
          <w:lang w:val="en-US" w:eastAsia="zh-CN"/>
        </w:rPr>
        <w:t>晴朗乡2024年乡镇避险转移经费专项工作经费</w:t>
      </w:r>
      <w:r>
        <w:rPr>
          <w:rFonts w:hint="eastAsia" w:ascii="仿宋_GB2312" w:hAnsi="仿宋_GB2312" w:eastAsia="仿宋_GB2312" w:cs="仿宋_GB2312"/>
          <w:sz w:val="32"/>
          <w:szCs w:val="32"/>
          <w:lang w:val="zh-CN" w:eastAsia="zh-CN"/>
        </w:rPr>
        <w:t>项目</w:t>
      </w:r>
      <w:r>
        <w:rPr>
          <w:rFonts w:hint="eastAsia" w:ascii="仿宋_GB2312" w:hAnsi="仿宋_GB2312" w:eastAsia="仿宋_GB2312" w:cs="仿宋_GB2312"/>
          <w:sz w:val="32"/>
          <w:szCs w:val="32"/>
          <w:lang w:val="zh-CN"/>
        </w:rPr>
        <w:t>主要开展地点为</w:t>
      </w:r>
      <w:r>
        <w:rPr>
          <w:rFonts w:hint="eastAsia" w:ascii="仿宋_GB2312" w:hAnsi="仿宋_GB2312" w:eastAsia="仿宋_GB2312" w:cs="仿宋_GB2312"/>
          <w:sz w:val="32"/>
          <w:szCs w:val="32"/>
          <w:lang w:val="zh-CN" w:eastAsia="zh-CN"/>
        </w:rPr>
        <w:t>黑水</w:t>
      </w:r>
      <w:r>
        <w:rPr>
          <w:rFonts w:hint="eastAsia" w:ascii="仿宋_GB2312" w:hAnsi="仿宋_GB2312" w:eastAsia="仿宋_GB2312" w:cs="仿宋_GB2312"/>
          <w:sz w:val="32"/>
          <w:szCs w:val="32"/>
          <w:lang w:val="zh-CN"/>
        </w:rPr>
        <w:t>县</w:t>
      </w:r>
      <w:r>
        <w:rPr>
          <w:rFonts w:hint="eastAsia" w:ascii="仿宋_GB2312" w:hAnsi="仿宋_GB2312" w:eastAsia="仿宋_GB2312" w:cs="仿宋_GB2312"/>
          <w:sz w:val="32"/>
          <w:szCs w:val="32"/>
          <w:lang w:val="en-US" w:eastAsia="zh-CN"/>
        </w:rPr>
        <w:t>晴朗乡</w:t>
      </w:r>
      <w:r>
        <w:rPr>
          <w:rFonts w:hint="eastAsia" w:ascii="仿宋_GB2312" w:hAnsi="仿宋_GB2312" w:eastAsia="仿宋_GB2312" w:cs="仿宋_GB2312"/>
          <w:sz w:val="32"/>
          <w:szCs w:val="32"/>
          <w:lang w:val="zh-CN"/>
        </w:rPr>
        <w:t>，本次绩效评价主体为</w:t>
      </w:r>
      <w:r>
        <w:rPr>
          <w:rFonts w:hint="eastAsia" w:ascii="仿宋_GB2312" w:hAnsi="仿宋_GB2312" w:eastAsia="仿宋_GB2312" w:cs="仿宋_GB2312"/>
          <w:sz w:val="32"/>
          <w:szCs w:val="32"/>
          <w:lang w:val="en-US" w:eastAsia="zh-CN"/>
        </w:rPr>
        <w:t>黑水县晴朗乡人民政府</w:t>
      </w:r>
      <w:r>
        <w:rPr>
          <w:rFonts w:hint="eastAsia" w:ascii="仿宋_GB2312" w:hAnsi="仿宋_GB2312" w:eastAsia="仿宋_GB2312" w:cs="仿宋_GB2312"/>
          <w:sz w:val="32"/>
          <w:szCs w:val="32"/>
          <w:lang w:val="zh-CN"/>
        </w:rPr>
        <w:t>，项目不</w:t>
      </w:r>
      <w:r>
        <w:rPr>
          <w:rFonts w:hint="eastAsia" w:ascii="仿宋_GB2312" w:hAnsi="仿宋_GB2312" w:eastAsia="仿宋_GB2312" w:cs="仿宋_GB2312"/>
          <w:sz w:val="32"/>
          <w:szCs w:val="32"/>
          <w:lang w:val="zh-CN" w:eastAsia="zh-CN"/>
        </w:rPr>
        <w:t>涉及其他单位</w:t>
      </w:r>
      <w:r>
        <w:rPr>
          <w:rFonts w:hint="eastAsia" w:ascii="仿宋_GB2312" w:hAnsi="仿宋_GB2312" w:eastAsia="仿宋_GB2312" w:cs="仿宋_GB2312"/>
          <w:sz w:val="32"/>
          <w:szCs w:val="32"/>
          <w:lang w:val="zh-CN"/>
        </w:rPr>
        <w:t>。</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（四）</w:t>
      </w:r>
      <w:r>
        <w:rPr>
          <w:rFonts w:hint="eastAsia" w:ascii="方正楷体_GBK" w:hAnsi="方正楷体_GBK" w:eastAsia="方正楷体_GBK" w:cs="方正楷体_GBK"/>
          <w:b/>
          <w:sz w:val="32"/>
          <w:szCs w:val="32"/>
          <w:lang w:val="zh-CN"/>
        </w:rPr>
        <w:t>评价方法。</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采用先进的绩效评价方法和科学的数据分析是取得正确客观评价结论的重要保障，结合</w:t>
      </w:r>
      <w:r>
        <w:rPr>
          <w:rFonts w:hint="eastAsia" w:ascii="仿宋_GB2312" w:hAnsi="仿宋_GB2312" w:eastAsia="仿宋_GB2312" w:cs="仿宋_GB2312"/>
          <w:sz w:val="32"/>
          <w:szCs w:val="32"/>
          <w:lang w:val="en-US" w:eastAsia="zh-CN"/>
        </w:rPr>
        <w:t>乡镇避险转移经费专项工作经费项目</w:t>
      </w:r>
      <w:r>
        <w:rPr>
          <w:rFonts w:hint="eastAsia" w:ascii="仿宋_GB2312" w:hAnsi="仿宋_GB2312" w:eastAsia="仿宋_GB2312" w:cs="仿宋_GB2312"/>
          <w:sz w:val="32"/>
          <w:szCs w:val="32"/>
          <w:lang w:val="zh-CN"/>
        </w:rPr>
        <w:t>的特点，经与评价组织沟通后采取以下绩效评价方法：</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1.公众评判法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乡镇避险转移经费</w:t>
      </w:r>
      <w:r>
        <w:rPr>
          <w:rFonts w:hint="eastAsia" w:ascii="仿宋_GB2312" w:hAnsi="仿宋_GB2312" w:eastAsia="仿宋_GB2312" w:cs="仿宋_GB2312"/>
          <w:sz w:val="32"/>
          <w:szCs w:val="32"/>
          <w:lang w:val="zh-CN" w:eastAsia="zh-CN"/>
        </w:rPr>
        <w:t>具有较为清晰的服务群体，且该项目绩效状况的优劣，很大程度上体现在</w:t>
      </w:r>
      <w:r>
        <w:rPr>
          <w:rFonts w:hint="eastAsia" w:ascii="仿宋_GB2312" w:hAnsi="仿宋_GB2312" w:eastAsia="仿宋_GB2312" w:cs="仿宋_GB2312"/>
          <w:sz w:val="32"/>
          <w:szCs w:val="32"/>
          <w:lang w:val="en-US" w:eastAsia="zh-CN"/>
        </w:rPr>
        <w:t>乡镇避险转移经费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乡镇避险转移经费</w:t>
      </w:r>
      <w:r>
        <w:rPr>
          <w:rFonts w:hint="eastAsia" w:ascii="仿宋_GB2312" w:hAnsi="仿宋_GB2312" w:eastAsia="仿宋_GB2312" w:cs="仿宋_GB2312"/>
          <w:sz w:val="32"/>
          <w:szCs w:val="32"/>
          <w:lang w:val="zh-CN" w:eastAsia="zh-CN"/>
        </w:rPr>
        <w:t>覆盖率，</w:t>
      </w:r>
      <w:r>
        <w:rPr>
          <w:rFonts w:hint="eastAsia" w:ascii="仿宋_GB2312" w:hAnsi="仿宋_GB2312" w:eastAsia="仿宋_GB2312" w:cs="仿宋_GB2312"/>
          <w:sz w:val="32"/>
          <w:szCs w:val="32"/>
          <w:lang w:val="en-US" w:eastAsia="zh-CN"/>
        </w:rPr>
        <w:t>乡镇避险转移</w:t>
      </w:r>
      <w:r>
        <w:rPr>
          <w:rFonts w:hint="eastAsia" w:ascii="仿宋_GB2312" w:hAnsi="仿宋_GB2312" w:eastAsia="仿宋_GB2312" w:cs="仿宋_GB2312"/>
          <w:sz w:val="32"/>
          <w:szCs w:val="32"/>
          <w:lang w:val="zh-CN" w:eastAsia="zh-CN"/>
        </w:rPr>
        <w:t>参与村级事务治理积极性等方面。为此，与该项目评价的具体指标相对应，按照一定比例，以电</w:t>
      </w:r>
      <w:r>
        <w:rPr>
          <w:rFonts w:hint="eastAsia" w:ascii="仿宋_GB2312" w:hAnsi="仿宋_GB2312" w:eastAsia="仿宋_GB2312" w:cs="仿宋_GB2312"/>
          <w:sz w:val="32"/>
          <w:szCs w:val="32"/>
          <w:lang w:val="en-US" w:eastAsia="zh-CN"/>
        </w:rPr>
        <w:t>话</w:t>
      </w:r>
      <w:r>
        <w:rPr>
          <w:rFonts w:hint="eastAsia" w:ascii="仿宋_GB2312" w:hAnsi="仿宋_GB2312" w:eastAsia="仿宋_GB2312" w:cs="仿宋_GB2312"/>
          <w:sz w:val="32"/>
          <w:szCs w:val="32"/>
          <w:lang w:val="zh-CN" w:eastAsia="zh-CN"/>
        </w:rPr>
        <w:t>询问等方式进行调查，收集、分析所取得的样本数据，从而推断确定目标群体的满意度，进而评价满意度指标。</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2.成本效益分析法</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zh-CN" w:eastAsia="zh-CN"/>
        </w:rPr>
        <w:t>本项目将资金投入与</w:t>
      </w:r>
      <w:r>
        <w:rPr>
          <w:rFonts w:hint="eastAsia" w:ascii="仿宋_GB2312" w:hAnsi="仿宋_GB2312" w:eastAsia="仿宋_GB2312" w:cs="仿宋_GB2312"/>
          <w:sz w:val="32"/>
          <w:szCs w:val="32"/>
          <w:lang w:val="en-US" w:eastAsia="zh-CN"/>
        </w:rPr>
        <w:t>乡镇避险转移经费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乡镇避险转移经费</w:t>
      </w:r>
      <w:r>
        <w:rPr>
          <w:rFonts w:hint="eastAsia" w:ascii="仿宋_GB2312" w:hAnsi="仿宋_GB2312" w:eastAsia="仿宋_GB2312" w:cs="仿宋_GB2312"/>
          <w:sz w:val="32"/>
          <w:szCs w:val="32"/>
          <w:lang w:val="zh-CN" w:eastAsia="zh-CN"/>
        </w:rPr>
        <w:t>覆盖率、</w:t>
      </w:r>
      <w:r>
        <w:rPr>
          <w:rFonts w:hint="eastAsia" w:ascii="仿宋_GB2312" w:hAnsi="仿宋_GB2312" w:eastAsia="仿宋_GB2312" w:cs="仿宋_GB2312"/>
          <w:sz w:val="32"/>
          <w:szCs w:val="32"/>
          <w:lang w:val="en-US" w:eastAsia="zh-CN"/>
        </w:rPr>
        <w:t>工作队员</w:t>
      </w:r>
      <w:r>
        <w:rPr>
          <w:rFonts w:hint="eastAsia" w:ascii="仿宋_GB2312" w:hAnsi="仿宋_GB2312" w:eastAsia="仿宋_GB2312" w:cs="仿宋_GB2312"/>
          <w:sz w:val="32"/>
          <w:szCs w:val="32"/>
          <w:lang w:val="zh-CN" w:eastAsia="zh-CN"/>
        </w:rPr>
        <w:t>补助标准，</w:t>
      </w:r>
      <w:r>
        <w:rPr>
          <w:rFonts w:hint="eastAsia" w:ascii="仿宋_GB2312" w:hAnsi="仿宋_GB2312" w:eastAsia="仿宋_GB2312" w:cs="仿宋_GB2312"/>
          <w:sz w:val="32"/>
          <w:szCs w:val="32"/>
          <w:lang w:val="en-US" w:eastAsia="zh-CN"/>
        </w:rPr>
        <w:t>工作队</w:t>
      </w:r>
      <w:r>
        <w:rPr>
          <w:rFonts w:hint="eastAsia" w:ascii="仿宋_GB2312" w:hAnsi="仿宋_GB2312" w:eastAsia="仿宋_GB2312" w:cs="仿宋_GB2312"/>
          <w:sz w:val="32"/>
          <w:szCs w:val="32"/>
          <w:lang w:val="zh-CN" w:eastAsia="zh-CN"/>
        </w:rPr>
        <w:t>参与村级事务治理积极性等效益进行关联性分析。</w:t>
      </w:r>
    </w:p>
    <w:p>
      <w:pPr>
        <w:pStyle w:val="4"/>
        <w:keepNext w:val="0"/>
        <w:keepLines w:val="0"/>
        <w:pageBreakBefore w:val="0"/>
        <w:kinsoku/>
        <w:wordWrap/>
        <w:overflowPunct/>
        <w:topLinePunct w:val="0"/>
        <w:bidi w:val="0"/>
        <w:spacing w:line="560" w:lineRule="exact"/>
        <w:ind w:firstLine="600"/>
        <w:textAlignment w:val="auto"/>
        <w:rPr>
          <w:rFonts w:hint="eastAsia" w:ascii="方正楷体_GBK" w:hAnsi="方正楷体_GBK" w:eastAsia="方正楷体_GBK" w:cs="方正楷体_GBK"/>
          <w:b/>
          <w:bCs w:val="0"/>
          <w:sz w:val="32"/>
          <w:szCs w:val="32"/>
        </w:rPr>
      </w:pPr>
      <w:r>
        <w:rPr>
          <w:rFonts w:hint="eastAsia" w:ascii="方正楷体_GBK" w:hAnsi="方正楷体_GBK" w:eastAsia="方正楷体_GBK" w:cs="方正楷体_GBK"/>
          <w:b/>
          <w:bCs w:val="0"/>
          <w:sz w:val="32"/>
          <w:szCs w:val="32"/>
          <w:lang w:val="zh-CN"/>
        </w:rPr>
        <w:t>（五）评价组织。</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1.领导小组职责：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（1）研究和决定单位管理绩效评价中的重大问题。</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（2）组织协调绩效评价工作，确保评价的顺利进行。</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（3）对工作目标、绩效考核结果和等次、奖惩方案进行审核，并报乡党委和政府审定。</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2.办公室职责：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（1）提出政府绩效评价的工作方案，并负责具体组织实施。</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（2）综合评价信息，提出评价结果等次认定方案及奖惩方案等。</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（3）负责绩效评价的日常工作，包括宣传、沟通、协调等。</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（4）根据评价结果撰写绩效评价报告，并递交给领导小组。</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3.具体执行人员职责：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（1）组长：审批绩效自评方案，监督、检查、核实绩效自评结果。</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三、绩效分析</w:t>
      </w:r>
      <w:r>
        <w:rPr>
          <w:rFonts w:hint="eastAsia" w:ascii="黑体" w:hAnsi="黑体" w:eastAsia="黑体" w:cs="黑体"/>
          <w:sz w:val="32"/>
          <w:szCs w:val="32"/>
          <w:lang w:val="zh-CN"/>
        </w:rPr>
        <w:tab/>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根据项目预算绩效评价指标体系“通用指标”“专用指标”“个性指标”涉及二、三级指标进行逐项绩效分析并评分。</w:t>
      </w:r>
    </w:p>
    <w:p>
      <w:pPr>
        <w:keepNext w:val="0"/>
        <w:keepLines w:val="0"/>
        <w:pageBreakBefore w:val="0"/>
        <w:kinsoku/>
        <w:wordWrap/>
        <w:overflowPunct/>
        <w:topLinePunct w:val="0"/>
        <w:bidi w:val="0"/>
        <w:spacing w:line="560" w:lineRule="exact"/>
        <w:ind w:firstLine="640"/>
        <w:textAlignment w:val="auto"/>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（一）</w:t>
      </w:r>
      <w:r>
        <w:rPr>
          <w:rFonts w:hint="eastAsia" w:ascii="方正楷体_GBK" w:hAnsi="方正楷体_GBK" w:eastAsia="方正楷体_GBK" w:cs="方正楷体_GBK"/>
          <w:b/>
          <w:sz w:val="32"/>
          <w:szCs w:val="32"/>
        </w:rPr>
        <w:t>通用指标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项目决策。</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项目决策程序严密</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zh-CN"/>
        </w:rPr>
        <w:t>村干部</w:t>
      </w:r>
      <w:r>
        <w:rPr>
          <w:rFonts w:hint="eastAsia" w:ascii="仿宋_GB2312" w:hAnsi="仿宋_GB2312" w:eastAsia="仿宋_GB2312" w:cs="仿宋_GB2312"/>
          <w:sz w:val="32"/>
          <w:szCs w:val="32"/>
          <w:lang w:val="en-US" w:eastAsia="zh-CN"/>
        </w:rPr>
        <w:t>体检费</w:t>
      </w:r>
      <w:r>
        <w:rPr>
          <w:rFonts w:hint="eastAsia" w:ascii="仿宋_GB2312" w:hAnsi="仿宋_GB2312" w:eastAsia="仿宋_GB2312" w:cs="仿宋_GB2312"/>
          <w:sz w:val="32"/>
          <w:szCs w:val="32"/>
          <w:lang w:val="zh-CN"/>
        </w:rPr>
        <w:t>项目设立、调整延续等方面符合资金管理基本规范和决策程序要求；项目规划符合中央、省委、省政府有关决策部署安排；项目总体绩效目标设置合理，绩效目标科学合理、规范完整、量化细化、预算匹配；该项目属于政府支持范围，且符合财政事权支出责任划分规定，资金投向与项目总体规划、相关行业事业发展相匹配；聚焦重大任务、重点领域、重点环节和重点项目，体现“集中力量办大事”原则；该项目未与其他同类项目或部门内部相关项目交叉重复。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项目管理。</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资金管理办法等管理制度体系健全完善，不存在管理制度缺失、管理办法过期情况；项目资金分配因素选取、权重设置、区域分布，项目管理、审批符合管理要求；管资金、管项目、政策管绩效，项目绩效监管按要求开展，指导有力有效。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项目实施。</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资金财政拨付、单位执行和地方配套到位；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共计得分9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项目结果。</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项目完成预期目标，实施结果与绩效目标相匹配，反映目标实现100%；项目实际完成时间按计划时间完成。共计得分9分。</w:t>
      </w:r>
    </w:p>
    <w:p>
      <w:pPr>
        <w:keepNext w:val="0"/>
        <w:keepLines w:val="0"/>
        <w:pageBreakBefore w:val="0"/>
        <w:numPr>
          <w:ilvl w:val="0"/>
          <w:numId w:val="0"/>
        </w:numPr>
        <w:kinsoku/>
        <w:wordWrap/>
        <w:overflowPunct/>
        <w:topLinePunct w:val="0"/>
        <w:bidi w:val="0"/>
        <w:spacing w:line="560" w:lineRule="exact"/>
        <w:ind w:firstLine="642" w:firstLineChars="20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eastAsia="zh-CN" w:bidi="ar-SA"/>
        </w:rPr>
        <w:t>（二）</w:t>
      </w:r>
      <w:r>
        <w:rPr>
          <w:rFonts w:hint="eastAsia" w:ascii="方正楷体_GBK" w:hAnsi="方正楷体_GBK" w:eastAsia="方正楷体_GBK" w:cs="方正楷体_GBK"/>
          <w:b/>
          <w:sz w:val="32"/>
          <w:szCs w:val="32"/>
        </w:rPr>
        <w:t>专用指标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根据专项预算项目资金支持对象选择所属指标进行绩效分析。支持对象包括产业发展、民生保障、基础设施、行政运转等方面。</w:t>
      </w:r>
      <w:r>
        <w:rPr>
          <w:rFonts w:hint="eastAsia" w:ascii="仿宋_GB2312" w:hAnsi="仿宋_GB2312" w:eastAsia="仿宋_GB2312" w:cs="仿宋_GB2312"/>
          <w:sz w:val="32"/>
          <w:szCs w:val="32"/>
          <w:lang w:val="en-US" w:eastAsia="zh-CN"/>
        </w:rPr>
        <w:t>该项目属</w:t>
      </w:r>
      <w:r>
        <w:rPr>
          <w:rFonts w:hint="eastAsia" w:ascii="仿宋_GB2312" w:hAnsi="仿宋_GB2312" w:eastAsia="仿宋_GB2312" w:cs="仿宋_GB2312"/>
          <w:sz w:val="32"/>
          <w:szCs w:val="32"/>
          <w:lang w:val="zh-CN"/>
        </w:rPr>
        <w:t>民生保障。项目资金分配均衡；资金实际支持对象符合管理要求，符合支持对象范围；资金实际补贴标准符合资金管理办法规定的补助标准并及时按标准兑现；资金涉及相关受益群体、支持对象满意。共计得分30分。</w:t>
      </w:r>
    </w:p>
    <w:p>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sz w:val="32"/>
          <w:szCs w:val="32"/>
          <w:lang w:val="zh-CN"/>
        </w:rPr>
        <w:t>（三）</w:t>
      </w:r>
      <w:r>
        <w:rPr>
          <w:rFonts w:hint="eastAsia" w:ascii="方正楷体_GBK" w:hAnsi="方正楷体_GBK" w:eastAsia="方正楷体_GBK" w:cs="方正楷体_GBK"/>
          <w:b/>
          <w:sz w:val="32"/>
          <w:szCs w:val="32"/>
        </w:rPr>
        <w:t>个性指标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财务管理：</w:t>
      </w:r>
      <w:r>
        <w:rPr>
          <w:rFonts w:hint="eastAsia" w:ascii="仿宋_GB2312" w:hAnsi="仿宋_GB2312" w:eastAsia="仿宋_GB2312" w:cs="仿宋_GB2312"/>
          <w:sz w:val="32"/>
          <w:szCs w:val="32"/>
          <w:lang w:val="en-US" w:eastAsia="zh-CN"/>
        </w:rPr>
        <w:t>该项目财务管理制度健全，资金拨付效率高，财务资料完整。该项目</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预算编制：</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预算编制合理，投</w:t>
      </w:r>
      <w:r>
        <w:rPr>
          <w:rFonts w:hint="eastAsia" w:ascii="仿宋_GB2312" w:hAnsi="仿宋_GB2312" w:eastAsia="仿宋_GB2312" w:cs="仿宋_GB2312"/>
          <w:sz w:val="32"/>
          <w:szCs w:val="32"/>
          <w:lang w:val="en-US" w:eastAsia="zh-CN"/>
        </w:rPr>
        <w:t>资到位及时。</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执行情况：资金已按期拨付，实际执行情况与预算相符，项目实施后已达到预期效果。该项指标得分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按照绩效自评工作要求，秉承客观公正、实事求是的原则开展项目绩效自评工作，经对各类指标进行评分和汇总分析，本项目的绩效评价结果为“优”，综合评分 99分。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kern w:val="2"/>
          <w:position w:val="0"/>
          <w:sz w:val="32"/>
          <w:szCs w:val="32"/>
          <w:lang w:eastAsia="zh-CN"/>
        </w:rPr>
      </w:pPr>
      <w:r>
        <w:rPr>
          <w:rFonts w:hint="eastAsia" w:ascii="仿宋_GB2312" w:hAnsi="仿宋_GB2312" w:eastAsia="仿宋_GB2312" w:cs="仿宋_GB2312"/>
          <w:position w:val="0"/>
          <w:sz w:val="32"/>
          <w:szCs w:val="32"/>
          <w:lang w:eastAsia="zh-CN"/>
        </w:rPr>
        <w:t>无。</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tabs>
          <w:tab w:val="left" w:pos="1911"/>
        </w:tabs>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无</w:t>
      </w:r>
      <w:r>
        <w:rPr>
          <w:rFonts w:hint="eastAsia" w:ascii="仿宋_GB2312" w:hAnsi="仿宋_GB2312" w:cs="仿宋_GB2312"/>
          <w:kern w:val="0"/>
          <w:sz w:val="32"/>
          <w:szCs w:val="32"/>
          <w:lang w:eastAsia="zh-CN"/>
        </w:rPr>
        <w:t>。</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附表：1.专项预算绩效自评打分表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2.专项预算绩效自评实地踏勘点位清单表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color w:val="000000"/>
          <w:kern w:val="0"/>
          <w:sz w:val="32"/>
          <w:szCs w:val="32"/>
          <w:shd w:val="clear" w:color="auto" w:fill="FFFFFF"/>
        </w:rPr>
        <w:t>3.专项预算项目绩效目标完成情况自评表</w:t>
      </w:r>
    </w:p>
    <w:p>
      <w:pPr>
        <w:spacing w:line="560" w:lineRule="exact"/>
        <w:ind w:firstLine="640" w:firstLineChars="200"/>
        <w:jc w:val="righ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黑水县晴朗乡人民政府</w:t>
      </w:r>
    </w:p>
    <w:p>
      <w:pPr>
        <w:spacing w:line="560" w:lineRule="exact"/>
        <w:ind w:firstLine="640" w:firstLineChars="200"/>
        <w:jc w:val="righ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2025年4月</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0日</w:t>
      </w:r>
    </w:p>
    <w:p>
      <w:pPr>
        <w:snapToGrid w:val="0"/>
        <w:spacing w:line="578" w:lineRule="exact"/>
        <w:rPr>
          <w:rFonts w:eastAsia="黑体"/>
          <w:kern w:val="0"/>
          <w:shd w:val="clear" w:color="auto" w:fill="FFFFFF"/>
        </w:rPr>
      </w:pPr>
      <w:r>
        <w:rPr>
          <w:rFonts w:eastAsia="黑体"/>
          <w:kern w:val="0"/>
          <w:shd w:val="clear" w:color="auto" w:fill="FFFFFF"/>
          <w:lang w:val="zh-CN"/>
        </w:rPr>
        <w:t>附表</w:t>
      </w:r>
      <w:r>
        <w:rPr>
          <w:rFonts w:eastAsia="黑体"/>
          <w:kern w:val="0"/>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tblPrEx>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w:t>
            </w:r>
            <w:r>
              <w:rPr>
                <w:rFonts w:hint="eastAsia" w:ascii="宋体" w:hAnsi="宋体" w:cs="宋体"/>
                <w:color w:val="000000"/>
                <w:kern w:val="0"/>
                <w:sz w:val="24"/>
                <w:szCs w:val="24"/>
                <w:lang w:eastAsia="zh-CN" w:bidi="ar"/>
              </w:rPr>
              <w:t>中央、省委</w:t>
            </w:r>
            <w:r>
              <w:rPr>
                <w:rFonts w:hint="eastAsia" w:ascii="宋体" w:hAnsi="宋体" w:eastAsia="宋体" w:cs="宋体"/>
                <w:color w:val="000000"/>
                <w:kern w:val="0"/>
                <w:sz w:val="24"/>
                <w:szCs w:val="24"/>
                <w:lang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w:t>
            </w:r>
            <w:r>
              <w:rPr>
                <w:rFonts w:hint="eastAsia" w:ascii="宋体" w:hAnsi="宋体" w:cs="宋体"/>
                <w:color w:val="000000"/>
                <w:kern w:val="0"/>
                <w:sz w:val="24"/>
                <w:szCs w:val="24"/>
                <w:lang w:eastAsia="zh-CN" w:bidi="ar"/>
              </w:rPr>
              <w:t>省委、省政府</w:t>
            </w:r>
            <w:r>
              <w:rPr>
                <w:rFonts w:hint="eastAsia" w:ascii="宋体" w:hAnsi="宋体" w:eastAsia="宋体" w:cs="宋体"/>
                <w:color w:val="000000"/>
                <w:kern w:val="0"/>
                <w:sz w:val="24"/>
                <w:szCs w:val="24"/>
                <w:lang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2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357"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财务管理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财务管理不符合专项资金管理要求。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预算编制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预算编制不符合专项资金管理要求。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执行情况</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资金执行不符合专项资金管理要求。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spacing w:line="578" w:lineRule="exact"/>
      </w:pPr>
      <w:r>
        <w:rPr>
          <w:rFonts w:eastAsia="黑体"/>
          <w:kern w:val="0"/>
          <w:shd w:val="clear" w:color="auto" w:fill="FFFFFF"/>
          <w:lang w:val="zh-CN"/>
        </w:rPr>
        <w:br w:type="page"/>
      </w:r>
      <w:r>
        <w:rPr>
          <w:rFonts w:eastAsia="黑体"/>
          <w:kern w:val="0"/>
          <w:shd w:val="clear" w:color="auto" w:fill="FFFFFF"/>
          <w:lang w:val="zh-CN"/>
        </w:rPr>
        <w:t>附表</w:t>
      </w:r>
      <w:r>
        <w:rPr>
          <w:rFonts w:hint="eastAsia"/>
          <w:kern w:val="0"/>
          <w:shd w:val="clear" w:color="auto" w:fill="FFFFFF"/>
        </w:rPr>
        <w:t>2</w:t>
      </w:r>
    </w:p>
    <w:p>
      <w:pPr>
        <w:spacing w:line="578" w:lineRule="exact"/>
        <w:jc w:val="center"/>
        <w:rPr>
          <w:rFonts w:eastAsia="方正小标宋_GBK"/>
          <w:sz w:val="40"/>
          <w:szCs w:val="40"/>
        </w:rPr>
      </w:pPr>
      <w:r>
        <w:rPr>
          <w:rFonts w:eastAsia="方正小标宋_GBK"/>
          <w:sz w:val="40"/>
          <w:szCs w:val="40"/>
        </w:rPr>
        <w:t>专项预算绩效自评实地踏勘点位清单表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黑体"/>
                <w:sz w:val="24"/>
                <w:szCs w:val="24"/>
              </w:rPr>
            </w:pPr>
            <w:r>
              <w:rPr>
                <w:rFonts w:eastAsia="黑体"/>
                <w:sz w:val="24"/>
                <w:szCs w:val="24"/>
              </w:rPr>
              <w:t>序号</w:t>
            </w:r>
          </w:p>
        </w:tc>
        <w:tc>
          <w:tcPr>
            <w:tcW w:w="5956" w:type="dxa"/>
            <w:noWrap w:val="0"/>
            <w:vAlign w:val="top"/>
          </w:tcPr>
          <w:p>
            <w:pPr>
              <w:spacing w:line="300" w:lineRule="exact"/>
              <w:jc w:val="center"/>
              <w:rPr>
                <w:rFonts w:eastAsia="黑体"/>
                <w:sz w:val="24"/>
                <w:szCs w:val="24"/>
                <w:lang w:val="en"/>
              </w:rPr>
            </w:pPr>
            <w:r>
              <w:rPr>
                <w:rFonts w:eastAsia="黑体"/>
                <w:sz w:val="24"/>
                <w:szCs w:val="24"/>
              </w:rPr>
              <w:t>实地踏勘点位</w:t>
            </w:r>
          </w:p>
        </w:tc>
        <w:tc>
          <w:tcPr>
            <w:tcW w:w="905" w:type="dxa"/>
            <w:noWrap w:val="0"/>
            <w:vAlign w:val="top"/>
          </w:tcPr>
          <w:p>
            <w:pPr>
              <w:spacing w:line="300" w:lineRule="exact"/>
              <w:jc w:val="center"/>
              <w:rPr>
                <w:rFonts w:eastAsia="黑体"/>
                <w:sz w:val="24"/>
                <w:szCs w:val="24"/>
              </w:rPr>
            </w:pPr>
            <w:r>
              <w:rPr>
                <w:rFonts w:eastAsia="黑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w:t>
            </w:r>
          </w:p>
        </w:tc>
        <w:tc>
          <w:tcPr>
            <w:tcW w:w="5956" w:type="dxa"/>
            <w:noWrap w:val="0"/>
            <w:vAlign w:val="top"/>
          </w:tcPr>
          <w:p>
            <w:pPr>
              <w:spacing w:line="300" w:lineRule="exact"/>
              <w:jc w:val="center"/>
              <w:rPr>
                <w:rFonts w:hint="default" w:eastAsia="仿宋_GB2312"/>
                <w:sz w:val="24"/>
                <w:szCs w:val="24"/>
                <w:lang w:val="en-US" w:eastAsia="zh-CN"/>
              </w:rPr>
            </w:pPr>
            <w:r>
              <w:rPr>
                <w:rFonts w:hint="eastAsia"/>
                <w:sz w:val="24"/>
                <w:szCs w:val="24"/>
                <w:lang w:val="en-US" w:eastAsia="zh-CN"/>
              </w:rPr>
              <w:t>黑水县晴朗乡人民政府</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8</w:t>
            </w:r>
          </w:p>
        </w:tc>
        <w:tc>
          <w:tcPr>
            <w:tcW w:w="5956" w:type="dxa"/>
            <w:noWrap w:val="0"/>
            <w:vAlign w:val="top"/>
          </w:tcPr>
          <w:p>
            <w:pPr>
              <w:spacing w:line="300" w:lineRule="exact"/>
              <w:jc w:val="center"/>
              <w:rPr>
                <w:sz w:val="24"/>
                <w:szCs w:val="24"/>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9</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10</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11</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18</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19</w:t>
            </w:r>
          </w:p>
        </w:tc>
        <w:tc>
          <w:tcPr>
            <w:tcW w:w="5956" w:type="dxa"/>
            <w:noWrap w:val="0"/>
            <w:vAlign w:val="top"/>
          </w:tcPr>
          <w:p>
            <w:pPr>
              <w:spacing w:line="300" w:lineRule="exact"/>
              <w:jc w:val="center"/>
              <w:rPr>
                <w:sz w:val="24"/>
                <w:szCs w:val="24"/>
                <w:lang w:val="en"/>
              </w:rPr>
            </w:pPr>
            <w:r>
              <w:rPr>
                <w:rFonts w:hint="eastAsia"/>
                <w:sz w:val="24"/>
                <w:szCs w:val="24"/>
                <w:lang w:val="en"/>
              </w:rPr>
              <w:t>……</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20</w:t>
            </w:r>
          </w:p>
        </w:tc>
        <w:tc>
          <w:tcPr>
            <w:tcW w:w="5956" w:type="dxa"/>
            <w:noWrap w:val="0"/>
            <w:vAlign w:val="top"/>
          </w:tcPr>
          <w:p>
            <w:pPr>
              <w:spacing w:line="300" w:lineRule="exact"/>
              <w:rPr>
                <w:sz w:val="24"/>
                <w:szCs w:val="24"/>
                <w:lang w:val="en"/>
              </w:rPr>
            </w:pPr>
          </w:p>
        </w:tc>
        <w:tc>
          <w:tcPr>
            <w:tcW w:w="905" w:type="dxa"/>
            <w:noWrap w:val="0"/>
            <w:vAlign w:val="top"/>
          </w:tcPr>
          <w:p>
            <w:pPr>
              <w:spacing w:line="300" w:lineRule="exact"/>
              <w:rPr>
                <w:sz w:val="24"/>
                <w:szCs w:val="24"/>
              </w:rPr>
            </w:pPr>
          </w:p>
        </w:tc>
      </w:tr>
    </w:tbl>
    <w:p>
      <w:pPr>
        <w:spacing w:line="400" w:lineRule="exact"/>
        <w:jc w:val="center"/>
        <w:rPr>
          <w:rFonts w:eastAsia="宋体"/>
          <w:sz w:val="21"/>
          <w:szCs w:val="21"/>
        </w:rPr>
      </w:pPr>
      <w:r>
        <w:rPr>
          <w:rFonts w:eastAsia="宋体"/>
          <w:sz w:val="21"/>
          <w:szCs w:val="21"/>
        </w:rPr>
        <w:t>备注：项目</w:t>
      </w:r>
      <w:r>
        <w:rPr>
          <w:rFonts w:hint="eastAsia" w:eastAsia="宋体"/>
          <w:sz w:val="21"/>
          <w:szCs w:val="21"/>
        </w:rPr>
        <w:t>实地踏勘</w:t>
      </w:r>
      <w:r>
        <w:rPr>
          <w:rFonts w:eastAsia="宋体"/>
          <w:sz w:val="21"/>
          <w:szCs w:val="21"/>
        </w:rPr>
        <w:t>点位包括市（州）本级、县（市、区）</w:t>
      </w:r>
      <w:r>
        <w:rPr>
          <w:rFonts w:hint="eastAsia" w:eastAsia="宋体"/>
          <w:sz w:val="21"/>
          <w:szCs w:val="21"/>
        </w:rPr>
        <w:t>本级及有关项目、单位、公司</w:t>
      </w:r>
      <w:r>
        <w:rPr>
          <w:rFonts w:eastAsia="宋体"/>
          <w:sz w:val="21"/>
          <w:szCs w:val="21"/>
        </w:rPr>
        <w:t>等。</w:t>
      </w:r>
    </w:p>
    <w:p>
      <w:pPr>
        <w:snapToGrid w:val="0"/>
        <w:spacing w:line="578" w:lineRule="exact"/>
        <w:rPr>
          <w:rFonts w:eastAsia="黑体"/>
          <w:kern w:val="0"/>
          <w:shd w:val="clear" w:color="auto" w:fill="FFFFFF"/>
          <w:lang w:val="zh-CN"/>
        </w:rPr>
      </w:pPr>
    </w:p>
    <w:p>
      <w:pPr>
        <w:snapToGrid w:val="0"/>
        <w:spacing w:line="578" w:lineRule="exact"/>
        <w:rPr>
          <w:rFonts w:eastAsia="黑体"/>
          <w:kern w:val="0"/>
          <w:shd w:val="clear" w:color="auto" w:fill="FFFFFF"/>
        </w:rPr>
      </w:pPr>
      <w:r>
        <w:rPr>
          <w:rFonts w:eastAsia="黑体"/>
          <w:kern w:val="0"/>
          <w:shd w:val="clear" w:color="auto" w:fill="FFFFFF"/>
          <w:lang w:val="zh-CN"/>
        </w:rPr>
        <w:br w:type="page"/>
      </w:r>
      <w:r>
        <w:rPr>
          <w:rFonts w:eastAsia="黑体"/>
          <w:kern w:val="0"/>
          <w:shd w:val="clear" w:color="auto" w:fill="FFFFFF"/>
          <w:lang w:val="zh-CN"/>
        </w:rPr>
        <w:t>附表</w:t>
      </w:r>
      <w:r>
        <w:rPr>
          <w:rFonts w:hint="eastAsia" w:eastAsia="黑体"/>
          <w:kern w:val="0"/>
          <w:shd w:val="clear" w:color="auto" w:fill="FFFFFF"/>
        </w:rPr>
        <w:t>3</w:t>
      </w:r>
    </w:p>
    <w:tbl>
      <w:tblPr>
        <w:tblStyle w:val="10"/>
        <w:tblW w:w="10233" w:type="dxa"/>
        <w:jc w:val="center"/>
        <w:tblLayout w:type="fixed"/>
        <w:tblCellMar>
          <w:top w:w="15" w:type="dxa"/>
          <w:left w:w="15" w:type="dxa"/>
          <w:bottom w:w="15" w:type="dxa"/>
          <w:right w:w="15" w:type="dxa"/>
        </w:tblCellMar>
      </w:tblPr>
      <w:tblGrid>
        <w:gridCol w:w="500"/>
        <w:gridCol w:w="1490"/>
        <w:gridCol w:w="1283"/>
        <w:gridCol w:w="1641"/>
        <w:gridCol w:w="380"/>
        <w:gridCol w:w="1219"/>
        <w:gridCol w:w="381"/>
        <w:gridCol w:w="793"/>
        <w:gridCol w:w="369"/>
        <w:gridCol w:w="326"/>
        <w:gridCol w:w="1851"/>
      </w:tblGrid>
      <w:tr>
        <w:tblPrEx>
          <w:tblCellMar>
            <w:top w:w="15" w:type="dxa"/>
            <w:left w:w="15" w:type="dxa"/>
            <w:bottom w:w="15" w:type="dxa"/>
            <w:right w:w="15" w:type="dxa"/>
          </w:tblCellMar>
        </w:tblPrEx>
        <w:trPr>
          <w:trHeight w:val="576" w:hRule="atLeast"/>
          <w:jc w:val="center"/>
        </w:trPr>
        <w:tc>
          <w:tcPr>
            <w:tcW w:w="10233" w:type="dxa"/>
            <w:gridSpan w:val="11"/>
            <w:noWrap w:val="0"/>
            <w:vAlign w:val="center"/>
          </w:tcPr>
          <w:p>
            <w:pPr>
              <w:keepNext w:val="0"/>
              <w:keepLines w:val="0"/>
              <w:widowControl/>
              <w:suppressLineNumbers w:val="0"/>
              <w:jc w:val="center"/>
              <w:textAlignment w:val="center"/>
              <w:rPr>
                <w:rFonts w:eastAsia="黑体"/>
                <w:color w:val="000000"/>
                <w:sz w:val="30"/>
                <w:szCs w:val="30"/>
              </w:rPr>
            </w:pPr>
            <w:r>
              <w:rPr>
                <w:rFonts w:hint="default" w:ascii="黑体" w:hAnsi="宋体" w:eastAsia="黑体" w:cs="黑体"/>
                <w:b/>
                <w:bCs/>
                <w:i w:val="0"/>
                <w:iCs w:val="0"/>
                <w:color w:val="000000"/>
                <w:kern w:val="0"/>
                <w:sz w:val="30"/>
                <w:szCs w:val="30"/>
                <w:u w:val="none"/>
                <w:lang w:val="en-US" w:eastAsia="zh-CN" w:bidi="ar"/>
              </w:rPr>
              <w:t>部门预算项目支出绩效自评表（2024年度）</w:t>
            </w:r>
          </w:p>
        </w:tc>
      </w:tr>
      <w:tr>
        <w:tblPrEx>
          <w:tblCellMar>
            <w:top w:w="15" w:type="dxa"/>
            <w:left w:w="15" w:type="dxa"/>
            <w:bottom w:w="15" w:type="dxa"/>
            <w:right w:w="15" w:type="dxa"/>
          </w:tblCellMar>
        </w:tblPrEx>
        <w:trPr>
          <w:trHeight w:val="23"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项目名称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51322823T000009907435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乡镇避险转移经费</w:t>
            </w:r>
          </w:p>
        </w:tc>
      </w:tr>
      <w:tr>
        <w:tblPrEx>
          <w:tblCellMar>
            <w:top w:w="15" w:type="dxa"/>
            <w:left w:w="15" w:type="dxa"/>
            <w:bottom w:w="15" w:type="dxa"/>
            <w:right w:w="15" w:type="dxa"/>
          </w:tblCellMar>
        </w:tblPrEx>
        <w:trPr>
          <w:trHeight w:val="458"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主管部门</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黑水县晴朗乡</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实施单位 （盖章）</w:t>
            </w:r>
          </w:p>
        </w:tc>
        <w:tc>
          <w:tcPr>
            <w:tcW w:w="254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黑水县晴朗乡人民政府（行政及参公）</w:t>
            </w:r>
          </w:p>
        </w:tc>
      </w:tr>
      <w:tr>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项目基本情况</w:t>
            </w: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用于开展避险转移工作，每转移1人，按20元标准补助。</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已完成。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2.项目实施内容及过程概述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保障各村开展汛期避险转移，按标准发放避险转移人员补助。</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预算执行情况（10分）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年度预算数（万元）</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调整后预算数</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预算执行数</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预算执行率</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原因</w:t>
            </w:r>
          </w:p>
        </w:tc>
      </w:tr>
      <w:tr>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总额</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1.90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1.90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restart"/>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其中：财政资金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1.90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1.90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财政专户管理资金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单位资金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其他资金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绩效指标（90分）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一级指标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三级指标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产出指标</w:t>
            </w:r>
          </w:p>
        </w:tc>
        <w:tc>
          <w:tcPr>
            <w:tcW w:w="128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避险转移人数</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2979</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人</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2979</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每转移一人补助标准</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避险转移覆盖率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608" w:hRule="atLeast"/>
          <w:jc w:val="center"/>
        </w:trPr>
        <w:tc>
          <w:tcPr>
            <w:tcW w:w="50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eastAsia="宋体"/>
                <w:color w:val="000000"/>
                <w:sz w:val="24"/>
                <w:szCs w:val="24"/>
              </w:rPr>
            </w:pPr>
          </w:p>
        </w:tc>
        <w:tc>
          <w:tcPr>
            <w:tcW w:w="1283"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时效指标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资金发放率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tcBorders>
              <w:top w:val="single" w:color="auto"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效益指标</w:t>
            </w:r>
          </w:p>
        </w:tc>
        <w:tc>
          <w:tcPr>
            <w:tcW w:w="1283"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可持续影响指标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确保避险人员安全和基本生活保障</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rPr>
            </w:pPr>
            <w:r>
              <w:rPr>
                <w:rFonts w:ascii="宋体" w:hAnsi="宋体" w:eastAsia="宋体" w:cs="宋体"/>
                <w:i w:val="0"/>
                <w:iCs w:val="0"/>
                <w:color w:val="000000"/>
                <w:kern w:val="0"/>
                <w:sz w:val="18"/>
                <w:szCs w:val="18"/>
                <w:u w:val="none"/>
                <w:lang w:val="en-US" w:eastAsia="zh-CN" w:bidi="ar"/>
              </w:rPr>
              <w:t>98</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满意度指标</w:t>
            </w:r>
          </w:p>
        </w:tc>
        <w:tc>
          <w:tcPr>
            <w:tcW w:w="1283" w:type="dxa"/>
            <w:tcBorders>
              <w:top w:val="single" w:color="000000" w:sz="4" w:space="0"/>
              <w:left w:val="single" w:color="auto"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服务对象满意度指标</w:t>
            </w:r>
          </w:p>
        </w:tc>
        <w:tc>
          <w:tcPr>
            <w:tcW w:w="16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避险转移人员满意度</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98</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r>
      <w:tr>
        <w:trPr>
          <w:trHeight w:val="23" w:hRule="atLeast"/>
          <w:jc w:val="center"/>
        </w:trPr>
        <w:tc>
          <w:tcPr>
            <w:tcW w:w="7687" w:type="dxa"/>
            <w:gridSpan w:val="8"/>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合计</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478" w:hRule="atLeast"/>
          <w:jc w:val="center"/>
        </w:trPr>
        <w:tc>
          <w:tcPr>
            <w:tcW w:w="500"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评价结论</w:t>
            </w:r>
          </w:p>
        </w:tc>
        <w:tc>
          <w:tcPr>
            <w:tcW w:w="9733" w:type="dxa"/>
            <w:gridSpan w:val="10"/>
            <w:tcBorders>
              <w:left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微软雅黑" w:hAnsi="微软雅黑" w:eastAsia="微软雅黑" w:cs="微软雅黑"/>
                <w:i/>
                <w:iCs/>
                <w:color w:val="000000"/>
                <w:kern w:val="0"/>
                <w:sz w:val="16"/>
                <w:szCs w:val="16"/>
                <w:u w:val="none"/>
                <w:lang w:val="en-US" w:eastAsia="zh-CN" w:bidi="ar"/>
              </w:rPr>
              <w:t>项目自评总分98分，保障各村开展汛期避险转移，按标准发放避险转移人员补助。</w:t>
            </w:r>
          </w:p>
        </w:tc>
      </w:tr>
      <w:tr>
        <w:tblPrEx>
          <w:tblCellMar>
            <w:top w:w="15" w:type="dxa"/>
            <w:left w:w="15" w:type="dxa"/>
            <w:bottom w:w="15" w:type="dxa"/>
            <w:right w:w="15" w:type="dxa"/>
          </w:tblCellMar>
        </w:tblPrEx>
        <w:trPr>
          <w:trHeight w:val="23" w:hRule="atLeast"/>
          <w:jc w:val="center"/>
        </w:trPr>
        <w:tc>
          <w:tcPr>
            <w:tcW w:w="500"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存在问题</w:t>
            </w:r>
          </w:p>
        </w:tc>
        <w:tc>
          <w:tcPr>
            <w:tcW w:w="9733" w:type="dxa"/>
            <w:gridSpan w:val="10"/>
            <w:tcBorders>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微软雅黑" w:hAnsi="微软雅黑" w:eastAsia="微软雅黑" w:cs="微软雅黑"/>
                <w:i/>
                <w:iCs/>
                <w:color w:val="000000"/>
                <w:kern w:val="0"/>
                <w:sz w:val="16"/>
                <w:szCs w:val="16"/>
                <w:u w:val="none"/>
                <w:lang w:val="en-US" w:eastAsia="zh-CN" w:bidi="ar"/>
              </w:rPr>
              <w:t>无</w:t>
            </w:r>
          </w:p>
        </w:tc>
      </w:tr>
      <w:tr>
        <w:tblPrEx>
          <w:tblCellMar>
            <w:top w:w="15" w:type="dxa"/>
            <w:left w:w="15" w:type="dxa"/>
            <w:bottom w:w="15" w:type="dxa"/>
            <w:right w:w="15" w:type="dxa"/>
          </w:tblCellMar>
        </w:tblPrEx>
        <w:trPr>
          <w:trHeight w:val="23" w:hRule="atLeast"/>
          <w:jc w:val="center"/>
        </w:trPr>
        <w:tc>
          <w:tcPr>
            <w:tcW w:w="500"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改进措施</w:t>
            </w:r>
          </w:p>
        </w:tc>
        <w:tc>
          <w:tcPr>
            <w:tcW w:w="9733"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微软雅黑" w:hAnsi="微软雅黑" w:eastAsia="微软雅黑" w:cs="微软雅黑"/>
                <w:i/>
                <w:iCs/>
                <w:color w:val="000000"/>
                <w:kern w:val="0"/>
                <w:sz w:val="16"/>
                <w:szCs w:val="16"/>
                <w:u w:val="none"/>
                <w:lang w:val="en-US" w:eastAsia="zh-CN" w:bidi="ar"/>
              </w:rPr>
              <w:t>无</w:t>
            </w:r>
          </w:p>
        </w:tc>
      </w:tr>
      <w:tr>
        <w:trPr>
          <w:trHeight w:val="23" w:hRule="atLeast"/>
          <w:jc w:val="center"/>
        </w:trPr>
        <w:tc>
          <w:tcPr>
            <w:tcW w:w="5294" w:type="dxa"/>
            <w:gridSpan w:val="5"/>
            <w:tcBorders>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default" w:ascii="黑体" w:hAnsi="黑体" w:eastAsia="黑体" w:cs="黑体"/>
                <w:i w:val="0"/>
                <w:iCs w:val="0"/>
                <w:color w:val="000000"/>
                <w:kern w:val="0"/>
                <w:sz w:val="18"/>
                <w:szCs w:val="18"/>
                <w:u w:val="none"/>
                <w:lang w:val="en-US" w:eastAsia="zh-CN" w:bidi="ar"/>
              </w:rPr>
              <w:t>项目负责人：三基塔</w:t>
            </w:r>
          </w:p>
        </w:tc>
        <w:tc>
          <w:tcPr>
            <w:tcW w:w="4939"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黑体" w:hAnsi="黑体" w:eastAsia="黑体" w:cs="黑体"/>
                <w:i w:val="0"/>
                <w:iCs w:val="0"/>
                <w:color w:val="000000"/>
                <w:kern w:val="0"/>
                <w:sz w:val="18"/>
                <w:szCs w:val="18"/>
                <w:u w:val="none"/>
                <w:lang w:val="en-US" w:eastAsia="zh-CN" w:bidi="ar"/>
              </w:rPr>
              <w:t>财务负责人：刘占</w:t>
            </w:r>
          </w:p>
        </w:tc>
      </w:tr>
    </w:tbl>
    <w:p>
      <w:r>
        <w:br w:type="page"/>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黑水县晴朗乡人民政府</w:t>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zh-CN"/>
        </w:rPr>
        <w:t>晴朗乡2024年沙窝村生活污水治理项目</w:t>
      </w:r>
      <w:r>
        <w:rPr>
          <w:rFonts w:hint="eastAsia" w:ascii="方正小标宋_GBK" w:hAnsi="方正小标宋_GBK" w:eastAsia="方正小标宋_GBK" w:cs="方正小标宋_GBK"/>
          <w:sz w:val="44"/>
          <w:szCs w:val="44"/>
        </w:rPr>
        <w:t>专项预算绩效自评报告</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p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（一）设立背景及基本情况。</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黑水县沙窝村农村生活污水处理，由25 座居民建筑组成，其中 2 座公共厕所，设计其生活污水排放系统。项目所在地块相邻道路无市政给排水基础设施管网，污水经处理后排至周边农田灌溉。</w:t>
      </w:r>
      <w:r>
        <w:rPr>
          <w:rFonts w:hint="eastAsia" w:ascii="仿宋_GB2312" w:hAnsi="仿宋_GB2312" w:eastAsia="仿宋_GB2312" w:cs="仿宋_GB2312"/>
          <w:sz w:val="32"/>
          <w:szCs w:val="32"/>
          <w:lang w:val="en-US" w:eastAsia="zh-CN"/>
        </w:rPr>
        <w:t>晴朗乡人民政府</w:t>
      </w:r>
      <w:r>
        <w:rPr>
          <w:rFonts w:hint="eastAsia" w:ascii="仿宋_GB2312" w:hAnsi="仿宋_GB2312" w:eastAsia="仿宋_GB2312" w:cs="仿宋_GB2312"/>
          <w:sz w:val="32"/>
          <w:szCs w:val="32"/>
        </w:rPr>
        <w:t>承担专项资金绩效管理的主体责任，主要负责</w:t>
      </w:r>
      <w:r>
        <w:rPr>
          <w:rFonts w:hint="eastAsia" w:ascii="仿宋_GB2312" w:hAnsi="仿宋_GB2312" w:cs="仿宋_GB2312"/>
          <w:sz w:val="32"/>
          <w:szCs w:val="32"/>
          <w:lang w:val="en-US" w:eastAsia="zh-CN"/>
        </w:rPr>
        <w:t>根据文件要求执行</w:t>
      </w:r>
      <w:r>
        <w:rPr>
          <w:rFonts w:hint="eastAsia" w:ascii="仿宋_GB2312" w:hAnsi="仿宋_GB2312" w:eastAsia="仿宋_GB2312" w:cs="仿宋_GB2312"/>
          <w:sz w:val="32"/>
          <w:szCs w:val="32"/>
        </w:rPr>
        <w:t>专项资金分配方案，制定项目管理制度，组织项目评审和实施，开展项目验收、绩效评价和监督检查等工作。</w:t>
      </w:r>
    </w:p>
    <w:p>
      <w:pPr>
        <w:spacing w:line="560" w:lineRule="exact"/>
        <w:ind w:firstLine="642" w:firstLineChars="200"/>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（二）</w:t>
      </w:r>
      <w:r>
        <w:rPr>
          <w:rFonts w:hint="eastAsia" w:ascii="方正楷体_GBK" w:hAnsi="方正楷体_GBK" w:eastAsia="方正楷体_GBK" w:cs="方正楷体_GBK"/>
          <w:b/>
          <w:sz w:val="32"/>
          <w:szCs w:val="32"/>
        </w:rPr>
        <w:t>实施目的及支持方向。</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黑水县沙窝村农村生活污水处理，本工程规划用地面积约 89588.76㎡，由25 座居民建筑组成，其中 2 座公共厕所，设计其生活污水排放系统。项目所在地块相邻道路无市政给排水基础设施管网，污水经处理后排至周边农田灌溉。</w:t>
      </w:r>
    </w:p>
    <w:p>
      <w:pPr>
        <w:numPr>
          <w:ilvl w:val="0"/>
          <w:numId w:val="0"/>
        </w:num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（三）</w:t>
      </w:r>
      <w:r>
        <w:rPr>
          <w:rFonts w:hint="eastAsia" w:ascii="方正楷体_GBK" w:hAnsi="方正楷体_GBK" w:eastAsia="方正楷体_GBK" w:cs="方正楷体_GBK"/>
          <w:b/>
          <w:sz w:val="32"/>
          <w:szCs w:val="32"/>
        </w:rPr>
        <w:t>预算安排及分配管理</w:t>
      </w:r>
      <w:r>
        <w:rPr>
          <w:rFonts w:hint="eastAsia" w:ascii="方正楷体_GBK" w:hAnsi="方正楷体_GBK" w:eastAsia="方正楷体_GBK" w:cs="方正楷体_GBK"/>
          <w:b/>
          <w:sz w:val="32"/>
          <w:szCs w:val="32"/>
          <w:lang w:val="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预算申报项目资金为7.68万元，批复金额为7.68万元，实际使用金额7.68万元，项目资金符合资金管理办法等相关规定。资金按批复金额在项目实施前全部到位，与资金计划相契合，资金到位率、到位及时性均为100%，保障项目能够如期开展。资金由乡政府监管，各村结合实际报销。</w:t>
      </w:r>
    </w:p>
    <w:p>
      <w:pPr>
        <w:keepNext w:val="0"/>
        <w:keepLines w:val="0"/>
        <w:pageBreakBefore w:val="0"/>
        <w:numPr>
          <w:ilvl w:val="0"/>
          <w:numId w:val="1"/>
        </w:numPr>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项目绩效目标设置。</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保障工作经费及时到位，</w:t>
      </w:r>
      <w:r>
        <w:rPr>
          <w:rFonts w:hint="eastAsia" w:ascii="仿宋_GB2312" w:hAnsi="仿宋_GB2312" w:eastAsia="仿宋_GB2312" w:cs="仿宋_GB2312"/>
          <w:sz w:val="32"/>
          <w:szCs w:val="32"/>
          <w:lang w:val="zh-CN" w:eastAsia="zh-CN"/>
        </w:rPr>
        <w:t>保障</w:t>
      </w:r>
      <w:r>
        <w:rPr>
          <w:rFonts w:hint="eastAsia" w:ascii="仿宋_GB2312" w:hAnsi="仿宋_GB2312" w:eastAsia="仿宋_GB2312" w:cs="仿宋_GB2312"/>
          <w:sz w:val="32"/>
          <w:szCs w:val="32"/>
          <w:lang w:val="en-US" w:eastAsia="zh-CN"/>
        </w:rPr>
        <w:t>晴朗</w:t>
      </w:r>
      <w:r>
        <w:rPr>
          <w:rFonts w:hint="eastAsia" w:ascii="仿宋_GB2312" w:hAnsi="仿宋_GB2312" w:eastAsia="仿宋_GB2312" w:cs="仿宋_GB2312"/>
          <w:sz w:val="32"/>
          <w:szCs w:val="32"/>
          <w:lang w:val="zh-CN" w:eastAsia="zh-CN"/>
        </w:rPr>
        <w:t>乡</w:t>
      </w:r>
      <w:r>
        <w:rPr>
          <w:rFonts w:hint="eastAsia" w:ascii="仿宋_GB2312" w:hAnsi="仿宋_GB2312" w:eastAsia="仿宋_GB2312" w:cs="仿宋_GB2312"/>
          <w:sz w:val="32"/>
          <w:szCs w:val="32"/>
          <w:lang w:val="en-US" w:eastAsia="zh-CN"/>
        </w:rPr>
        <w:t>工作高效运行</w:t>
      </w:r>
      <w:r>
        <w:rPr>
          <w:rFonts w:hint="eastAsia" w:ascii="仿宋_GB2312" w:hAnsi="仿宋_GB2312" w:eastAsia="仿宋_GB2312" w:cs="仿宋_GB2312"/>
          <w:sz w:val="32"/>
          <w:szCs w:val="32"/>
          <w:lang w:val="zh-CN" w:eastAsia="zh-CN"/>
        </w:rPr>
        <w:t>，充分发挥职工履职积极性，确保工作</w:t>
      </w:r>
      <w:r>
        <w:rPr>
          <w:rFonts w:hint="eastAsia" w:ascii="仿宋_GB2312" w:hAnsi="仿宋_GB2312" w:eastAsia="仿宋_GB2312" w:cs="仿宋_GB2312"/>
          <w:sz w:val="32"/>
          <w:szCs w:val="32"/>
          <w:lang w:val="en-US" w:eastAsia="zh-CN"/>
        </w:rPr>
        <w:t>成效</w:t>
      </w:r>
      <w:r>
        <w:rPr>
          <w:rFonts w:hint="eastAsia" w:ascii="仿宋_GB2312" w:hAnsi="仿宋_GB2312" w:eastAsia="仿宋_GB2312" w:cs="仿宋_GB2312"/>
          <w:sz w:val="32"/>
          <w:szCs w:val="32"/>
          <w:lang w:val="zh-CN" w:eastAsia="zh-CN"/>
        </w:rPr>
        <w:t>不断提升。</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二、评价实施</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（一）评价目的。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对预算资金的投入、过程、产出、效果四个方面进行绩效评价，反映项目规范性、绩效目标设立的合理性和科学性、资金到位、支出情况，形成真实完整数据准确、分析透彻、逻辑清晰、客观公正的绩效评价结论为项目后续资金投入、分配和管理提供决策依据；同时作为以后年度晴朗乡编制预算和安排财政项目资金的重要依据逐步树立以结果为导向、讲求绩效的观念。</w:t>
      </w:r>
    </w:p>
    <w:p>
      <w:pPr>
        <w:pStyle w:val="2"/>
        <w:keepNext w:val="0"/>
        <w:keepLines w:val="0"/>
        <w:pageBreakBefore w:val="0"/>
        <w:kinsoku/>
        <w:wordWrap/>
        <w:overflowPunct/>
        <w:topLinePunct w:val="0"/>
        <w:bidi w:val="0"/>
        <w:spacing w:line="560" w:lineRule="exact"/>
        <w:ind w:left="0" w:leftChars="0"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（二）预设问题及评价重点。</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本次评价主要针对该项目的规划编制的内容完整性和项目实施工作的质量问题，结合该项目资金的使用情况来完整地体现。</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仿宋_GB2312" w:hAnsi="仿宋_GB2312" w:eastAsia="仿宋_GB2312" w:cs="仿宋_GB2312"/>
          <w:b/>
          <w:sz w:val="32"/>
          <w:szCs w:val="32"/>
          <w:lang w:val="zh-CN"/>
        </w:rPr>
      </w:pPr>
      <w:r>
        <w:rPr>
          <w:rFonts w:hint="eastAsia" w:ascii="方正楷体_GBK" w:hAnsi="方正楷体_GBK" w:eastAsia="方正楷体_GBK" w:cs="方正楷体_GBK"/>
          <w:b/>
          <w:sz w:val="32"/>
          <w:szCs w:val="32"/>
          <w:lang w:val="zh-CN"/>
        </w:rPr>
        <w:t>（三）评价选点。</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晴朗乡2024年沙窝村生活污水治理项目主要开展地点为</w:t>
      </w:r>
      <w:r>
        <w:rPr>
          <w:rFonts w:hint="eastAsia" w:ascii="仿宋_GB2312" w:hAnsi="仿宋_GB2312" w:eastAsia="仿宋_GB2312" w:cs="仿宋_GB2312"/>
          <w:sz w:val="32"/>
          <w:szCs w:val="32"/>
          <w:lang w:val="zh-CN" w:eastAsia="zh-CN"/>
        </w:rPr>
        <w:t>黑水</w:t>
      </w:r>
      <w:r>
        <w:rPr>
          <w:rFonts w:hint="eastAsia" w:ascii="仿宋_GB2312" w:hAnsi="仿宋_GB2312" w:eastAsia="仿宋_GB2312" w:cs="仿宋_GB2312"/>
          <w:sz w:val="32"/>
          <w:szCs w:val="32"/>
          <w:lang w:val="zh-CN"/>
        </w:rPr>
        <w:t>县</w:t>
      </w:r>
      <w:r>
        <w:rPr>
          <w:rFonts w:hint="eastAsia" w:ascii="仿宋_GB2312" w:hAnsi="仿宋_GB2312" w:eastAsia="仿宋_GB2312" w:cs="仿宋_GB2312"/>
          <w:sz w:val="32"/>
          <w:szCs w:val="32"/>
          <w:lang w:val="en-US" w:eastAsia="zh-CN"/>
        </w:rPr>
        <w:t>晴朗乡</w:t>
      </w:r>
      <w:r>
        <w:rPr>
          <w:rFonts w:hint="eastAsia" w:ascii="仿宋_GB2312" w:hAnsi="仿宋_GB2312" w:eastAsia="仿宋_GB2312" w:cs="仿宋_GB2312"/>
          <w:sz w:val="32"/>
          <w:szCs w:val="32"/>
          <w:lang w:val="zh-CN"/>
        </w:rPr>
        <w:t>，本次绩效评价主体为</w:t>
      </w:r>
      <w:r>
        <w:rPr>
          <w:rFonts w:hint="eastAsia" w:ascii="仿宋_GB2312" w:hAnsi="仿宋_GB2312" w:eastAsia="仿宋_GB2312" w:cs="仿宋_GB2312"/>
          <w:sz w:val="32"/>
          <w:szCs w:val="32"/>
          <w:lang w:val="en-US" w:eastAsia="zh-CN"/>
        </w:rPr>
        <w:t>黑水县晴朗乡人民政府</w:t>
      </w:r>
      <w:r>
        <w:rPr>
          <w:rFonts w:hint="eastAsia" w:ascii="仿宋_GB2312" w:hAnsi="仿宋_GB2312" w:eastAsia="仿宋_GB2312" w:cs="仿宋_GB2312"/>
          <w:sz w:val="32"/>
          <w:szCs w:val="32"/>
          <w:lang w:val="zh-CN"/>
        </w:rPr>
        <w:t>，项目不</w:t>
      </w:r>
      <w:r>
        <w:rPr>
          <w:rFonts w:hint="eastAsia" w:ascii="仿宋_GB2312" w:hAnsi="仿宋_GB2312" w:eastAsia="仿宋_GB2312" w:cs="仿宋_GB2312"/>
          <w:sz w:val="32"/>
          <w:szCs w:val="32"/>
          <w:lang w:val="zh-CN" w:eastAsia="zh-CN"/>
        </w:rPr>
        <w:t>涉及其他单位</w:t>
      </w:r>
      <w:r>
        <w:rPr>
          <w:rFonts w:hint="eastAsia" w:ascii="仿宋_GB2312" w:hAnsi="仿宋_GB2312" w:eastAsia="仿宋_GB2312" w:cs="仿宋_GB2312"/>
          <w:sz w:val="32"/>
          <w:szCs w:val="32"/>
          <w:lang w:val="zh-CN"/>
        </w:rPr>
        <w:t>。</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（四）</w:t>
      </w:r>
      <w:r>
        <w:rPr>
          <w:rFonts w:hint="eastAsia" w:ascii="方正楷体_GBK" w:hAnsi="方正楷体_GBK" w:eastAsia="方正楷体_GBK" w:cs="方正楷体_GBK"/>
          <w:b/>
          <w:sz w:val="32"/>
          <w:szCs w:val="32"/>
          <w:lang w:val="zh-CN"/>
        </w:rPr>
        <w:t>评价方法。</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采用先进的绩效评价方法和科学的数据分析是取得正确客观评价结论的重要保障，结合</w:t>
      </w:r>
      <w:r>
        <w:rPr>
          <w:rFonts w:hint="eastAsia" w:ascii="仿宋_GB2312" w:hAnsi="仿宋_GB2312" w:eastAsia="仿宋_GB2312" w:cs="仿宋_GB2312"/>
          <w:sz w:val="32"/>
          <w:szCs w:val="32"/>
          <w:lang w:val="en-US" w:eastAsia="zh-CN"/>
        </w:rPr>
        <w:t>晴朗乡2024年沙窝村生活污水治理经费专项工作经费项目</w:t>
      </w:r>
      <w:r>
        <w:rPr>
          <w:rFonts w:hint="eastAsia" w:ascii="仿宋_GB2312" w:hAnsi="仿宋_GB2312" w:eastAsia="仿宋_GB2312" w:cs="仿宋_GB2312"/>
          <w:sz w:val="32"/>
          <w:szCs w:val="32"/>
          <w:lang w:val="zh-CN"/>
        </w:rPr>
        <w:t>的特点，经与评价组织沟通后采取以下绩效评价方法：</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1.公众评判法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晴朗乡2024年沙窝村生活污水治理经费</w:t>
      </w:r>
      <w:r>
        <w:rPr>
          <w:rFonts w:hint="eastAsia" w:ascii="仿宋_GB2312" w:hAnsi="仿宋_GB2312" w:eastAsia="仿宋_GB2312" w:cs="仿宋_GB2312"/>
          <w:sz w:val="32"/>
          <w:szCs w:val="32"/>
          <w:lang w:val="zh-CN" w:eastAsia="zh-CN"/>
        </w:rPr>
        <w:t>具有较为清晰的服务群体，且该项目绩效状况的优劣，很大程度上体现在</w:t>
      </w:r>
      <w:r>
        <w:rPr>
          <w:rFonts w:hint="eastAsia" w:ascii="仿宋_GB2312" w:hAnsi="仿宋_GB2312" w:eastAsia="仿宋_GB2312" w:cs="仿宋_GB2312"/>
          <w:sz w:val="32"/>
          <w:szCs w:val="32"/>
          <w:lang w:val="en-US" w:eastAsia="zh-CN"/>
        </w:rPr>
        <w:t>晴朗乡2024年沙窝村生活污水治理经费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晴朗乡2024年沙窝村生活污水治理经费</w:t>
      </w:r>
      <w:r>
        <w:rPr>
          <w:rFonts w:hint="eastAsia" w:ascii="仿宋_GB2312" w:hAnsi="仿宋_GB2312" w:eastAsia="仿宋_GB2312" w:cs="仿宋_GB2312"/>
          <w:sz w:val="32"/>
          <w:szCs w:val="32"/>
          <w:lang w:val="zh-CN" w:eastAsia="zh-CN"/>
        </w:rPr>
        <w:t>覆盖率。为此，与该项目评价的具体指标相对应，按照一定比例，以电</w:t>
      </w:r>
      <w:r>
        <w:rPr>
          <w:rFonts w:hint="eastAsia" w:ascii="仿宋_GB2312" w:hAnsi="仿宋_GB2312" w:eastAsia="仿宋_GB2312" w:cs="仿宋_GB2312"/>
          <w:sz w:val="32"/>
          <w:szCs w:val="32"/>
          <w:lang w:val="en-US" w:eastAsia="zh-CN"/>
        </w:rPr>
        <w:t>话</w:t>
      </w:r>
      <w:r>
        <w:rPr>
          <w:rFonts w:hint="eastAsia" w:ascii="仿宋_GB2312" w:hAnsi="仿宋_GB2312" w:eastAsia="仿宋_GB2312" w:cs="仿宋_GB2312"/>
          <w:sz w:val="32"/>
          <w:szCs w:val="32"/>
          <w:lang w:val="zh-CN" w:eastAsia="zh-CN"/>
        </w:rPr>
        <w:t>询问等方式进行调查，收集、分析所取得的样本数据，从而推断确定目标群体的满意度，进而评价满意度指标。</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2.成本效益分析法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本项目将资金投入与</w:t>
      </w:r>
      <w:r>
        <w:rPr>
          <w:rFonts w:hint="eastAsia" w:ascii="仿宋_GB2312" w:hAnsi="仿宋_GB2312" w:eastAsia="仿宋_GB2312" w:cs="仿宋_GB2312"/>
          <w:sz w:val="32"/>
          <w:szCs w:val="32"/>
          <w:lang w:val="en-US" w:eastAsia="zh-CN"/>
        </w:rPr>
        <w:t>晴朗乡2024年沙窝村生活污水治理经费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晴朗乡2024年沙窝村生活污水治理经费</w:t>
      </w:r>
      <w:r>
        <w:rPr>
          <w:rFonts w:hint="eastAsia" w:ascii="仿宋_GB2312" w:hAnsi="仿宋_GB2312" w:eastAsia="仿宋_GB2312" w:cs="仿宋_GB2312"/>
          <w:sz w:val="32"/>
          <w:szCs w:val="32"/>
          <w:lang w:val="zh-CN" w:eastAsia="zh-CN"/>
        </w:rPr>
        <w:t>覆盖率、补助标准等进行关联性分析。</w:t>
      </w:r>
    </w:p>
    <w:p>
      <w:pPr>
        <w:pStyle w:val="4"/>
        <w:keepNext w:val="0"/>
        <w:keepLines w:val="0"/>
        <w:pageBreakBefore w:val="0"/>
        <w:kinsoku/>
        <w:wordWrap/>
        <w:overflowPunct/>
        <w:topLinePunct w:val="0"/>
        <w:bidi w:val="0"/>
        <w:spacing w:line="560" w:lineRule="exact"/>
        <w:ind w:firstLine="600"/>
        <w:textAlignment w:val="auto"/>
        <w:rPr>
          <w:rFonts w:hint="eastAsia" w:ascii="方正楷体_GBK" w:hAnsi="方正楷体_GBK" w:eastAsia="方正楷体_GBK" w:cs="方正楷体_GBK"/>
          <w:b/>
          <w:bCs w:val="0"/>
          <w:sz w:val="32"/>
          <w:szCs w:val="32"/>
        </w:rPr>
      </w:pPr>
      <w:r>
        <w:rPr>
          <w:rFonts w:hint="eastAsia" w:ascii="方正楷体_GBK" w:hAnsi="方正楷体_GBK" w:eastAsia="方正楷体_GBK" w:cs="方正楷体_GBK"/>
          <w:b/>
          <w:bCs w:val="0"/>
          <w:sz w:val="32"/>
          <w:szCs w:val="32"/>
          <w:lang w:val="zh-CN"/>
        </w:rPr>
        <w:t>（五）评价组织。</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1.领导小组职责：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（1）研究和决定单位管理绩效评价中的重大问题。</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（2）组织协调绩效评价工作，确保评价的顺利进行。</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（3）对工作目标、绩效考核结果和等次、奖惩方案进行审核，并报乡党委和政府审定。</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2.办公室职责：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（1）提出政府绩效评价的工作方案，并负责具体组织实施。</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（2）综合评价信息，提出评价结果等次认定方案及奖惩方案等。</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（3）负责绩效评价的日常工作，包括宣传、沟通、协调等。</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（4）根据评价结果撰写绩效评价报告，并递交给领导小组。</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3.具体执行人员职责：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（1）组长：审批绩效自评方案，监督、检查、核实绩效自评结果。</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三、绩效分析</w:t>
      </w:r>
      <w:r>
        <w:rPr>
          <w:rFonts w:hint="eastAsia" w:ascii="黑体" w:hAnsi="黑体" w:eastAsia="黑体" w:cs="黑体"/>
          <w:sz w:val="32"/>
          <w:szCs w:val="32"/>
          <w:lang w:val="zh-CN"/>
        </w:rPr>
        <w:tab/>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根据项目预算绩效评价指标体系“通用指标”“专用指标”“个性指标”涉及二、三级指标进行逐项绩效分析并评分。</w:t>
      </w:r>
    </w:p>
    <w:p>
      <w:pPr>
        <w:keepNext w:val="0"/>
        <w:keepLines w:val="0"/>
        <w:pageBreakBefore w:val="0"/>
        <w:kinsoku/>
        <w:wordWrap/>
        <w:overflowPunct/>
        <w:topLinePunct w:val="0"/>
        <w:bidi w:val="0"/>
        <w:spacing w:line="560" w:lineRule="exact"/>
        <w:ind w:firstLine="640"/>
        <w:textAlignment w:val="auto"/>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（一）</w:t>
      </w:r>
      <w:r>
        <w:rPr>
          <w:rFonts w:hint="eastAsia" w:ascii="方正楷体_GBK" w:hAnsi="方正楷体_GBK" w:eastAsia="方正楷体_GBK" w:cs="方正楷体_GBK"/>
          <w:b/>
          <w:sz w:val="32"/>
          <w:szCs w:val="32"/>
        </w:rPr>
        <w:t>通用指标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项目决策。</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项目决策程序严密</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zh-CN"/>
        </w:rPr>
        <w:t>村干部</w:t>
      </w:r>
      <w:r>
        <w:rPr>
          <w:rFonts w:hint="eastAsia" w:ascii="仿宋_GB2312" w:hAnsi="仿宋_GB2312" w:eastAsia="仿宋_GB2312" w:cs="仿宋_GB2312"/>
          <w:sz w:val="32"/>
          <w:szCs w:val="32"/>
          <w:lang w:val="en-US" w:eastAsia="zh-CN"/>
        </w:rPr>
        <w:t>体检费</w:t>
      </w:r>
      <w:r>
        <w:rPr>
          <w:rFonts w:hint="eastAsia" w:ascii="仿宋_GB2312" w:hAnsi="仿宋_GB2312" w:eastAsia="仿宋_GB2312" w:cs="仿宋_GB2312"/>
          <w:sz w:val="32"/>
          <w:szCs w:val="32"/>
          <w:lang w:val="zh-CN"/>
        </w:rPr>
        <w:t>项目设立、调整延续等方面符合资金管理基本规范和决策程序要求；项目规划符合中央、省委、省政府有关决策部署安排；项目总体绩效目标设置合理，绩效目标科学合理、规范完整、量化细化、预算匹配；该项目属于政府支持范围，且符合财政事权支出责任划分规定，资金投向与项目总体规划、相关行业事业发展相匹配；聚焦重大任务、重点领域、重点环节和重点项目，体现“集中力量办大事”原则；该项目未与其他同类项目或部门内部相关项目交叉重复。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项目管理。</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资金管理办法等管理制度体系健全完善，不存在管理制度缺失、管理办法过期情况；项目资金分配因素选取、权重设置、区域分布，项目管理、审批符合管理要求；管资金、管项目、政策管绩效，项目绩效监管按要求开展，指导有力有效。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项目实施。</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资金财政拨付、单位执行和地方配套到位；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共计得分9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项目结果。</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项目完成预期目标，实施结果与绩效目标相匹配，反映目标实现100%；项目实际完成时间按计划时间完成。共计得分9分。</w:t>
      </w:r>
    </w:p>
    <w:p>
      <w:pPr>
        <w:keepNext w:val="0"/>
        <w:keepLines w:val="0"/>
        <w:pageBreakBefore w:val="0"/>
        <w:numPr>
          <w:ilvl w:val="0"/>
          <w:numId w:val="0"/>
        </w:numPr>
        <w:kinsoku/>
        <w:wordWrap/>
        <w:overflowPunct/>
        <w:topLinePunct w:val="0"/>
        <w:bidi w:val="0"/>
        <w:spacing w:line="560" w:lineRule="exact"/>
        <w:ind w:firstLine="642" w:firstLineChars="20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eastAsia="zh-CN" w:bidi="ar-SA"/>
        </w:rPr>
        <w:t>（二）</w:t>
      </w:r>
      <w:r>
        <w:rPr>
          <w:rFonts w:hint="eastAsia" w:ascii="方正楷体_GBK" w:hAnsi="方正楷体_GBK" w:eastAsia="方正楷体_GBK" w:cs="方正楷体_GBK"/>
          <w:b/>
          <w:sz w:val="32"/>
          <w:szCs w:val="32"/>
        </w:rPr>
        <w:t>专用指标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根据专项预算项目资金支持对象选择所属指标进行绩效分析。支持对象包括产业发展、民生保障、基础设施、行政运转等方面。</w:t>
      </w:r>
      <w:r>
        <w:rPr>
          <w:rFonts w:hint="eastAsia" w:ascii="仿宋_GB2312" w:hAnsi="仿宋_GB2312" w:eastAsia="仿宋_GB2312" w:cs="仿宋_GB2312"/>
          <w:sz w:val="32"/>
          <w:szCs w:val="32"/>
          <w:lang w:val="en-US" w:eastAsia="zh-CN"/>
        </w:rPr>
        <w:t>该项目属</w:t>
      </w:r>
      <w:r>
        <w:rPr>
          <w:rFonts w:hint="eastAsia" w:ascii="仿宋_GB2312" w:hAnsi="仿宋_GB2312" w:eastAsia="仿宋_GB2312" w:cs="仿宋_GB2312"/>
          <w:sz w:val="32"/>
          <w:szCs w:val="32"/>
          <w:lang w:val="zh-CN"/>
        </w:rPr>
        <w:t>民生保障。项目资金分配均衡；资金实际支持对象符合管理要求，符合支持对象范围；资金实际补贴标准符合资金管理办法规定的补助标准并及时按标准兑现；资金涉及相关受益群体、支持对象满意。共计得分30分。</w:t>
      </w:r>
    </w:p>
    <w:p>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sz w:val="32"/>
          <w:szCs w:val="32"/>
          <w:lang w:val="zh-CN"/>
        </w:rPr>
        <w:t>（三）</w:t>
      </w:r>
      <w:r>
        <w:rPr>
          <w:rFonts w:hint="eastAsia" w:ascii="方正楷体_GBK" w:hAnsi="方正楷体_GBK" w:eastAsia="方正楷体_GBK" w:cs="方正楷体_GBK"/>
          <w:b/>
          <w:sz w:val="32"/>
          <w:szCs w:val="32"/>
        </w:rPr>
        <w:t>个性指标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财务管理：</w:t>
      </w:r>
      <w:r>
        <w:rPr>
          <w:rFonts w:hint="eastAsia" w:ascii="仿宋_GB2312" w:hAnsi="仿宋_GB2312" w:eastAsia="仿宋_GB2312" w:cs="仿宋_GB2312"/>
          <w:sz w:val="32"/>
          <w:szCs w:val="32"/>
          <w:lang w:val="en-US" w:eastAsia="zh-CN"/>
        </w:rPr>
        <w:t>该项目财务管理制度健全，资金拨付效率高，财务资料完整。该项目</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预算编制：</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预算编制合理，投</w:t>
      </w:r>
      <w:r>
        <w:rPr>
          <w:rFonts w:hint="eastAsia" w:ascii="仿宋_GB2312" w:hAnsi="仿宋_GB2312" w:eastAsia="仿宋_GB2312" w:cs="仿宋_GB2312"/>
          <w:sz w:val="32"/>
          <w:szCs w:val="32"/>
          <w:lang w:val="en-US" w:eastAsia="zh-CN"/>
        </w:rPr>
        <w:t>资到位及时。</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执行情况：资金已按期拨付，实际执行情况与预算相符，项目实施后已达到预期效果。该项指标得分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按照绩效自评工作要求，秉承客观公正、实事求是的原则开展项目绩效自评工作，经对各类指标进行评分和汇总分析，本项目的绩效评价结果为“优”，综合评分 99分。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kern w:val="2"/>
          <w:position w:val="0"/>
          <w:sz w:val="32"/>
          <w:szCs w:val="32"/>
          <w:lang w:eastAsia="zh-CN"/>
        </w:rPr>
      </w:pPr>
      <w:r>
        <w:rPr>
          <w:rFonts w:hint="eastAsia" w:ascii="仿宋_GB2312" w:hAnsi="仿宋_GB2312" w:eastAsia="仿宋_GB2312" w:cs="仿宋_GB2312"/>
          <w:position w:val="0"/>
          <w:sz w:val="32"/>
          <w:szCs w:val="32"/>
          <w:lang w:eastAsia="zh-CN"/>
        </w:rPr>
        <w:t>无。</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tabs>
          <w:tab w:val="left" w:pos="1911"/>
        </w:tabs>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无</w:t>
      </w:r>
      <w:r>
        <w:rPr>
          <w:rFonts w:hint="eastAsia" w:ascii="仿宋_GB2312" w:hAnsi="仿宋_GB2312" w:cs="仿宋_GB2312"/>
          <w:kern w:val="0"/>
          <w:sz w:val="32"/>
          <w:szCs w:val="32"/>
          <w:lang w:eastAsia="zh-CN"/>
        </w:rPr>
        <w:t>。</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附表：1.专项预算绩效自评打分表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2.专项预算绩效自评实地踏勘点位清单表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color w:val="000000"/>
          <w:kern w:val="0"/>
          <w:sz w:val="32"/>
          <w:szCs w:val="32"/>
          <w:shd w:val="clear" w:color="auto" w:fill="FFFFFF"/>
        </w:rPr>
        <w:t>3.专项预算项目绩效目标完成情况自评表</w:t>
      </w:r>
    </w:p>
    <w:p>
      <w:pPr>
        <w:spacing w:line="560" w:lineRule="exact"/>
        <w:ind w:firstLine="640" w:firstLineChars="200"/>
        <w:jc w:val="righ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黑水县晴朗乡人民政府</w:t>
      </w:r>
    </w:p>
    <w:p>
      <w:pPr>
        <w:spacing w:line="560" w:lineRule="exact"/>
        <w:ind w:firstLine="640" w:firstLineChars="200"/>
        <w:jc w:val="righ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2025年4月</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0日</w:t>
      </w:r>
    </w:p>
    <w:p>
      <w:pPr>
        <w:snapToGrid w:val="0"/>
        <w:spacing w:line="578" w:lineRule="exact"/>
        <w:rPr>
          <w:rFonts w:eastAsia="黑体"/>
          <w:kern w:val="0"/>
          <w:shd w:val="clear" w:color="auto" w:fill="FFFFFF"/>
        </w:rPr>
      </w:pPr>
      <w:r>
        <w:rPr>
          <w:rFonts w:eastAsia="黑体"/>
          <w:kern w:val="0"/>
          <w:shd w:val="clear" w:color="auto" w:fill="FFFFFF"/>
          <w:lang w:val="zh-CN"/>
        </w:rPr>
        <w:t>附表</w:t>
      </w:r>
      <w:r>
        <w:rPr>
          <w:rFonts w:eastAsia="黑体"/>
          <w:kern w:val="0"/>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tblPrEx>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w:t>
            </w:r>
            <w:r>
              <w:rPr>
                <w:rFonts w:hint="eastAsia" w:ascii="宋体" w:hAnsi="宋体" w:cs="宋体"/>
                <w:color w:val="000000"/>
                <w:kern w:val="0"/>
                <w:sz w:val="24"/>
                <w:szCs w:val="24"/>
                <w:lang w:eastAsia="zh-CN" w:bidi="ar"/>
              </w:rPr>
              <w:t>中央、省委</w:t>
            </w:r>
            <w:r>
              <w:rPr>
                <w:rFonts w:hint="eastAsia" w:ascii="宋体" w:hAnsi="宋体" w:eastAsia="宋体" w:cs="宋体"/>
                <w:color w:val="000000"/>
                <w:kern w:val="0"/>
                <w:sz w:val="24"/>
                <w:szCs w:val="24"/>
                <w:lang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w:t>
            </w:r>
            <w:r>
              <w:rPr>
                <w:rFonts w:hint="eastAsia" w:ascii="宋体" w:hAnsi="宋体" w:cs="宋体"/>
                <w:color w:val="000000"/>
                <w:kern w:val="0"/>
                <w:sz w:val="24"/>
                <w:szCs w:val="24"/>
                <w:lang w:eastAsia="zh-CN" w:bidi="ar"/>
              </w:rPr>
              <w:t>省委、省政府</w:t>
            </w:r>
            <w:r>
              <w:rPr>
                <w:rFonts w:hint="eastAsia" w:ascii="宋体" w:hAnsi="宋体" w:eastAsia="宋体" w:cs="宋体"/>
                <w:color w:val="000000"/>
                <w:kern w:val="0"/>
                <w:sz w:val="24"/>
                <w:szCs w:val="24"/>
                <w:lang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2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357"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财务管理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财务管理不符合专项资金管理要求。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预算编制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预算编制不符合专项资金管理要求。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执行情况</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资金执行不符合专项资金管理要求。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spacing w:line="578" w:lineRule="exact"/>
      </w:pPr>
      <w:r>
        <w:rPr>
          <w:rFonts w:eastAsia="黑体"/>
          <w:kern w:val="0"/>
          <w:shd w:val="clear" w:color="auto" w:fill="FFFFFF"/>
          <w:lang w:val="zh-CN"/>
        </w:rPr>
        <w:br w:type="page"/>
      </w:r>
      <w:r>
        <w:rPr>
          <w:rFonts w:eastAsia="黑体"/>
          <w:kern w:val="0"/>
          <w:shd w:val="clear" w:color="auto" w:fill="FFFFFF"/>
          <w:lang w:val="zh-CN"/>
        </w:rPr>
        <w:t>附表</w:t>
      </w:r>
      <w:r>
        <w:rPr>
          <w:rFonts w:hint="eastAsia"/>
          <w:kern w:val="0"/>
          <w:shd w:val="clear" w:color="auto" w:fill="FFFFFF"/>
        </w:rPr>
        <w:t>2</w:t>
      </w:r>
    </w:p>
    <w:p>
      <w:pPr>
        <w:spacing w:line="578" w:lineRule="exact"/>
        <w:jc w:val="center"/>
        <w:rPr>
          <w:rFonts w:eastAsia="方正小标宋_GBK"/>
          <w:sz w:val="40"/>
          <w:szCs w:val="40"/>
        </w:rPr>
      </w:pPr>
      <w:r>
        <w:rPr>
          <w:rFonts w:eastAsia="方正小标宋_GBK"/>
          <w:sz w:val="40"/>
          <w:szCs w:val="40"/>
        </w:rPr>
        <w:t>专项预算绩效自评实地踏勘点位清单表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黑体"/>
                <w:sz w:val="24"/>
                <w:szCs w:val="24"/>
              </w:rPr>
            </w:pPr>
            <w:r>
              <w:rPr>
                <w:rFonts w:eastAsia="黑体"/>
                <w:sz w:val="24"/>
                <w:szCs w:val="24"/>
              </w:rPr>
              <w:t>序号</w:t>
            </w:r>
          </w:p>
        </w:tc>
        <w:tc>
          <w:tcPr>
            <w:tcW w:w="5956" w:type="dxa"/>
            <w:noWrap w:val="0"/>
            <w:vAlign w:val="top"/>
          </w:tcPr>
          <w:p>
            <w:pPr>
              <w:spacing w:line="300" w:lineRule="exact"/>
              <w:jc w:val="center"/>
              <w:rPr>
                <w:rFonts w:eastAsia="黑体"/>
                <w:sz w:val="24"/>
                <w:szCs w:val="24"/>
                <w:lang w:val="en"/>
              </w:rPr>
            </w:pPr>
            <w:r>
              <w:rPr>
                <w:rFonts w:eastAsia="黑体"/>
                <w:sz w:val="24"/>
                <w:szCs w:val="24"/>
              </w:rPr>
              <w:t>实地踏勘点位</w:t>
            </w:r>
          </w:p>
        </w:tc>
        <w:tc>
          <w:tcPr>
            <w:tcW w:w="905" w:type="dxa"/>
            <w:noWrap w:val="0"/>
            <w:vAlign w:val="top"/>
          </w:tcPr>
          <w:p>
            <w:pPr>
              <w:spacing w:line="300" w:lineRule="exact"/>
              <w:jc w:val="center"/>
              <w:rPr>
                <w:rFonts w:eastAsia="黑体"/>
                <w:sz w:val="24"/>
                <w:szCs w:val="24"/>
              </w:rPr>
            </w:pPr>
            <w:r>
              <w:rPr>
                <w:rFonts w:eastAsia="黑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w:t>
            </w:r>
          </w:p>
        </w:tc>
        <w:tc>
          <w:tcPr>
            <w:tcW w:w="5956" w:type="dxa"/>
            <w:noWrap w:val="0"/>
            <w:vAlign w:val="top"/>
          </w:tcPr>
          <w:p>
            <w:pPr>
              <w:spacing w:line="300" w:lineRule="exact"/>
              <w:jc w:val="center"/>
              <w:rPr>
                <w:rFonts w:hint="default" w:eastAsia="仿宋_GB2312"/>
                <w:sz w:val="24"/>
                <w:szCs w:val="24"/>
                <w:lang w:val="en-US" w:eastAsia="zh-CN"/>
              </w:rPr>
            </w:pPr>
            <w:r>
              <w:rPr>
                <w:rFonts w:hint="eastAsia"/>
                <w:sz w:val="24"/>
                <w:szCs w:val="24"/>
                <w:lang w:val="en-US" w:eastAsia="zh-CN"/>
              </w:rPr>
              <w:t>黑水县晴朗乡人民政府</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8</w:t>
            </w:r>
          </w:p>
        </w:tc>
        <w:tc>
          <w:tcPr>
            <w:tcW w:w="5956" w:type="dxa"/>
            <w:noWrap w:val="0"/>
            <w:vAlign w:val="top"/>
          </w:tcPr>
          <w:p>
            <w:pPr>
              <w:spacing w:line="300" w:lineRule="exact"/>
              <w:jc w:val="center"/>
              <w:rPr>
                <w:sz w:val="24"/>
                <w:szCs w:val="24"/>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9</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10</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11</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18</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19</w:t>
            </w:r>
          </w:p>
        </w:tc>
        <w:tc>
          <w:tcPr>
            <w:tcW w:w="5956" w:type="dxa"/>
            <w:noWrap w:val="0"/>
            <w:vAlign w:val="top"/>
          </w:tcPr>
          <w:p>
            <w:pPr>
              <w:spacing w:line="300" w:lineRule="exact"/>
              <w:jc w:val="center"/>
              <w:rPr>
                <w:sz w:val="24"/>
                <w:szCs w:val="24"/>
                <w:lang w:val="en"/>
              </w:rPr>
            </w:pPr>
            <w:r>
              <w:rPr>
                <w:rFonts w:hint="eastAsia"/>
                <w:sz w:val="24"/>
                <w:szCs w:val="24"/>
                <w:lang w:val="en"/>
              </w:rPr>
              <w:t>……</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20</w:t>
            </w:r>
          </w:p>
        </w:tc>
        <w:tc>
          <w:tcPr>
            <w:tcW w:w="5956" w:type="dxa"/>
            <w:noWrap w:val="0"/>
            <w:vAlign w:val="top"/>
          </w:tcPr>
          <w:p>
            <w:pPr>
              <w:spacing w:line="300" w:lineRule="exact"/>
              <w:rPr>
                <w:sz w:val="24"/>
                <w:szCs w:val="24"/>
                <w:lang w:val="en"/>
              </w:rPr>
            </w:pPr>
          </w:p>
        </w:tc>
        <w:tc>
          <w:tcPr>
            <w:tcW w:w="905" w:type="dxa"/>
            <w:noWrap w:val="0"/>
            <w:vAlign w:val="top"/>
          </w:tcPr>
          <w:p>
            <w:pPr>
              <w:spacing w:line="300" w:lineRule="exact"/>
              <w:rPr>
                <w:sz w:val="24"/>
                <w:szCs w:val="24"/>
              </w:rPr>
            </w:pPr>
          </w:p>
        </w:tc>
      </w:tr>
    </w:tbl>
    <w:p>
      <w:pPr>
        <w:spacing w:line="400" w:lineRule="exact"/>
        <w:jc w:val="center"/>
        <w:rPr>
          <w:rFonts w:eastAsia="宋体"/>
          <w:sz w:val="21"/>
          <w:szCs w:val="21"/>
        </w:rPr>
      </w:pPr>
      <w:r>
        <w:rPr>
          <w:rFonts w:eastAsia="宋体"/>
          <w:sz w:val="21"/>
          <w:szCs w:val="21"/>
        </w:rPr>
        <w:t>备注：项目</w:t>
      </w:r>
      <w:r>
        <w:rPr>
          <w:rFonts w:hint="eastAsia" w:eastAsia="宋体"/>
          <w:sz w:val="21"/>
          <w:szCs w:val="21"/>
        </w:rPr>
        <w:t>实地踏勘</w:t>
      </w:r>
      <w:r>
        <w:rPr>
          <w:rFonts w:eastAsia="宋体"/>
          <w:sz w:val="21"/>
          <w:szCs w:val="21"/>
        </w:rPr>
        <w:t>点位包括市（州）本级、县（市、区）</w:t>
      </w:r>
      <w:r>
        <w:rPr>
          <w:rFonts w:hint="eastAsia" w:eastAsia="宋体"/>
          <w:sz w:val="21"/>
          <w:szCs w:val="21"/>
        </w:rPr>
        <w:t>本级及有关项目、单位、公司</w:t>
      </w:r>
      <w:r>
        <w:rPr>
          <w:rFonts w:eastAsia="宋体"/>
          <w:sz w:val="21"/>
          <w:szCs w:val="21"/>
        </w:rPr>
        <w:t>等。</w:t>
      </w:r>
    </w:p>
    <w:p>
      <w:pPr>
        <w:snapToGrid w:val="0"/>
        <w:spacing w:line="578" w:lineRule="exact"/>
        <w:rPr>
          <w:rFonts w:eastAsia="黑体"/>
          <w:kern w:val="0"/>
          <w:shd w:val="clear" w:color="auto" w:fill="FFFFFF"/>
          <w:lang w:val="zh-CN"/>
        </w:rPr>
      </w:pPr>
    </w:p>
    <w:p>
      <w:pPr>
        <w:snapToGrid w:val="0"/>
        <w:spacing w:line="578" w:lineRule="exact"/>
        <w:rPr>
          <w:rFonts w:eastAsia="黑体"/>
          <w:kern w:val="0"/>
          <w:shd w:val="clear" w:color="auto" w:fill="FFFFFF"/>
        </w:rPr>
      </w:pPr>
      <w:r>
        <w:rPr>
          <w:rFonts w:eastAsia="黑体"/>
          <w:kern w:val="0"/>
          <w:shd w:val="clear" w:color="auto" w:fill="FFFFFF"/>
          <w:lang w:val="zh-CN"/>
        </w:rPr>
        <w:br w:type="page"/>
      </w:r>
      <w:r>
        <w:rPr>
          <w:rFonts w:eastAsia="黑体"/>
          <w:kern w:val="0"/>
          <w:shd w:val="clear" w:color="auto" w:fill="FFFFFF"/>
          <w:lang w:val="zh-CN"/>
        </w:rPr>
        <w:t>附表</w:t>
      </w:r>
      <w:r>
        <w:rPr>
          <w:rFonts w:hint="eastAsia" w:eastAsia="黑体"/>
          <w:kern w:val="0"/>
          <w:shd w:val="clear" w:color="auto" w:fill="FFFFFF"/>
        </w:rPr>
        <w:t>3</w:t>
      </w:r>
    </w:p>
    <w:tbl>
      <w:tblPr>
        <w:tblStyle w:val="10"/>
        <w:tblW w:w="10233" w:type="dxa"/>
        <w:jc w:val="center"/>
        <w:tblLayout w:type="fixed"/>
        <w:tblCellMar>
          <w:top w:w="15" w:type="dxa"/>
          <w:left w:w="15" w:type="dxa"/>
          <w:bottom w:w="15" w:type="dxa"/>
          <w:right w:w="15" w:type="dxa"/>
        </w:tblCellMar>
      </w:tblPr>
      <w:tblGrid>
        <w:gridCol w:w="500"/>
        <w:gridCol w:w="1490"/>
        <w:gridCol w:w="1283"/>
        <w:gridCol w:w="1641"/>
        <w:gridCol w:w="380"/>
        <w:gridCol w:w="1219"/>
        <w:gridCol w:w="381"/>
        <w:gridCol w:w="793"/>
        <w:gridCol w:w="369"/>
        <w:gridCol w:w="326"/>
        <w:gridCol w:w="1851"/>
      </w:tblGrid>
      <w:tr>
        <w:tblPrEx>
          <w:tblCellMar>
            <w:top w:w="15" w:type="dxa"/>
            <w:left w:w="15" w:type="dxa"/>
            <w:bottom w:w="15" w:type="dxa"/>
            <w:right w:w="15" w:type="dxa"/>
          </w:tblCellMar>
        </w:tblPrEx>
        <w:trPr>
          <w:trHeight w:val="576" w:hRule="atLeast"/>
          <w:jc w:val="center"/>
        </w:trPr>
        <w:tc>
          <w:tcPr>
            <w:tcW w:w="10233" w:type="dxa"/>
            <w:gridSpan w:val="11"/>
            <w:noWrap w:val="0"/>
            <w:vAlign w:val="center"/>
          </w:tcPr>
          <w:p>
            <w:pPr>
              <w:keepNext w:val="0"/>
              <w:keepLines w:val="0"/>
              <w:widowControl/>
              <w:suppressLineNumbers w:val="0"/>
              <w:jc w:val="center"/>
              <w:textAlignment w:val="center"/>
              <w:rPr>
                <w:rFonts w:eastAsia="黑体"/>
                <w:color w:val="000000"/>
                <w:sz w:val="30"/>
                <w:szCs w:val="30"/>
              </w:rPr>
            </w:pPr>
            <w:r>
              <w:rPr>
                <w:rFonts w:hint="default" w:ascii="黑体" w:hAnsi="宋体" w:eastAsia="黑体" w:cs="黑体"/>
                <w:b/>
                <w:bCs/>
                <w:i w:val="0"/>
                <w:iCs w:val="0"/>
                <w:color w:val="000000"/>
                <w:kern w:val="0"/>
                <w:sz w:val="30"/>
                <w:szCs w:val="30"/>
                <w:u w:val="none"/>
                <w:lang w:val="en-US" w:eastAsia="zh-CN" w:bidi="ar"/>
              </w:rPr>
              <w:t>部门预算项目支出绩效自评表（2024年度）</w:t>
            </w:r>
          </w:p>
        </w:tc>
      </w:tr>
      <w:tr>
        <w:tblPrEx>
          <w:tblCellMar>
            <w:top w:w="15" w:type="dxa"/>
            <w:left w:w="15" w:type="dxa"/>
            <w:bottom w:w="15" w:type="dxa"/>
            <w:right w:w="15" w:type="dxa"/>
          </w:tblCellMar>
        </w:tblPrEx>
        <w:trPr>
          <w:trHeight w:val="23"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项目名称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51322825T000012981966</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晴朗乡2024年沙窝村生活污水治理项目</w:t>
            </w:r>
          </w:p>
        </w:tc>
      </w:tr>
      <w:tr>
        <w:tblPrEx>
          <w:tblCellMar>
            <w:top w:w="15" w:type="dxa"/>
            <w:left w:w="15" w:type="dxa"/>
            <w:bottom w:w="15" w:type="dxa"/>
            <w:right w:w="15" w:type="dxa"/>
          </w:tblCellMar>
        </w:tblPrEx>
        <w:trPr>
          <w:trHeight w:val="458"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主管部门</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黑水县晴朗乡</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实施单位 （盖章）</w:t>
            </w:r>
          </w:p>
        </w:tc>
        <w:tc>
          <w:tcPr>
            <w:tcW w:w="254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黑水县晴朗乡人民政府（行政及参公）</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项目基本情况</w:t>
            </w: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黑水县沙窝村农村生活污水处理，本工程规划用地面积约 89588.76㎡，</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由25 座居民建筑组成，其中 2 座公共厕所，设计其生活污水排放系统。项目所在地块相邻道路无市政给排水基础设施管网，污水经处理后排至周边农田灌溉。</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2.项目实施内容及过程概述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黑水县沙窝村农村生活污水处理，由25 座居民建筑组成，其中 2 座公共厕所，设计其生活污水排放系统。项目所在地块相邻道路无市政给排水基础设施管网，污水经处理后排至周边农田灌溉。</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预算执行情况（10分）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年度预算数（万元）</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调整后预算数</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预算执行数</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预算执行率</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原因</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总额</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7.68</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7.68</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restart"/>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其中：财政资金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财政专户管理资金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单位资金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7.68</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7.68</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其他资金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绩效指标（90分）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一级指标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三级指标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产出指标</w:t>
            </w:r>
          </w:p>
        </w:tc>
        <w:tc>
          <w:tcPr>
            <w:tcW w:w="128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化粪池</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座（处）</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室外污水管PVC?UDN110</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米</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公厕冲洗水箱</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个</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608" w:hRule="atLeast"/>
          <w:jc w:val="center"/>
        </w:trPr>
        <w:tc>
          <w:tcPr>
            <w:tcW w:w="50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restart"/>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质量指标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项目（工程）验收合格率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auto" w:sz="4" w:space="0"/>
              <w:right w:val="single" w:color="000000"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正常使用率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restart"/>
            <w:tcBorders>
              <w:top w:val="single" w:color="000000" w:sz="4" w:space="0"/>
              <w:left w:val="single" w:color="auto"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6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项目（工程）完成及时率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vMerge w:val="continue"/>
            <w:tcBorders>
              <w:left w:val="single" w:color="auto" w:sz="4" w:space="0"/>
              <w:right w:val="single" w:color="auto" w:sz="4" w:space="0"/>
            </w:tcBorders>
            <w:noWrap w:val="0"/>
            <w:vAlign w:val="center"/>
          </w:tcPr>
          <w:p>
            <w:pPr>
              <w:jc w:val="center"/>
            </w:pPr>
          </w:p>
        </w:tc>
        <w:tc>
          <w:tcPr>
            <w:tcW w:w="1283" w:type="dxa"/>
            <w:vMerge w:val="continue"/>
            <w:tcBorders>
              <w:left w:val="single" w:color="auto" w:sz="4" w:space="0"/>
              <w:right w:val="single" w:color="auto" w:sz="4" w:space="0"/>
            </w:tcBorders>
            <w:noWrap w:val="0"/>
            <w:vAlign w:val="center"/>
          </w:tcPr>
          <w:p>
            <w:pPr>
              <w:jc w:val="center"/>
            </w:pP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开工率</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478"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restart"/>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1283" w:type="dxa"/>
            <w:vMerge w:val="restart"/>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受益脱贫户及监测对象人口数</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人</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36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left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c>
          <w:tcPr>
            <w:tcW w:w="1283" w:type="dxa"/>
            <w:vMerge w:val="continue"/>
            <w:tcBorders>
              <w:left w:val="single" w:color="auto" w:sz="4" w:space="0"/>
              <w:bottom w:val="single" w:color="auto" w:sz="4" w:space="0"/>
              <w:right w:val="single" w:color="auto" w:sz="4" w:space="0"/>
            </w:tcBorders>
            <w:noWrap w:val="0"/>
            <w:vAlign w:val="center"/>
          </w:tcPr>
          <w:p>
            <w:pPr>
              <w:jc w:val="center"/>
            </w:pP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带动周边群众务工</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60</w:t>
            </w:r>
          </w:p>
        </w:tc>
        <w:tc>
          <w:tcPr>
            <w:tcW w:w="38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人次</w:t>
            </w:r>
          </w:p>
        </w:tc>
        <w:tc>
          <w:tcPr>
            <w:tcW w:w="79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60</w:t>
            </w:r>
          </w:p>
        </w:tc>
        <w:tc>
          <w:tcPr>
            <w:tcW w:w="36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left w:val="single" w:color="auto" w:sz="4" w:space="0"/>
              <w:bottom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28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6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受益群众满意度</w:t>
            </w:r>
          </w:p>
        </w:tc>
        <w:tc>
          <w:tcPr>
            <w:tcW w:w="3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auto" w:sz="4" w:space="0"/>
              <w:left w:val="single" w:color="auto" w:sz="4" w:space="0"/>
              <w:bottom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bottom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vMerge w:val="continue"/>
            <w:tcBorders>
              <w:left w:val="single" w:color="auto" w:sz="4" w:space="0"/>
              <w:bottom w:val="single" w:color="auto" w:sz="4" w:space="0"/>
              <w:right w:val="single" w:color="auto" w:sz="4" w:space="0"/>
            </w:tcBorders>
            <w:noWrap w:val="0"/>
            <w:vAlign w:val="center"/>
          </w:tcPr>
          <w:p>
            <w:pPr>
              <w:jc w:val="center"/>
            </w:pPr>
          </w:p>
        </w:tc>
        <w:tc>
          <w:tcPr>
            <w:tcW w:w="1283" w:type="dxa"/>
            <w:vMerge w:val="continue"/>
            <w:tcBorders>
              <w:left w:val="single" w:color="auto" w:sz="4" w:space="0"/>
              <w:bottom w:val="single" w:color="auto" w:sz="4" w:space="0"/>
              <w:right w:val="single" w:color="auto" w:sz="4" w:space="0"/>
            </w:tcBorders>
            <w:noWrap w:val="0"/>
            <w:vAlign w:val="center"/>
          </w:tcPr>
          <w:p>
            <w:pPr>
              <w:jc w:val="center"/>
            </w:pP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受益脱贫户及监测对象满意度</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98</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bl>
    <w:p>
      <w:pPr>
        <w:pStyle w:val="9"/>
        <w:keepNext w:val="0"/>
        <w:keepLines w:val="0"/>
        <w:pageBreakBefore w:val="0"/>
        <w:kinsoku/>
        <w:wordWrap/>
        <w:overflowPunct/>
        <w:topLinePunct w:val="0"/>
        <w:autoSpaceDE/>
        <w:autoSpaceDN/>
        <w:bidi w:val="0"/>
        <w:adjustRightInd/>
        <w:snapToGrid/>
        <w:spacing w:after="0" w:line="240" w:lineRule="exact"/>
        <w:ind w:leftChars="0" w:firstLine="480"/>
        <w:rPr>
          <w:rFonts w:ascii="Times New Roman" w:eastAsia="黑体"/>
          <w:sz w:val="24"/>
          <w:szCs w:val="24"/>
        </w:rPr>
      </w:pPr>
    </w:p>
    <w:p>
      <w:r>
        <w:br w:type="page"/>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黑水县晴朗乡人民政府</w:t>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晴朗乡2024年</w:t>
      </w:r>
      <w:r>
        <w:rPr>
          <w:rFonts w:hint="eastAsia" w:ascii="方正小标宋_GBK" w:hAnsi="方正小标宋_GBK" w:eastAsia="方正小标宋_GBK" w:cs="方正小标宋_GBK"/>
          <w:sz w:val="44"/>
          <w:szCs w:val="44"/>
          <w:lang w:val="zh-CN"/>
        </w:rPr>
        <w:t>晴朗乡红星村文化广场建设</w:t>
      </w:r>
      <w:r>
        <w:rPr>
          <w:rFonts w:hint="eastAsia" w:ascii="方正小标宋_GBK" w:hAnsi="方正小标宋_GBK" w:eastAsia="方正小标宋_GBK" w:cs="方正小标宋_GBK"/>
          <w:sz w:val="44"/>
          <w:szCs w:val="44"/>
        </w:rPr>
        <w:t>项目专项预算绩效自评报告</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p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（一）设立背景及基本情况。</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晴朗乡红星村文化广场建设内容：1.新建凉亭一座，面积36平方米；2.对文化广场地面进行提升改造，面积约180平方米；3.新建文化墙一面，配套文化设施标语。增加群众文化活动场所，丰富群众文化精神县级财政配套专项资金</w:t>
      </w:r>
      <w:r>
        <w:rPr>
          <w:rFonts w:hint="eastAsia" w:ascii="仿宋_GB2312" w:hAnsi="仿宋_GB2312" w:eastAsia="仿宋_GB2312" w:cs="仿宋_GB2312"/>
          <w:sz w:val="32"/>
          <w:szCs w:val="32"/>
          <w:lang w:val="en-US" w:eastAsia="zh-CN"/>
        </w:rPr>
        <w:t>5.37</w:t>
      </w:r>
      <w:r>
        <w:rPr>
          <w:rFonts w:hint="eastAsia" w:ascii="仿宋_GB2312" w:hAnsi="仿宋_GB2312" w:eastAsia="仿宋_GB2312" w:cs="仿宋_GB2312"/>
          <w:sz w:val="32"/>
          <w:szCs w:val="32"/>
          <w:lang w:val="zh-CN"/>
        </w:rPr>
        <w:t>万元。</w:t>
      </w:r>
      <w:r>
        <w:rPr>
          <w:rFonts w:hint="eastAsia" w:ascii="仿宋_GB2312" w:hAnsi="仿宋_GB2312" w:eastAsia="仿宋_GB2312" w:cs="仿宋_GB2312"/>
          <w:sz w:val="32"/>
          <w:szCs w:val="32"/>
          <w:lang w:val="en-US" w:eastAsia="zh-CN"/>
        </w:rPr>
        <w:t>晴朗乡人民政府</w:t>
      </w:r>
      <w:r>
        <w:rPr>
          <w:rFonts w:hint="eastAsia" w:ascii="仿宋_GB2312" w:hAnsi="仿宋_GB2312" w:eastAsia="仿宋_GB2312" w:cs="仿宋_GB2312"/>
          <w:sz w:val="32"/>
          <w:szCs w:val="32"/>
          <w:lang w:val="zh-CN"/>
        </w:rPr>
        <w:t>承担专项资金绩效管理的主体责任，主要负责</w:t>
      </w:r>
      <w:r>
        <w:rPr>
          <w:rFonts w:hint="eastAsia" w:ascii="仿宋_GB2312" w:hAnsi="仿宋_GB2312" w:eastAsia="仿宋_GB2312" w:cs="仿宋_GB2312"/>
          <w:sz w:val="32"/>
          <w:szCs w:val="32"/>
          <w:lang w:val="en-US" w:eastAsia="zh-CN"/>
        </w:rPr>
        <w:t>根据文件要求执行</w:t>
      </w:r>
      <w:r>
        <w:rPr>
          <w:rFonts w:hint="eastAsia" w:ascii="仿宋_GB2312" w:hAnsi="仿宋_GB2312" w:eastAsia="仿宋_GB2312" w:cs="仿宋_GB2312"/>
          <w:sz w:val="32"/>
          <w:szCs w:val="32"/>
          <w:lang w:val="zh-CN"/>
        </w:rPr>
        <w:t>专项资金分配方案，制定项目管理制度，组织项目评审和实施，开展项目验收、绩效评价和监督检查等工作。</w:t>
      </w:r>
    </w:p>
    <w:p>
      <w:pPr>
        <w:spacing w:line="560" w:lineRule="exact"/>
        <w:ind w:firstLine="642" w:firstLineChars="200"/>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（二）</w:t>
      </w:r>
      <w:r>
        <w:rPr>
          <w:rFonts w:hint="eastAsia" w:ascii="方正楷体_GBK" w:hAnsi="方正楷体_GBK" w:eastAsia="方正楷体_GBK" w:cs="方正楷体_GBK"/>
          <w:b/>
          <w:sz w:val="32"/>
          <w:szCs w:val="32"/>
        </w:rPr>
        <w:t>实施目的及支持方向。</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1.新建凉亭一座，面积36平方米；2.对文化广场地面进行提升改造，面积约180平方米；3.新建文化墙一面，配套文化设施标语。</w:t>
      </w:r>
    </w:p>
    <w:p>
      <w:pPr>
        <w:numPr>
          <w:ilvl w:val="0"/>
          <w:numId w:val="0"/>
        </w:num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（三）</w:t>
      </w:r>
      <w:r>
        <w:rPr>
          <w:rFonts w:hint="eastAsia" w:ascii="方正楷体_GBK" w:hAnsi="方正楷体_GBK" w:eastAsia="方正楷体_GBK" w:cs="方正楷体_GBK"/>
          <w:b/>
          <w:sz w:val="32"/>
          <w:szCs w:val="32"/>
        </w:rPr>
        <w:t>预算安排及分配管理</w:t>
      </w:r>
      <w:r>
        <w:rPr>
          <w:rFonts w:hint="eastAsia" w:ascii="方正楷体_GBK" w:hAnsi="方正楷体_GBK" w:eastAsia="方正楷体_GBK" w:cs="方正楷体_GBK"/>
          <w:b/>
          <w:sz w:val="32"/>
          <w:szCs w:val="32"/>
          <w:lang w:val="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预算申报项目资金为5.37万元，批复金额为5.37万元，实际使用金额5.37万元，项目资金符合资金管理办法等相关规定。资金按批复金额在项目实施前全部到位，与资金计划相契合，资金到位率、到位及时性均为100%，保障项目能够如期开展。资金由乡政府监管，各村结合实际报销。</w:t>
      </w:r>
    </w:p>
    <w:p>
      <w:pPr>
        <w:keepNext w:val="0"/>
        <w:keepLines w:val="0"/>
        <w:pageBreakBefore w:val="0"/>
        <w:numPr>
          <w:ilvl w:val="0"/>
          <w:numId w:val="1"/>
        </w:numPr>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项目绩效目标设置。</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保障工作经费及时到位，</w:t>
      </w:r>
      <w:r>
        <w:rPr>
          <w:rFonts w:hint="eastAsia" w:ascii="仿宋_GB2312" w:hAnsi="仿宋_GB2312" w:eastAsia="仿宋_GB2312" w:cs="仿宋_GB2312"/>
          <w:sz w:val="32"/>
          <w:szCs w:val="32"/>
          <w:lang w:val="zh-CN" w:eastAsia="zh-CN"/>
        </w:rPr>
        <w:t>保障</w:t>
      </w:r>
      <w:r>
        <w:rPr>
          <w:rFonts w:hint="eastAsia" w:ascii="仿宋_GB2312" w:hAnsi="仿宋_GB2312" w:eastAsia="仿宋_GB2312" w:cs="仿宋_GB2312"/>
          <w:sz w:val="32"/>
          <w:szCs w:val="32"/>
          <w:lang w:val="en-US" w:eastAsia="zh-CN"/>
        </w:rPr>
        <w:t>晴朗</w:t>
      </w:r>
      <w:r>
        <w:rPr>
          <w:rFonts w:hint="eastAsia" w:ascii="仿宋_GB2312" w:hAnsi="仿宋_GB2312" w:eastAsia="仿宋_GB2312" w:cs="仿宋_GB2312"/>
          <w:sz w:val="32"/>
          <w:szCs w:val="32"/>
          <w:lang w:val="zh-CN" w:eastAsia="zh-CN"/>
        </w:rPr>
        <w:t>乡</w:t>
      </w:r>
      <w:r>
        <w:rPr>
          <w:rFonts w:hint="eastAsia" w:ascii="仿宋_GB2312" w:hAnsi="仿宋_GB2312" w:eastAsia="仿宋_GB2312" w:cs="仿宋_GB2312"/>
          <w:sz w:val="32"/>
          <w:szCs w:val="32"/>
          <w:lang w:val="en-US" w:eastAsia="zh-CN"/>
        </w:rPr>
        <w:t>工作高效运行</w:t>
      </w:r>
      <w:r>
        <w:rPr>
          <w:rFonts w:hint="eastAsia" w:ascii="仿宋_GB2312" w:hAnsi="仿宋_GB2312" w:eastAsia="仿宋_GB2312" w:cs="仿宋_GB2312"/>
          <w:sz w:val="32"/>
          <w:szCs w:val="32"/>
          <w:lang w:val="zh-CN" w:eastAsia="zh-CN"/>
        </w:rPr>
        <w:t>，充分发挥职工履职积极性，确保工作</w:t>
      </w:r>
      <w:r>
        <w:rPr>
          <w:rFonts w:hint="eastAsia" w:ascii="仿宋_GB2312" w:hAnsi="仿宋_GB2312" w:eastAsia="仿宋_GB2312" w:cs="仿宋_GB2312"/>
          <w:sz w:val="32"/>
          <w:szCs w:val="32"/>
          <w:lang w:val="en-US" w:eastAsia="zh-CN"/>
        </w:rPr>
        <w:t>成效</w:t>
      </w:r>
      <w:r>
        <w:rPr>
          <w:rFonts w:hint="eastAsia" w:ascii="仿宋_GB2312" w:hAnsi="仿宋_GB2312" w:eastAsia="仿宋_GB2312" w:cs="仿宋_GB2312"/>
          <w:sz w:val="32"/>
          <w:szCs w:val="32"/>
          <w:lang w:val="zh-CN" w:eastAsia="zh-CN"/>
        </w:rPr>
        <w:t>不断提升。</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二、评价实施</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（一）评价目的。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对预算资金的投入、过程、产出、效果四个方面进行绩效评价，反映项目规范性、绩效目标设立的合理性和科学性、资金到位、支出情况，形成真实完整数据准确、分析透彻、逻辑清晰、客观公正的绩效评价结论为项目后续资金投入、分配和管理提供决策依据；同时作为以后年度晴朗乡编制预算和安排财政项目资金的重要依据逐步树立以结果为导向、讲求绩效的观念。</w:t>
      </w:r>
    </w:p>
    <w:p>
      <w:pPr>
        <w:pStyle w:val="2"/>
        <w:keepNext w:val="0"/>
        <w:keepLines w:val="0"/>
        <w:pageBreakBefore w:val="0"/>
        <w:kinsoku/>
        <w:wordWrap/>
        <w:overflowPunct/>
        <w:topLinePunct w:val="0"/>
        <w:bidi w:val="0"/>
        <w:spacing w:line="560" w:lineRule="exact"/>
        <w:ind w:left="0" w:leftChars="0"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（二）预设问题及评价重点。</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本次评价主要针对该项目的规划编制的内容完整性和项目实施工作的质量问题，结合该项目资金的使用情况来完整地体现。</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仿宋_GB2312" w:hAnsi="仿宋_GB2312" w:eastAsia="仿宋_GB2312" w:cs="仿宋_GB2312"/>
          <w:b/>
          <w:sz w:val="32"/>
          <w:szCs w:val="32"/>
          <w:lang w:val="zh-CN"/>
        </w:rPr>
      </w:pPr>
      <w:r>
        <w:rPr>
          <w:rFonts w:hint="eastAsia" w:ascii="方正楷体_GBK" w:hAnsi="方正楷体_GBK" w:eastAsia="方正楷体_GBK" w:cs="方正楷体_GBK"/>
          <w:b/>
          <w:sz w:val="32"/>
          <w:szCs w:val="32"/>
          <w:lang w:val="zh-CN"/>
        </w:rPr>
        <w:t>（三）评价选点。</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kern w:val="0"/>
          <w:szCs w:val="28"/>
        </w:rPr>
      </w:pPr>
      <w:r>
        <w:rPr>
          <w:rFonts w:hint="eastAsia" w:ascii="仿宋_GB2312" w:hAnsi="仿宋_GB2312" w:eastAsia="仿宋_GB2312" w:cs="仿宋_GB2312"/>
          <w:sz w:val="32"/>
          <w:szCs w:val="32"/>
          <w:lang w:val="en-US" w:eastAsia="zh-CN"/>
        </w:rPr>
        <w:t>晴朗乡2024年红星村文化广场建设经费专项工作经费</w:t>
      </w:r>
      <w:r>
        <w:rPr>
          <w:rFonts w:hint="eastAsia" w:ascii="仿宋_GB2312" w:hAnsi="仿宋_GB2312" w:eastAsia="仿宋_GB2312" w:cs="仿宋_GB2312"/>
          <w:sz w:val="32"/>
          <w:szCs w:val="32"/>
          <w:lang w:val="zh-CN" w:eastAsia="zh-CN"/>
        </w:rPr>
        <w:t>项目</w:t>
      </w:r>
      <w:r>
        <w:rPr>
          <w:rFonts w:hint="eastAsia" w:ascii="仿宋_GB2312" w:hAnsi="仿宋_GB2312" w:eastAsia="仿宋_GB2312" w:cs="仿宋_GB2312"/>
          <w:sz w:val="32"/>
          <w:szCs w:val="32"/>
          <w:lang w:val="zh-CN"/>
        </w:rPr>
        <w:t>主要开展地点为</w:t>
      </w:r>
      <w:r>
        <w:rPr>
          <w:rFonts w:hint="eastAsia" w:ascii="仿宋_GB2312" w:hAnsi="仿宋_GB2312" w:eastAsia="仿宋_GB2312" w:cs="仿宋_GB2312"/>
          <w:sz w:val="32"/>
          <w:szCs w:val="32"/>
          <w:lang w:val="zh-CN" w:eastAsia="zh-CN"/>
        </w:rPr>
        <w:t>黑水</w:t>
      </w:r>
      <w:r>
        <w:rPr>
          <w:rFonts w:hint="eastAsia" w:ascii="仿宋_GB2312" w:hAnsi="仿宋_GB2312" w:eastAsia="仿宋_GB2312" w:cs="仿宋_GB2312"/>
          <w:sz w:val="32"/>
          <w:szCs w:val="32"/>
          <w:lang w:val="zh-CN"/>
        </w:rPr>
        <w:t>县</w:t>
      </w:r>
      <w:r>
        <w:rPr>
          <w:rFonts w:hint="eastAsia" w:ascii="仿宋_GB2312" w:hAnsi="仿宋_GB2312" w:eastAsia="仿宋_GB2312" w:cs="仿宋_GB2312"/>
          <w:sz w:val="32"/>
          <w:szCs w:val="32"/>
          <w:lang w:val="en-US" w:eastAsia="zh-CN"/>
        </w:rPr>
        <w:t>晴朗乡</w:t>
      </w:r>
      <w:r>
        <w:rPr>
          <w:rFonts w:hint="eastAsia" w:ascii="仿宋_GB2312" w:hAnsi="仿宋_GB2312" w:eastAsia="仿宋_GB2312" w:cs="仿宋_GB2312"/>
          <w:sz w:val="32"/>
          <w:szCs w:val="32"/>
          <w:lang w:val="zh-CN"/>
        </w:rPr>
        <w:t>，本次绩效评价主体为</w:t>
      </w:r>
      <w:r>
        <w:rPr>
          <w:rFonts w:hint="eastAsia" w:ascii="仿宋_GB2312" w:hAnsi="仿宋_GB2312" w:eastAsia="仿宋_GB2312" w:cs="仿宋_GB2312"/>
          <w:sz w:val="32"/>
          <w:szCs w:val="32"/>
          <w:lang w:val="en-US" w:eastAsia="zh-CN"/>
        </w:rPr>
        <w:t>黑水县晴朗乡人民政府</w:t>
      </w:r>
      <w:r>
        <w:rPr>
          <w:rFonts w:hint="eastAsia" w:ascii="仿宋_GB2312" w:hAnsi="仿宋_GB2312" w:eastAsia="仿宋_GB2312" w:cs="仿宋_GB2312"/>
          <w:sz w:val="32"/>
          <w:szCs w:val="32"/>
          <w:lang w:val="zh-CN"/>
        </w:rPr>
        <w:t>，项目不</w:t>
      </w:r>
      <w:r>
        <w:rPr>
          <w:rFonts w:hint="eastAsia" w:ascii="仿宋_GB2312" w:hAnsi="仿宋_GB2312" w:eastAsia="仿宋_GB2312" w:cs="仿宋_GB2312"/>
          <w:sz w:val="32"/>
          <w:szCs w:val="32"/>
          <w:lang w:val="zh-CN" w:eastAsia="zh-CN"/>
        </w:rPr>
        <w:t>涉及其他单位</w:t>
      </w:r>
      <w:r>
        <w:rPr>
          <w:rFonts w:hint="eastAsia"/>
          <w:kern w:val="0"/>
          <w:szCs w:val="28"/>
        </w:rPr>
        <w:t>。</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（四）</w:t>
      </w:r>
      <w:r>
        <w:rPr>
          <w:rFonts w:hint="eastAsia" w:ascii="方正楷体_GBK" w:hAnsi="方正楷体_GBK" w:eastAsia="方正楷体_GBK" w:cs="方正楷体_GBK"/>
          <w:b/>
          <w:sz w:val="32"/>
          <w:szCs w:val="32"/>
          <w:lang w:val="zh-CN"/>
        </w:rPr>
        <w:t>评价方法。</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采用先进的绩效评价方法和科学的数据分析是取得正确客观评价结论的重要保障，结合</w:t>
      </w:r>
      <w:r>
        <w:rPr>
          <w:rFonts w:hint="eastAsia" w:ascii="仿宋_GB2312" w:hAnsi="仿宋_GB2312" w:eastAsia="仿宋_GB2312" w:cs="仿宋_GB2312"/>
          <w:sz w:val="32"/>
          <w:szCs w:val="32"/>
          <w:lang w:val="en-US" w:eastAsia="zh-CN"/>
        </w:rPr>
        <w:t>红星村文化广场建设经费专项工作经费项目</w:t>
      </w:r>
      <w:r>
        <w:rPr>
          <w:rFonts w:hint="eastAsia" w:ascii="仿宋_GB2312" w:hAnsi="仿宋_GB2312" w:eastAsia="仿宋_GB2312" w:cs="仿宋_GB2312"/>
          <w:sz w:val="32"/>
          <w:szCs w:val="32"/>
          <w:lang w:val="zh-CN"/>
        </w:rPr>
        <w:t>的特点，经与评价组织沟通后采取以下绩效评价方法：</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1.公众评判法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红星村文化广场建设经费</w:t>
      </w:r>
      <w:r>
        <w:rPr>
          <w:rFonts w:hint="eastAsia" w:ascii="仿宋_GB2312" w:hAnsi="仿宋_GB2312" w:eastAsia="仿宋_GB2312" w:cs="仿宋_GB2312"/>
          <w:sz w:val="32"/>
          <w:szCs w:val="32"/>
          <w:lang w:val="zh-CN" w:eastAsia="zh-CN"/>
        </w:rPr>
        <w:t>具有较为清晰的服务群体，且该项目绩效状况的优劣，很大程度上体现在</w:t>
      </w:r>
      <w:r>
        <w:rPr>
          <w:rFonts w:hint="eastAsia" w:ascii="仿宋_GB2312" w:hAnsi="仿宋_GB2312" w:eastAsia="仿宋_GB2312" w:cs="仿宋_GB2312"/>
          <w:sz w:val="32"/>
          <w:szCs w:val="32"/>
          <w:lang w:val="en-US" w:eastAsia="zh-CN"/>
        </w:rPr>
        <w:t>红星村文化广场建设经费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红星村文化广场建设经费</w:t>
      </w:r>
      <w:r>
        <w:rPr>
          <w:rFonts w:hint="eastAsia" w:ascii="仿宋_GB2312" w:hAnsi="仿宋_GB2312" w:eastAsia="仿宋_GB2312" w:cs="仿宋_GB2312"/>
          <w:sz w:val="32"/>
          <w:szCs w:val="32"/>
          <w:lang w:val="zh-CN" w:eastAsia="zh-CN"/>
        </w:rPr>
        <w:t>覆盖率，</w:t>
      </w:r>
      <w:r>
        <w:rPr>
          <w:rFonts w:hint="eastAsia" w:ascii="仿宋_GB2312" w:hAnsi="仿宋_GB2312" w:eastAsia="仿宋_GB2312" w:cs="仿宋_GB2312"/>
          <w:sz w:val="32"/>
          <w:szCs w:val="32"/>
          <w:lang w:val="en-US" w:eastAsia="zh-CN"/>
        </w:rPr>
        <w:t>红星村文化广场建设</w:t>
      </w:r>
      <w:r>
        <w:rPr>
          <w:rFonts w:hint="eastAsia" w:ascii="仿宋_GB2312" w:hAnsi="仿宋_GB2312" w:eastAsia="仿宋_GB2312" w:cs="仿宋_GB2312"/>
          <w:sz w:val="32"/>
          <w:szCs w:val="32"/>
          <w:lang w:val="zh-CN" w:eastAsia="zh-CN"/>
        </w:rPr>
        <w:t>参与村级事务治理积极性等方面。为此，与该项目评价的具体指标相对应，按照一定比例，以电</w:t>
      </w:r>
      <w:r>
        <w:rPr>
          <w:rFonts w:hint="eastAsia" w:ascii="仿宋_GB2312" w:hAnsi="仿宋_GB2312" w:eastAsia="仿宋_GB2312" w:cs="仿宋_GB2312"/>
          <w:sz w:val="32"/>
          <w:szCs w:val="32"/>
          <w:lang w:val="en-US" w:eastAsia="zh-CN"/>
        </w:rPr>
        <w:t>话</w:t>
      </w:r>
      <w:r>
        <w:rPr>
          <w:rFonts w:hint="eastAsia" w:ascii="仿宋_GB2312" w:hAnsi="仿宋_GB2312" w:eastAsia="仿宋_GB2312" w:cs="仿宋_GB2312"/>
          <w:sz w:val="32"/>
          <w:szCs w:val="32"/>
          <w:lang w:val="zh-CN" w:eastAsia="zh-CN"/>
        </w:rPr>
        <w:t>询问等方式进行调查，收集、分析所取得的样本数据，从而推断确定目标群体的满意度，进而评价满意度指标。</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2.成本效益分析法</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zh-CN" w:eastAsia="zh-CN"/>
        </w:rPr>
        <w:t>本项目将资金投入与</w:t>
      </w:r>
      <w:r>
        <w:rPr>
          <w:rFonts w:hint="eastAsia" w:ascii="仿宋_GB2312" w:hAnsi="仿宋_GB2312" w:eastAsia="仿宋_GB2312" w:cs="仿宋_GB2312"/>
          <w:sz w:val="32"/>
          <w:szCs w:val="32"/>
          <w:lang w:val="en-US" w:eastAsia="zh-CN"/>
        </w:rPr>
        <w:t>红星村文化广场建设经费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红星村文化广场建设经费</w:t>
      </w:r>
      <w:r>
        <w:rPr>
          <w:rFonts w:hint="eastAsia" w:ascii="仿宋_GB2312" w:hAnsi="仿宋_GB2312" w:eastAsia="仿宋_GB2312" w:cs="仿宋_GB2312"/>
          <w:sz w:val="32"/>
          <w:szCs w:val="32"/>
          <w:lang w:val="zh-CN" w:eastAsia="zh-CN"/>
        </w:rPr>
        <w:t>覆盖率、</w:t>
      </w:r>
      <w:r>
        <w:rPr>
          <w:rFonts w:hint="eastAsia" w:ascii="仿宋_GB2312" w:hAnsi="仿宋_GB2312" w:eastAsia="仿宋_GB2312" w:cs="仿宋_GB2312"/>
          <w:sz w:val="32"/>
          <w:szCs w:val="32"/>
          <w:lang w:val="en-US" w:eastAsia="zh-CN"/>
        </w:rPr>
        <w:t>工作队员</w:t>
      </w:r>
      <w:r>
        <w:rPr>
          <w:rFonts w:hint="eastAsia" w:ascii="仿宋_GB2312" w:hAnsi="仿宋_GB2312" w:eastAsia="仿宋_GB2312" w:cs="仿宋_GB2312"/>
          <w:sz w:val="32"/>
          <w:szCs w:val="32"/>
          <w:lang w:val="zh-CN" w:eastAsia="zh-CN"/>
        </w:rPr>
        <w:t>补助标准，</w:t>
      </w:r>
      <w:r>
        <w:rPr>
          <w:rFonts w:hint="eastAsia" w:ascii="仿宋_GB2312" w:hAnsi="仿宋_GB2312" w:eastAsia="仿宋_GB2312" w:cs="仿宋_GB2312"/>
          <w:sz w:val="32"/>
          <w:szCs w:val="32"/>
          <w:lang w:val="en-US" w:eastAsia="zh-CN"/>
        </w:rPr>
        <w:t>工作队</w:t>
      </w:r>
      <w:r>
        <w:rPr>
          <w:rFonts w:hint="eastAsia" w:ascii="仿宋_GB2312" w:hAnsi="仿宋_GB2312" w:eastAsia="仿宋_GB2312" w:cs="仿宋_GB2312"/>
          <w:sz w:val="32"/>
          <w:szCs w:val="32"/>
          <w:lang w:val="zh-CN" w:eastAsia="zh-CN"/>
        </w:rPr>
        <w:t>参与村级事务治理积极性等效益进行关联性分析。</w:t>
      </w:r>
    </w:p>
    <w:p>
      <w:pPr>
        <w:pStyle w:val="4"/>
        <w:keepNext w:val="0"/>
        <w:keepLines w:val="0"/>
        <w:pageBreakBefore w:val="0"/>
        <w:kinsoku/>
        <w:wordWrap/>
        <w:overflowPunct/>
        <w:topLinePunct w:val="0"/>
        <w:bidi w:val="0"/>
        <w:spacing w:line="560" w:lineRule="exact"/>
        <w:ind w:firstLine="600"/>
        <w:textAlignment w:val="auto"/>
        <w:rPr>
          <w:rFonts w:hint="eastAsia" w:ascii="方正楷体_GBK" w:hAnsi="方正楷体_GBK" w:eastAsia="方正楷体_GBK" w:cs="方正楷体_GBK"/>
          <w:b/>
          <w:bCs w:val="0"/>
          <w:sz w:val="32"/>
          <w:szCs w:val="32"/>
        </w:rPr>
      </w:pPr>
      <w:r>
        <w:rPr>
          <w:rFonts w:hint="eastAsia" w:ascii="方正楷体_GBK" w:hAnsi="方正楷体_GBK" w:eastAsia="方正楷体_GBK" w:cs="方正楷体_GBK"/>
          <w:b/>
          <w:bCs w:val="0"/>
          <w:sz w:val="32"/>
          <w:szCs w:val="32"/>
          <w:lang w:val="zh-CN"/>
        </w:rPr>
        <w:t>（五）评价组织。</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1.领导小组职责：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（1）研究和决定单位管理绩效评价中的重大问题。</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（2）组织协调绩效评价工作，确保评价的顺利进行。</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（3）对工作目标、绩效考核结果和等次、奖惩方案进行审核，并报乡党委和政府审定。</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2.办公室职责：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（1）提出政府绩效评价的工作方案，并负责具体组织实施。</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（2）综合评价信息，提出评价结果等次认定方案及奖惩方案等。</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（3）负责绩效评价的日常工作，包括宣传、沟通、协调等。</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（4）根据评价结果撰写绩效评价报告，并递交给领导小组。</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3.具体执行人员职责：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（1）组长：审批绩效自评方案，监督、检查、核实绩效自评结果。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三、绩效分析</w:t>
      </w:r>
      <w:r>
        <w:rPr>
          <w:rFonts w:hint="eastAsia" w:ascii="黑体" w:hAnsi="黑体" w:eastAsia="黑体" w:cs="黑体"/>
          <w:sz w:val="32"/>
          <w:szCs w:val="32"/>
          <w:lang w:val="zh-CN"/>
        </w:rPr>
        <w:tab/>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根据项目预算绩效评价指标体系“通用指标”“专用指标”“个性指标”涉及二、三级指标进行逐项绩效分析并评分。</w:t>
      </w:r>
    </w:p>
    <w:p>
      <w:pPr>
        <w:keepNext w:val="0"/>
        <w:keepLines w:val="0"/>
        <w:pageBreakBefore w:val="0"/>
        <w:kinsoku/>
        <w:wordWrap/>
        <w:overflowPunct/>
        <w:topLinePunct w:val="0"/>
        <w:bidi w:val="0"/>
        <w:spacing w:line="560" w:lineRule="exact"/>
        <w:ind w:firstLine="640"/>
        <w:textAlignment w:val="auto"/>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（一）</w:t>
      </w:r>
      <w:r>
        <w:rPr>
          <w:rFonts w:hint="eastAsia" w:ascii="方正楷体_GBK" w:hAnsi="方正楷体_GBK" w:eastAsia="方正楷体_GBK" w:cs="方正楷体_GBK"/>
          <w:b/>
          <w:sz w:val="32"/>
          <w:szCs w:val="32"/>
        </w:rPr>
        <w:t>通用指标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项目决策。</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项目决策程序严密</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zh-CN"/>
        </w:rPr>
        <w:t>村干部</w:t>
      </w:r>
      <w:r>
        <w:rPr>
          <w:rFonts w:hint="eastAsia" w:ascii="仿宋_GB2312" w:hAnsi="仿宋_GB2312" w:eastAsia="仿宋_GB2312" w:cs="仿宋_GB2312"/>
          <w:sz w:val="32"/>
          <w:szCs w:val="32"/>
          <w:lang w:val="en-US" w:eastAsia="zh-CN"/>
        </w:rPr>
        <w:t>体检费</w:t>
      </w:r>
      <w:r>
        <w:rPr>
          <w:rFonts w:hint="eastAsia" w:ascii="仿宋_GB2312" w:hAnsi="仿宋_GB2312" w:eastAsia="仿宋_GB2312" w:cs="仿宋_GB2312"/>
          <w:sz w:val="32"/>
          <w:szCs w:val="32"/>
          <w:lang w:val="zh-CN"/>
        </w:rPr>
        <w:t>项目设立、调整延续等方面符合资金管理基本规范和决策程序要求；项目规划符合中央、省委、省政府有关决策部署安排；项目总体绩效目标设置合理，绩效目标科学合理、规范完整、量化细化、预算匹配；该项目属于政府支持范围，且符合财政事权支出责任划分规定，资金投向与项目总体规划、相关行业事业发展相匹配；聚焦重大任务、重点领域、重点环节和重点项目，体现“集中力量办大事”原则；该项目未与其他同类项目或部门内部相关项目交叉重复。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项目管理。</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资金管理办法等管理制度体系健全完善，不存在管理制度缺失、管理办法过期情况；项目资金分配因素选取、权重设置、区域分布，项目管理、审批符合管理要求；管资金、管项目、政策管绩效，项目绩效监管按要求开展，指导有力有效。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项目实施。</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资金财政拨付、单位执行和地方配套到位；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共计得分9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项目结果。</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项目完成预期目标，实施结果与绩效目标相匹配，反映目标实现100%；项目实际完成时间按计划时间完成。共计得分9分。</w:t>
      </w:r>
    </w:p>
    <w:p>
      <w:pPr>
        <w:keepNext w:val="0"/>
        <w:keepLines w:val="0"/>
        <w:pageBreakBefore w:val="0"/>
        <w:numPr>
          <w:ilvl w:val="0"/>
          <w:numId w:val="0"/>
        </w:numPr>
        <w:kinsoku/>
        <w:wordWrap/>
        <w:overflowPunct/>
        <w:topLinePunct w:val="0"/>
        <w:bidi w:val="0"/>
        <w:spacing w:line="560" w:lineRule="exact"/>
        <w:ind w:firstLine="642" w:firstLineChars="20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eastAsia="zh-CN" w:bidi="ar-SA"/>
        </w:rPr>
        <w:t>（二）</w:t>
      </w:r>
      <w:r>
        <w:rPr>
          <w:rFonts w:hint="eastAsia" w:ascii="方正楷体_GBK" w:hAnsi="方正楷体_GBK" w:eastAsia="方正楷体_GBK" w:cs="方正楷体_GBK"/>
          <w:b/>
          <w:sz w:val="32"/>
          <w:szCs w:val="32"/>
        </w:rPr>
        <w:t>专用指标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根据专项预算项目资金支持对象选择所属指标进行绩效分析。支持对象包括产业发展、民生保障、基础设施、行政运转等方面。</w:t>
      </w:r>
      <w:r>
        <w:rPr>
          <w:rFonts w:hint="eastAsia" w:ascii="仿宋_GB2312" w:hAnsi="仿宋_GB2312" w:eastAsia="仿宋_GB2312" w:cs="仿宋_GB2312"/>
          <w:sz w:val="32"/>
          <w:szCs w:val="32"/>
          <w:lang w:val="en-US" w:eastAsia="zh-CN"/>
        </w:rPr>
        <w:t>该项目属</w:t>
      </w:r>
      <w:r>
        <w:rPr>
          <w:rFonts w:hint="eastAsia" w:ascii="仿宋_GB2312" w:hAnsi="仿宋_GB2312" w:eastAsia="仿宋_GB2312" w:cs="仿宋_GB2312"/>
          <w:sz w:val="32"/>
          <w:szCs w:val="32"/>
          <w:lang w:val="zh-CN"/>
        </w:rPr>
        <w:t>民生保障。项目资金分配均衡；资金实际支持对象符合管理要求，符合支持对象范围；资金实际补贴标准符合资金管理办法规定的补助标准并及时按标准兑现；资金涉及相关受益群体、支持对象满意。共计得分30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（三）个性指标绩效分析。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财务管理：</w:t>
      </w:r>
      <w:r>
        <w:rPr>
          <w:rFonts w:hint="eastAsia" w:ascii="仿宋_GB2312" w:hAnsi="仿宋_GB2312" w:eastAsia="仿宋_GB2312" w:cs="仿宋_GB2312"/>
          <w:sz w:val="32"/>
          <w:szCs w:val="32"/>
          <w:lang w:val="en-US" w:eastAsia="zh-CN"/>
        </w:rPr>
        <w:t>该项目财务管理制度健全，资金拨付效率高，财务资料完整。该项目</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预算编制：</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预算编制合理，投</w:t>
      </w:r>
      <w:r>
        <w:rPr>
          <w:rFonts w:hint="eastAsia" w:ascii="仿宋_GB2312" w:hAnsi="仿宋_GB2312" w:eastAsia="仿宋_GB2312" w:cs="仿宋_GB2312"/>
          <w:sz w:val="32"/>
          <w:szCs w:val="32"/>
          <w:lang w:val="en-US" w:eastAsia="zh-CN"/>
        </w:rPr>
        <w:t>资到位及时。</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执行情况：资金已按期拨付，实际执行情况与预算相符，项目实施后已达到预期效果。该项指标得分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sz w:val="32"/>
          <w:szCs w:val="32"/>
          <w:lang w:val="en-US" w:eastAsia="zh-CN"/>
        </w:rPr>
        <w:t>按照绩效自评工作要求，秉承客观公正、实事求是的原则开展项目绩效自评工作，经对各类指标进行评分和汇总分析，本项目的绩效评价结果为“优”，综合评分 99分</w:t>
      </w:r>
      <w:r>
        <w:rPr>
          <w:rFonts w:hint="eastAsia" w:ascii="仿宋_GB2312" w:hAnsi="仿宋_GB2312" w:eastAsia="仿宋_GB2312" w:cs="仿宋_GB2312"/>
          <w:bCs/>
          <w:sz w:val="32"/>
          <w:szCs w:val="32"/>
          <w:lang w:val="en-US" w:eastAsia="zh-CN"/>
        </w:rPr>
        <w:t>。</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kern w:val="2"/>
          <w:position w:val="0"/>
          <w:sz w:val="32"/>
          <w:szCs w:val="32"/>
          <w:lang w:eastAsia="zh-CN"/>
        </w:rPr>
      </w:pPr>
      <w:r>
        <w:rPr>
          <w:rFonts w:hint="eastAsia" w:ascii="仿宋_GB2312" w:hAnsi="仿宋_GB2312" w:eastAsia="仿宋_GB2312" w:cs="仿宋_GB2312"/>
          <w:position w:val="0"/>
          <w:sz w:val="32"/>
          <w:szCs w:val="32"/>
          <w:lang w:eastAsia="zh-CN"/>
        </w:rPr>
        <w:t>无。</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tabs>
          <w:tab w:val="left" w:pos="1911"/>
        </w:tabs>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无</w:t>
      </w:r>
      <w:r>
        <w:rPr>
          <w:rFonts w:hint="eastAsia" w:ascii="仿宋_GB2312" w:hAnsi="仿宋_GB2312" w:cs="仿宋_GB2312"/>
          <w:kern w:val="0"/>
          <w:sz w:val="32"/>
          <w:szCs w:val="32"/>
          <w:lang w:eastAsia="zh-CN"/>
        </w:rPr>
        <w:t>。</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附表：1.专项预算绩效自评打分表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2.专项预算绩效自评实地踏勘点位清单表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color w:val="000000"/>
          <w:kern w:val="0"/>
          <w:sz w:val="32"/>
          <w:szCs w:val="32"/>
          <w:shd w:val="clear" w:color="auto" w:fill="FFFFFF"/>
        </w:rPr>
        <w:t>3.专项预算项目绩效目标完成情况自评表</w:t>
      </w:r>
    </w:p>
    <w:p>
      <w:pPr>
        <w:spacing w:line="560" w:lineRule="exact"/>
        <w:ind w:firstLine="640" w:firstLineChars="200"/>
        <w:jc w:val="righ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黑水县晴朗乡人民政府</w:t>
      </w:r>
    </w:p>
    <w:p>
      <w:pPr>
        <w:spacing w:line="560" w:lineRule="exact"/>
        <w:ind w:firstLine="640" w:firstLineChars="200"/>
        <w:jc w:val="right"/>
        <w:rPr>
          <w:lang w:val="zh-CN"/>
        </w:rPr>
      </w:pPr>
      <w:r>
        <w:rPr>
          <w:rFonts w:hint="eastAsia" w:ascii="仿宋_GB2312" w:hAnsi="仿宋_GB2312" w:eastAsia="仿宋_GB2312" w:cs="仿宋_GB2312"/>
          <w:sz w:val="32"/>
          <w:szCs w:val="32"/>
          <w:lang w:val="zh-CN"/>
        </w:rPr>
        <w:t>2025年4月</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0日</w:t>
      </w:r>
    </w:p>
    <w:p>
      <w:pPr>
        <w:snapToGrid w:val="0"/>
        <w:spacing w:line="578" w:lineRule="exact"/>
        <w:rPr>
          <w:rFonts w:eastAsia="黑体"/>
          <w:kern w:val="0"/>
          <w:shd w:val="clear" w:color="auto" w:fill="FFFFFF"/>
        </w:rPr>
      </w:pPr>
      <w:r>
        <w:rPr>
          <w:rFonts w:eastAsia="黑体"/>
          <w:kern w:val="0"/>
          <w:shd w:val="clear" w:color="auto" w:fill="FFFFFF"/>
          <w:lang w:val="zh-CN"/>
        </w:rPr>
        <w:t>附表</w:t>
      </w:r>
      <w:r>
        <w:rPr>
          <w:rFonts w:eastAsia="黑体"/>
          <w:kern w:val="0"/>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w:t>
            </w:r>
            <w:r>
              <w:rPr>
                <w:rFonts w:hint="eastAsia" w:ascii="宋体" w:hAnsi="宋体" w:cs="宋体"/>
                <w:color w:val="000000"/>
                <w:kern w:val="0"/>
                <w:sz w:val="24"/>
                <w:szCs w:val="24"/>
                <w:lang w:eastAsia="zh-CN" w:bidi="ar"/>
              </w:rPr>
              <w:t>中央、省委</w:t>
            </w:r>
            <w:r>
              <w:rPr>
                <w:rFonts w:hint="eastAsia" w:ascii="宋体" w:hAnsi="宋体" w:eastAsia="宋体" w:cs="宋体"/>
                <w:color w:val="000000"/>
                <w:kern w:val="0"/>
                <w:sz w:val="24"/>
                <w:szCs w:val="24"/>
                <w:lang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w:t>
            </w:r>
            <w:r>
              <w:rPr>
                <w:rFonts w:hint="eastAsia" w:ascii="宋体" w:hAnsi="宋体" w:cs="宋体"/>
                <w:color w:val="000000"/>
                <w:kern w:val="0"/>
                <w:sz w:val="24"/>
                <w:szCs w:val="24"/>
                <w:lang w:eastAsia="zh-CN" w:bidi="ar"/>
              </w:rPr>
              <w:t>省委、省政府</w:t>
            </w:r>
            <w:r>
              <w:rPr>
                <w:rFonts w:hint="eastAsia" w:ascii="宋体" w:hAnsi="宋体" w:eastAsia="宋体" w:cs="宋体"/>
                <w:color w:val="000000"/>
                <w:kern w:val="0"/>
                <w:sz w:val="24"/>
                <w:szCs w:val="24"/>
                <w:lang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52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357"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财务管理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财务管理不符合专项资金管理要求。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预算编制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预算编制不符合专项资金管理要求。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执行情况</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资金执行不符合专项资金管理要求。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spacing w:line="578" w:lineRule="exact"/>
      </w:pPr>
      <w:r>
        <w:rPr>
          <w:rFonts w:eastAsia="黑体"/>
          <w:kern w:val="0"/>
          <w:shd w:val="clear" w:color="auto" w:fill="FFFFFF"/>
          <w:lang w:val="zh-CN"/>
        </w:rPr>
        <w:br w:type="page"/>
      </w:r>
      <w:r>
        <w:rPr>
          <w:rFonts w:eastAsia="黑体"/>
          <w:kern w:val="0"/>
          <w:shd w:val="clear" w:color="auto" w:fill="FFFFFF"/>
          <w:lang w:val="zh-CN"/>
        </w:rPr>
        <w:t>附表</w:t>
      </w:r>
      <w:r>
        <w:rPr>
          <w:rFonts w:hint="eastAsia"/>
          <w:kern w:val="0"/>
          <w:shd w:val="clear" w:color="auto" w:fill="FFFFFF"/>
        </w:rPr>
        <w:t>2</w:t>
      </w:r>
    </w:p>
    <w:p>
      <w:pPr>
        <w:spacing w:line="578" w:lineRule="exact"/>
        <w:jc w:val="center"/>
        <w:rPr>
          <w:rFonts w:eastAsia="方正小标宋_GBK"/>
          <w:sz w:val="40"/>
          <w:szCs w:val="40"/>
        </w:rPr>
      </w:pPr>
      <w:r>
        <w:rPr>
          <w:rFonts w:eastAsia="方正小标宋_GBK"/>
          <w:sz w:val="40"/>
          <w:szCs w:val="40"/>
        </w:rPr>
        <w:t>专项预算绩效自评实地踏勘点位清单表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黑体"/>
                <w:sz w:val="24"/>
                <w:szCs w:val="24"/>
              </w:rPr>
            </w:pPr>
            <w:r>
              <w:rPr>
                <w:rFonts w:eastAsia="黑体"/>
                <w:sz w:val="24"/>
                <w:szCs w:val="24"/>
              </w:rPr>
              <w:t>序号</w:t>
            </w:r>
          </w:p>
        </w:tc>
        <w:tc>
          <w:tcPr>
            <w:tcW w:w="5956" w:type="dxa"/>
            <w:noWrap w:val="0"/>
            <w:vAlign w:val="top"/>
          </w:tcPr>
          <w:p>
            <w:pPr>
              <w:spacing w:line="300" w:lineRule="exact"/>
              <w:jc w:val="center"/>
              <w:rPr>
                <w:rFonts w:eastAsia="黑体"/>
                <w:sz w:val="24"/>
                <w:szCs w:val="24"/>
                <w:lang w:val="en"/>
              </w:rPr>
            </w:pPr>
            <w:r>
              <w:rPr>
                <w:rFonts w:eastAsia="黑体"/>
                <w:sz w:val="24"/>
                <w:szCs w:val="24"/>
              </w:rPr>
              <w:t>实地踏勘点位</w:t>
            </w:r>
          </w:p>
        </w:tc>
        <w:tc>
          <w:tcPr>
            <w:tcW w:w="905" w:type="dxa"/>
            <w:noWrap w:val="0"/>
            <w:vAlign w:val="top"/>
          </w:tcPr>
          <w:p>
            <w:pPr>
              <w:spacing w:line="300" w:lineRule="exact"/>
              <w:jc w:val="center"/>
              <w:rPr>
                <w:rFonts w:eastAsia="黑体"/>
                <w:sz w:val="24"/>
                <w:szCs w:val="24"/>
              </w:rPr>
            </w:pPr>
            <w:r>
              <w:rPr>
                <w:rFonts w:eastAsia="黑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w:t>
            </w:r>
          </w:p>
        </w:tc>
        <w:tc>
          <w:tcPr>
            <w:tcW w:w="5956" w:type="dxa"/>
            <w:noWrap w:val="0"/>
            <w:vAlign w:val="top"/>
          </w:tcPr>
          <w:p>
            <w:pPr>
              <w:spacing w:line="300" w:lineRule="exact"/>
              <w:jc w:val="center"/>
              <w:rPr>
                <w:rFonts w:hint="default" w:eastAsia="仿宋_GB2312"/>
                <w:sz w:val="24"/>
                <w:szCs w:val="24"/>
                <w:lang w:val="en-US" w:eastAsia="zh-CN"/>
              </w:rPr>
            </w:pPr>
            <w:r>
              <w:rPr>
                <w:rFonts w:hint="eastAsia"/>
                <w:sz w:val="24"/>
                <w:szCs w:val="24"/>
                <w:lang w:val="en-US" w:eastAsia="zh-CN"/>
              </w:rPr>
              <w:t>黑水县晴朗乡人民政府</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8</w:t>
            </w:r>
          </w:p>
        </w:tc>
        <w:tc>
          <w:tcPr>
            <w:tcW w:w="5956" w:type="dxa"/>
            <w:noWrap w:val="0"/>
            <w:vAlign w:val="top"/>
          </w:tcPr>
          <w:p>
            <w:pPr>
              <w:spacing w:line="300" w:lineRule="exact"/>
              <w:jc w:val="center"/>
              <w:rPr>
                <w:sz w:val="24"/>
                <w:szCs w:val="24"/>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9</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10</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11</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18</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19</w:t>
            </w:r>
          </w:p>
        </w:tc>
        <w:tc>
          <w:tcPr>
            <w:tcW w:w="5956" w:type="dxa"/>
            <w:noWrap w:val="0"/>
            <w:vAlign w:val="top"/>
          </w:tcPr>
          <w:p>
            <w:pPr>
              <w:spacing w:line="300" w:lineRule="exact"/>
              <w:jc w:val="center"/>
              <w:rPr>
                <w:sz w:val="24"/>
                <w:szCs w:val="24"/>
                <w:lang w:val="en"/>
              </w:rPr>
            </w:pPr>
            <w:r>
              <w:rPr>
                <w:rFonts w:hint="eastAsia"/>
                <w:sz w:val="24"/>
                <w:szCs w:val="24"/>
                <w:lang w:val="en"/>
              </w:rPr>
              <w:t>……</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20</w:t>
            </w:r>
          </w:p>
        </w:tc>
        <w:tc>
          <w:tcPr>
            <w:tcW w:w="5956" w:type="dxa"/>
            <w:noWrap w:val="0"/>
            <w:vAlign w:val="top"/>
          </w:tcPr>
          <w:p>
            <w:pPr>
              <w:spacing w:line="300" w:lineRule="exact"/>
              <w:rPr>
                <w:sz w:val="24"/>
                <w:szCs w:val="24"/>
                <w:lang w:val="en"/>
              </w:rPr>
            </w:pPr>
          </w:p>
        </w:tc>
        <w:tc>
          <w:tcPr>
            <w:tcW w:w="905" w:type="dxa"/>
            <w:noWrap w:val="0"/>
            <w:vAlign w:val="top"/>
          </w:tcPr>
          <w:p>
            <w:pPr>
              <w:spacing w:line="300" w:lineRule="exact"/>
              <w:rPr>
                <w:sz w:val="24"/>
                <w:szCs w:val="24"/>
              </w:rPr>
            </w:pPr>
          </w:p>
        </w:tc>
      </w:tr>
    </w:tbl>
    <w:p>
      <w:pPr>
        <w:spacing w:line="400" w:lineRule="exact"/>
        <w:jc w:val="center"/>
        <w:rPr>
          <w:rFonts w:eastAsia="宋体"/>
          <w:sz w:val="21"/>
          <w:szCs w:val="21"/>
        </w:rPr>
      </w:pPr>
      <w:r>
        <w:rPr>
          <w:rFonts w:eastAsia="宋体"/>
          <w:sz w:val="21"/>
          <w:szCs w:val="21"/>
        </w:rPr>
        <w:t>备注：项目</w:t>
      </w:r>
      <w:r>
        <w:rPr>
          <w:rFonts w:hint="eastAsia" w:eastAsia="宋体"/>
          <w:sz w:val="21"/>
          <w:szCs w:val="21"/>
        </w:rPr>
        <w:t>实地踏勘</w:t>
      </w:r>
      <w:r>
        <w:rPr>
          <w:rFonts w:eastAsia="宋体"/>
          <w:sz w:val="21"/>
          <w:szCs w:val="21"/>
        </w:rPr>
        <w:t>点位包括市（州）本级、县（市、区）</w:t>
      </w:r>
      <w:r>
        <w:rPr>
          <w:rFonts w:hint="eastAsia" w:eastAsia="宋体"/>
          <w:sz w:val="21"/>
          <w:szCs w:val="21"/>
        </w:rPr>
        <w:t>本级及有关项目、单位、公司</w:t>
      </w:r>
      <w:r>
        <w:rPr>
          <w:rFonts w:eastAsia="宋体"/>
          <w:sz w:val="21"/>
          <w:szCs w:val="21"/>
        </w:rPr>
        <w:t>等。</w:t>
      </w:r>
    </w:p>
    <w:p>
      <w:pPr>
        <w:snapToGrid w:val="0"/>
        <w:spacing w:line="578" w:lineRule="exact"/>
        <w:rPr>
          <w:rFonts w:eastAsia="黑体"/>
          <w:kern w:val="0"/>
          <w:shd w:val="clear" w:color="auto" w:fill="FFFFFF"/>
          <w:lang w:val="zh-CN"/>
        </w:rPr>
      </w:pPr>
    </w:p>
    <w:p>
      <w:pPr>
        <w:snapToGrid w:val="0"/>
        <w:spacing w:line="578" w:lineRule="exact"/>
        <w:rPr>
          <w:rFonts w:eastAsia="黑体"/>
          <w:kern w:val="0"/>
          <w:shd w:val="clear" w:color="auto" w:fill="FFFFFF"/>
        </w:rPr>
      </w:pPr>
      <w:r>
        <w:rPr>
          <w:rFonts w:eastAsia="黑体"/>
          <w:kern w:val="0"/>
          <w:shd w:val="clear" w:color="auto" w:fill="FFFFFF"/>
          <w:lang w:val="zh-CN"/>
        </w:rPr>
        <w:br w:type="page"/>
      </w:r>
      <w:r>
        <w:rPr>
          <w:rFonts w:eastAsia="黑体"/>
          <w:kern w:val="0"/>
          <w:shd w:val="clear" w:color="auto" w:fill="FFFFFF"/>
          <w:lang w:val="zh-CN"/>
        </w:rPr>
        <w:t>附表</w:t>
      </w:r>
      <w:r>
        <w:rPr>
          <w:rFonts w:hint="eastAsia" w:eastAsia="黑体"/>
          <w:kern w:val="0"/>
          <w:shd w:val="clear" w:color="auto" w:fill="FFFFFF"/>
        </w:rPr>
        <w:t>3</w:t>
      </w:r>
    </w:p>
    <w:tbl>
      <w:tblPr>
        <w:tblStyle w:val="10"/>
        <w:tblW w:w="10233" w:type="dxa"/>
        <w:jc w:val="center"/>
        <w:tblLayout w:type="fixed"/>
        <w:tblCellMar>
          <w:top w:w="15" w:type="dxa"/>
          <w:left w:w="15" w:type="dxa"/>
          <w:bottom w:w="15" w:type="dxa"/>
          <w:right w:w="15" w:type="dxa"/>
        </w:tblCellMar>
      </w:tblPr>
      <w:tblGrid>
        <w:gridCol w:w="500"/>
        <w:gridCol w:w="1490"/>
        <w:gridCol w:w="1283"/>
        <w:gridCol w:w="1641"/>
        <w:gridCol w:w="380"/>
        <w:gridCol w:w="1219"/>
        <w:gridCol w:w="381"/>
        <w:gridCol w:w="793"/>
        <w:gridCol w:w="369"/>
        <w:gridCol w:w="326"/>
        <w:gridCol w:w="1851"/>
      </w:tblGrid>
      <w:tr>
        <w:tblPrEx>
          <w:tblCellMar>
            <w:top w:w="15" w:type="dxa"/>
            <w:left w:w="15" w:type="dxa"/>
            <w:bottom w:w="15" w:type="dxa"/>
            <w:right w:w="15" w:type="dxa"/>
          </w:tblCellMar>
        </w:tblPrEx>
        <w:trPr>
          <w:trHeight w:val="576" w:hRule="atLeast"/>
          <w:jc w:val="center"/>
        </w:trPr>
        <w:tc>
          <w:tcPr>
            <w:tcW w:w="10233" w:type="dxa"/>
            <w:gridSpan w:val="11"/>
            <w:noWrap w:val="0"/>
            <w:vAlign w:val="center"/>
          </w:tcPr>
          <w:p>
            <w:pPr>
              <w:keepNext w:val="0"/>
              <w:keepLines w:val="0"/>
              <w:widowControl/>
              <w:suppressLineNumbers w:val="0"/>
              <w:jc w:val="center"/>
              <w:textAlignment w:val="center"/>
              <w:rPr>
                <w:rFonts w:eastAsia="黑体"/>
                <w:color w:val="000000"/>
                <w:sz w:val="30"/>
                <w:szCs w:val="30"/>
              </w:rPr>
            </w:pPr>
            <w:r>
              <w:rPr>
                <w:rFonts w:hint="default" w:ascii="黑体" w:hAnsi="宋体" w:eastAsia="黑体" w:cs="黑体"/>
                <w:b/>
                <w:bCs/>
                <w:i w:val="0"/>
                <w:iCs w:val="0"/>
                <w:color w:val="000000"/>
                <w:kern w:val="0"/>
                <w:sz w:val="30"/>
                <w:szCs w:val="30"/>
                <w:u w:val="none"/>
                <w:lang w:val="en-US" w:eastAsia="zh-CN" w:bidi="ar"/>
              </w:rPr>
              <w:t>部门预算项目支出绩效自评表（2024年度）</w:t>
            </w:r>
          </w:p>
        </w:tc>
      </w:tr>
      <w:tr>
        <w:trPr>
          <w:trHeight w:val="23"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项目名称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51322825T000012981944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晴朗乡2024年红星村文化广场建设项目</w:t>
            </w:r>
          </w:p>
        </w:tc>
      </w:tr>
      <w:tr>
        <w:tblPrEx>
          <w:tblCellMar>
            <w:top w:w="15" w:type="dxa"/>
            <w:left w:w="15" w:type="dxa"/>
            <w:bottom w:w="15" w:type="dxa"/>
            <w:right w:w="15" w:type="dxa"/>
          </w:tblCellMar>
        </w:tblPrEx>
        <w:trPr>
          <w:trHeight w:val="458"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主管部门</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黑水县晴朗乡</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实施单位 （盖章）</w:t>
            </w:r>
          </w:p>
        </w:tc>
        <w:tc>
          <w:tcPr>
            <w:tcW w:w="254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黑水县晴朗乡人民政府（行政及参公）</w:t>
            </w:r>
          </w:p>
        </w:tc>
      </w:tr>
      <w:tr>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项目基本情况</w:t>
            </w: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1.新建凉亭一座，面积36平方米；2.对文化广场地面进行提升改造，面积约180平方米；3.新建文化墙一面，配套文化设施标语。</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已完成。</w:t>
            </w:r>
          </w:p>
        </w:tc>
      </w:tr>
      <w:tr>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2.项目实施内容及过程概述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晴朗乡红星村文化广场建设内容：1.新建凉亭一座，面积36平方米；2.对文化广场地面进行提升改造，面积约180平方米；3.新建文化墙一面，配套文化设施标语。增加群众文化活动场所，丰富群众文化精神。</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预算执行情况（10分）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年度预算数（万元）</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调整后预算数</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预算执行数</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预算执行率</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原因</w:t>
            </w:r>
          </w:p>
        </w:tc>
      </w:tr>
      <w:tr>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总额</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5.37</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5.37</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restart"/>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其中：财政资金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财政专户管理资金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单位资金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5.37</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5.37</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其他资金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绩效指标（90分）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一级指标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三级指标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产出指标</w:t>
            </w:r>
          </w:p>
        </w:tc>
        <w:tc>
          <w:tcPr>
            <w:tcW w:w="128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地面进行提升改造</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180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平方米</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180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凉亭</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座（处）</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文化墙</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处</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608" w:hRule="atLeast"/>
          <w:jc w:val="center"/>
        </w:trPr>
        <w:tc>
          <w:tcPr>
            <w:tcW w:w="50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restart"/>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质量指标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正常使用率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r>
      <w:tr>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auto" w:sz="4" w:space="0"/>
              <w:right w:val="single" w:color="000000"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项目（工程）验收合格率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restart"/>
            <w:tcBorders>
              <w:top w:val="single" w:color="000000" w:sz="4" w:space="0"/>
              <w:left w:val="single" w:color="auto"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6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开工率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r>
      <w:tr>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vMerge w:val="continue"/>
            <w:tcBorders>
              <w:left w:val="single" w:color="auto" w:sz="4" w:space="0"/>
              <w:right w:val="single" w:color="auto" w:sz="4" w:space="0"/>
            </w:tcBorders>
            <w:noWrap w:val="0"/>
            <w:vAlign w:val="center"/>
          </w:tcPr>
          <w:p>
            <w:pPr>
              <w:jc w:val="center"/>
            </w:pPr>
          </w:p>
        </w:tc>
        <w:tc>
          <w:tcPr>
            <w:tcW w:w="1283" w:type="dxa"/>
            <w:vMerge w:val="continue"/>
            <w:tcBorders>
              <w:left w:val="single" w:color="auto" w:sz="4" w:space="0"/>
              <w:right w:val="single" w:color="auto" w:sz="4" w:space="0"/>
            </w:tcBorders>
            <w:noWrap w:val="0"/>
            <w:vAlign w:val="center"/>
          </w:tcPr>
          <w:p>
            <w:pPr>
              <w:jc w:val="center"/>
            </w:pP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项目（工程）完成及时率</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478"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restart"/>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1283" w:type="dxa"/>
            <w:vMerge w:val="restart"/>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受益脱贫户及监测对象人口数</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人</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36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left w:val="single" w:color="auto" w:sz="4" w:space="0"/>
              <w:right w:val="single" w:color="auto" w:sz="4" w:space="0"/>
            </w:tcBorders>
            <w:noWrap w:val="0"/>
            <w:vAlign w:val="center"/>
          </w:tcPr>
          <w:p>
            <w:pPr>
              <w:jc w:val="center"/>
            </w:pPr>
          </w:p>
        </w:tc>
      </w:tr>
      <w:tr>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c>
          <w:tcPr>
            <w:tcW w:w="1283" w:type="dxa"/>
            <w:vMerge w:val="continue"/>
            <w:tcBorders>
              <w:left w:val="single" w:color="auto" w:sz="4" w:space="0"/>
              <w:bottom w:val="single" w:color="auto" w:sz="4" w:space="0"/>
              <w:right w:val="single" w:color="auto" w:sz="4" w:space="0"/>
            </w:tcBorders>
            <w:noWrap w:val="0"/>
            <w:vAlign w:val="center"/>
          </w:tcPr>
          <w:p>
            <w:pPr>
              <w:jc w:val="center"/>
            </w:pP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带动周边群众务工</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50</w:t>
            </w:r>
          </w:p>
        </w:tc>
        <w:tc>
          <w:tcPr>
            <w:tcW w:w="38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人次</w:t>
            </w:r>
          </w:p>
        </w:tc>
        <w:tc>
          <w:tcPr>
            <w:tcW w:w="79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50</w:t>
            </w:r>
          </w:p>
        </w:tc>
        <w:tc>
          <w:tcPr>
            <w:tcW w:w="36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left w:val="single" w:color="auto" w:sz="4" w:space="0"/>
              <w:bottom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2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6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受益脱贫户及监测对象满意度</w:t>
            </w:r>
          </w:p>
        </w:tc>
        <w:tc>
          <w:tcPr>
            <w:tcW w:w="3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auto" w:sz="4" w:space="0"/>
              <w:left w:val="single" w:color="auto" w:sz="4" w:space="0"/>
              <w:bottom w:val="single" w:color="auto" w:sz="4" w:space="0"/>
              <w:right w:val="single" w:color="auto" w:sz="4" w:space="0"/>
            </w:tcBorders>
            <w:noWrap w:val="0"/>
            <w:vAlign w:val="center"/>
          </w:tcPr>
          <w:p>
            <w:pPr>
              <w:jc w:val="center"/>
            </w:pPr>
          </w:p>
        </w:tc>
      </w:tr>
      <w:tr>
        <w:trPr>
          <w:trHeight w:val="23" w:hRule="atLeast"/>
          <w:jc w:val="center"/>
        </w:trPr>
        <w:tc>
          <w:tcPr>
            <w:tcW w:w="500" w:type="dxa"/>
            <w:vMerge w:val="continue"/>
            <w:tcBorders>
              <w:left w:val="single" w:color="auto" w:sz="4" w:space="0"/>
              <w:bottom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vMerge w:val="continue"/>
            <w:tcBorders>
              <w:left w:val="single" w:color="auto" w:sz="4" w:space="0"/>
              <w:bottom w:val="single" w:color="auto" w:sz="4" w:space="0"/>
              <w:right w:val="single" w:color="auto" w:sz="4" w:space="0"/>
            </w:tcBorders>
            <w:noWrap w:val="0"/>
            <w:vAlign w:val="center"/>
          </w:tcPr>
          <w:p>
            <w:pPr>
              <w:jc w:val="center"/>
            </w:pPr>
          </w:p>
        </w:tc>
        <w:tc>
          <w:tcPr>
            <w:tcW w:w="128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受益群众满意度</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98</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bl>
    <w:p>
      <w:r>
        <w:br w:type="page"/>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黑水县晴朗乡人民政府</w:t>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晴朗乡2024年红星村苹果标准化种植基地提质增效项目专项预算绩效自评报告</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p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（一）设立背景及基本情况。</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项目建设内容为采购安装网围栏4000米、矮化苹果架材65亩、水肥一体化设备及管网1套。项目总投资72万元，资金来源于2024年度财政衔接资金。促进农村经济发展建设，对我乡综合服务设施进行提升，促进红色文化旅游业发展，项目绩效目标确定。县级财政配套专项资金</w:t>
      </w:r>
      <w:r>
        <w:rPr>
          <w:rFonts w:hint="eastAsia" w:ascii="仿宋_GB2312" w:hAnsi="仿宋_GB2312" w:eastAsia="仿宋_GB2312" w:cs="仿宋_GB2312"/>
          <w:sz w:val="32"/>
          <w:szCs w:val="32"/>
          <w:lang w:val="en-US" w:eastAsia="zh-CN"/>
        </w:rPr>
        <w:t>66.96</w:t>
      </w:r>
      <w:r>
        <w:rPr>
          <w:rFonts w:hint="eastAsia" w:ascii="仿宋_GB2312" w:hAnsi="仿宋_GB2312" w:eastAsia="仿宋_GB2312" w:cs="仿宋_GB2312"/>
          <w:sz w:val="32"/>
          <w:szCs w:val="32"/>
          <w:lang w:val="zh-CN"/>
        </w:rPr>
        <w:t>万元。</w:t>
      </w:r>
      <w:r>
        <w:rPr>
          <w:rFonts w:hint="eastAsia" w:ascii="仿宋_GB2312" w:hAnsi="仿宋_GB2312" w:eastAsia="仿宋_GB2312" w:cs="仿宋_GB2312"/>
          <w:sz w:val="32"/>
          <w:szCs w:val="32"/>
          <w:lang w:val="en-US" w:eastAsia="zh-CN"/>
        </w:rPr>
        <w:t>晴朗乡人民政府</w:t>
      </w:r>
      <w:r>
        <w:rPr>
          <w:rFonts w:hint="eastAsia" w:ascii="仿宋_GB2312" w:hAnsi="仿宋_GB2312" w:eastAsia="仿宋_GB2312" w:cs="仿宋_GB2312"/>
          <w:sz w:val="32"/>
          <w:szCs w:val="32"/>
          <w:lang w:val="zh-CN"/>
        </w:rPr>
        <w:t>承担专项资金绩效管理的主体责任，主要负责</w:t>
      </w:r>
      <w:r>
        <w:rPr>
          <w:rFonts w:hint="eastAsia" w:ascii="仿宋_GB2312" w:hAnsi="仿宋_GB2312" w:eastAsia="仿宋_GB2312" w:cs="仿宋_GB2312"/>
          <w:sz w:val="32"/>
          <w:szCs w:val="32"/>
          <w:lang w:val="en-US" w:eastAsia="zh-CN"/>
        </w:rPr>
        <w:t>根据文件要求执行</w:t>
      </w:r>
      <w:r>
        <w:rPr>
          <w:rFonts w:hint="eastAsia" w:ascii="仿宋_GB2312" w:hAnsi="仿宋_GB2312" w:eastAsia="仿宋_GB2312" w:cs="仿宋_GB2312"/>
          <w:sz w:val="32"/>
          <w:szCs w:val="32"/>
          <w:lang w:val="zh-CN"/>
        </w:rPr>
        <w:t>专项资金分配方案，制定项目管理制度，组织项目评审和实施，开展项目验收、绩效评价和监督检查等工作。</w:t>
      </w:r>
    </w:p>
    <w:p>
      <w:pPr>
        <w:spacing w:line="560" w:lineRule="exact"/>
        <w:ind w:firstLine="642" w:firstLineChars="200"/>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（二）</w:t>
      </w:r>
      <w:r>
        <w:rPr>
          <w:rFonts w:hint="eastAsia" w:ascii="方正楷体_GBK" w:hAnsi="方正楷体_GBK" w:eastAsia="方正楷体_GBK" w:cs="方正楷体_GBK"/>
          <w:b/>
          <w:sz w:val="32"/>
          <w:szCs w:val="32"/>
        </w:rPr>
        <w:t>实施目的及支持方向。</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安装网围栏4000米、矮化苹果架材65亩、水肥一体化设备及管网1套。项目总投资72万元，资金来源于2024年度财政衔接资金。促进农村经济发展建设，对我乡综合服务设施进行提升，促进红色文化旅游业发展。</w:t>
      </w:r>
    </w:p>
    <w:p>
      <w:pPr>
        <w:numPr>
          <w:ilvl w:val="0"/>
          <w:numId w:val="0"/>
        </w:num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（三）</w:t>
      </w:r>
      <w:r>
        <w:rPr>
          <w:rFonts w:hint="eastAsia" w:ascii="方正楷体_GBK" w:hAnsi="方正楷体_GBK" w:eastAsia="方正楷体_GBK" w:cs="方正楷体_GBK"/>
          <w:b/>
          <w:sz w:val="32"/>
          <w:szCs w:val="32"/>
        </w:rPr>
        <w:t>预算安排及分配管理</w:t>
      </w:r>
      <w:r>
        <w:rPr>
          <w:rFonts w:hint="eastAsia" w:ascii="方正楷体_GBK" w:hAnsi="方正楷体_GBK" w:eastAsia="方正楷体_GBK" w:cs="方正楷体_GBK"/>
          <w:b/>
          <w:sz w:val="32"/>
          <w:szCs w:val="32"/>
          <w:lang w:val="zh-CN"/>
        </w:rPr>
        <w:t>。</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预算申报项目资金为66.96万元，批复金额为66.96万元，实际使用金额66.96万元，项目资金符合资金管理办法等相关规定。资金按批复金额在项目实施前全部到位，与资金计划相契合，资金到位率、到位及时性均为100%，保障项目能够如期开展。资金由乡政府监管，各村结合实际报销。</w:t>
      </w:r>
    </w:p>
    <w:p>
      <w:pPr>
        <w:keepNext w:val="0"/>
        <w:keepLines w:val="0"/>
        <w:pageBreakBefore w:val="0"/>
        <w:numPr>
          <w:ilvl w:val="0"/>
          <w:numId w:val="1"/>
        </w:numPr>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项目绩效目标设置。</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保障工作经费及时到位，</w:t>
      </w:r>
      <w:r>
        <w:rPr>
          <w:rFonts w:hint="eastAsia" w:ascii="仿宋_GB2312" w:hAnsi="仿宋_GB2312" w:eastAsia="仿宋_GB2312" w:cs="仿宋_GB2312"/>
          <w:sz w:val="32"/>
          <w:szCs w:val="32"/>
          <w:lang w:val="zh-CN" w:eastAsia="zh-CN"/>
        </w:rPr>
        <w:t>保障</w:t>
      </w:r>
      <w:r>
        <w:rPr>
          <w:rFonts w:hint="eastAsia" w:ascii="仿宋_GB2312" w:hAnsi="仿宋_GB2312" w:eastAsia="仿宋_GB2312" w:cs="仿宋_GB2312"/>
          <w:sz w:val="32"/>
          <w:szCs w:val="32"/>
          <w:lang w:val="en-US" w:eastAsia="zh-CN"/>
        </w:rPr>
        <w:t>晴朗</w:t>
      </w:r>
      <w:r>
        <w:rPr>
          <w:rFonts w:hint="eastAsia" w:ascii="仿宋_GB2312" w:hAnsi="仿宋_GB2312" w:eastAsia="仿宋_GB2312" w:cs="仿宋_GB2312"/>
          <w:sz w:val="32"/>
          <w:szCs w:val="32"/>
          <w:lang w:val="zh-CN" w:eastAsia="zh-CN"/>
        </w:rPr>
        <w:t>乡</w:t>
      </w:r>
      <w:r>
        <w:rPr>
          <w:rFonts w:hint="eastAsia" w:ascii="仿宋_GB2312" w:hAnsi="仿宋_GB2312" w:eastAsia="仿宋_GB2312" w:cs="仿宋_GB2312"/>
          <w:sz w:val="32"/>
          <w:szCs w:val="32"/>
          <w:lang w:val="en-US" w:eastAsia="zh-CN"/>
        </w:rPr>
        <w:t>工作高效运行</w:t>
      </w:r>
      <w:r>
        <w:rPr>
          <w:rFonts w:hint="eastAsia" w:ascii="仿宋_GB2312" w:hAnsi="仿宋_GB2312" w:eastAsia="仿宋_GB2312" w:cs="仿宋_GB2312"/>
          <w:sz w:val="32"/>
          <w:szCs w:val="32"/>
          <w:lang w:val="zh-CN" w:eastAsia="zh-CN"/>
        </w:rPr>
        <w:t>，充分发挥职工履职积极性，确保工作</w:t>
      </w:r>
      <w:r>
        <w:rPr>
          <w:rFonts w:hint="eastAsia" w:ascii="仿宋_GB2312" w:hAnsi="仿宋_GB2312" w:eastAsia="仿宋_GB2312" w:cs="仿宋_GB2312"/>
          <w:sz w:val="32"/>
          <w:szCs w:val="32"/>
          <w:lang w:val="en-US" w:eastAsia="zh-CN"/>
        </w:rPr>
        <w:t>成效</w:t>
      </w:r>
      <w:r>
        <w:rPr>
          <w:rFonts w:hint="eastAsia" w:ascii="仿宋_GB2312" w:hAnsi="仿宋_GB2312" w:eastAsia="仿宋_GB2312" w:cs="仿宋_GB2312"/>
          <w:sz w:val="32"/>
          <w:szCs w:val="32"/>
          <w:lang w:val="zh-CN" w:eastAsia="zh-CN"/>
        </w:rPr>
        <w:t>不断提升。</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二、评价实施</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（一）评价目的。</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对预算资金的投入、过程、产出、效果四个方面进行绩效评价，反映项目规范性、绩效目标设立的合理性和科学性、资金到位、支出情况，形成真实完整数据准确、分析透彻、逻辑清晰、客观公正的绩效评价结论为项目后续资金投入、分配和管理提供决策依据；同时作为以后年度晴朗乡编制预算和安排财政项目资金的重要依据逐步树立以结果为导向、讲求绩效的观念。</w:t>
      </w:r>
    </w:p>
    <w:p>
      <w:pPr>
        <w:pStyle w:val="2"/>
        <w:keepNext w:val="0"/>
        <w:keepLines w:val="0"/>
        <w:pageBreakBefore w:val="0"/>
        <w:kinsoku/>
        <w:wordWrap/>
        <w:overflowPunct/>
        <w:topLinePunct w:val="0"/>
        <w:bidi w:val="0"/>
        <w:spacing w:line="560" w:lineRule="exact"/>
        <w:ind w:left="0" w:leftChars="0"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（二）预设问题及评价重点。</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本次评价主要针对该项目的规划编制的内容完整性和项目实施工作的质量问题，结合该项目资金的使用情况来完整地体现。</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仿宋_GB2312" w:hAnsi="仿宋_GB2312" w:eastAsia="仿宋_GB2312" w:cs="仿宋_GB2312"/>
          <w:b/>
          <w:sz w:val="32"/>
          <w:szCs w:val="32"/>
          <w:lang w:val="zh-CN"/>
        </w:rPr>
      </w:pPr>
      <w:r>
        <w:rPr>
          <w:rFonts w:hint="eastAsia" w:ascii="方正楷体_GBK" w:hAnsi="方正楷体_GBK" w:eastAsia="方正楷体_GBK" w:cs="方正楷体_GBK"/>
          <w:b/>
          <w:sz w:val="32"/>
          <w:szCs w:val="32"/>
          <w:lang w:val="zh-CN"/>
        </w:rPr>
        <w:t>（三）评价选点。</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晴朗乡2024年乡镇避险转移经费专项工作经费</w:t>
      </w:r>
      <w:r>
        <w:rPr>
          <w:rFonts w:hint="eastAsia" w:ascii="仿宋_GB2312" w:hAnsi="仿宋_GB2312" w:eastAsia="仿宋_GB2312" w:cs="仿宋_GB2312"/>
          <w:sz w:val="32"/>
          <w:szCs w:val="32"/>
          <w:lang w:val="zh-CN" w:eastAsia="zh-CN"/>
        </w:rPr>
        <w:t>项目</w:t>
      </w:r>
      <w:r>
        <w:rPr>
          <w:rFonts w:hint="eastAsia" w:ascii="仿宋_GB2312" w:hAnsi="仿宋_GB2312" w:eastAsia="仿宋_GB2312" w:cs="仿宋_GB2312"/>
          <w:sz w:val="32"/>
          <w:szCs w:val="32"/>
          <w:lang w:val="zh-CN"/>
        </w:rPr>
        <w:t>主要开展地点为</w:t>
      </w:r>
      <w:r>
        <w:rPr>
          <w:rFonts w:hint="eastAsia" w:ascii="仿宋_GB2312" w:hAnsi="仿宋_GB2312" w:eastAsia="仿宋_GB2312" w:cs="仿宋_GB2312"/>
          <w:sz w:val="32"/>
          <w:szCs w:val="32"/>
          <w:lang w:val="zh-CN" w:eastAsia="zh-CN"/>
        </w:rPr>
        <w:t>黑水</w:t>
      </w:r>
      <w:r>
        <w:rPr>
          <w:rFonts w:hint="eastAsia" w:ascii="仿宋_GB2312" w:hAnsi="仿宋_GB2312" w:eastAsia="仿宋_GB2312" w:cs="仿宋_GB2312"/>
          <w:sz w:val="32"/>
          <w:szCs w:val="32"/>
          <w:lang w:val="zh-CN"/>
        </w:rPr>
        <w:t>县</w:t>
      </w:r>
      <w:r>
        <w:rPr>
          <w:rFonts w:hint="eastAsia" w:ascii="仿宋_GB2312" w:hAnsi="仿宋_GB2312" w:eastAsia="仿宋_GB2312" w:cs="仿宋_GB2312"/>
          <w:sz w:val="32"/>
          <w:szCs w:val="32"/>
          <w:lang w:val="en-US" w:eastAsia="zh-CN"/>
        </w:rPr>
        <w:t>晴朗乡</w:t>
      </w:r>
      <w:r>
        <w:rPr>
          <w:rFonts w:hint="eastAsia" w:ascii="仿宋_GB2312" w:hAnsi="仿宋_GB2312" w:eastAsia="仿宋_GB2312" w:cs="仿宋_GB2312"/>
          <w:sz w:val="32"/>
          <w:szCs w:val="32"/>
          <w:lang w:val="zh-CN"/>
        </w:rPr>
        <w:t>，本次绩效评价主体为</w:t>
      </w:r>
      <w:r>
        <w:rPr>
          <w:rFonts w:hint="eastAsia" w:ascii="仿宋_GB2312" w:hAnsi="仿宋_GB2312" w:eastAsia="仿宋_GB2312" w:cs="仿宋_GB2312"/>
          <w:sz w:val="32"/>
          <w:szCs w:val="32"/>
          <w:lang w:val="en-US" w:eastAsia="zh-CN"/>
        </w:rPr>
        <w:t>黑水县晴朗乡人民政府</w:t>
      </w:r>
      <w:r>
        <w:rPr>
          <w:rFonts w:hint="eastAsia" w:ascii="仿宋_GB2312" w:hAnsi="仿宋_GB2312" w:eastAsia="仿宋_GB2312" w:cs="仿宋_GB2312"/>
          <w:sz w:val="32"/>
          <w:szCs w:val="32"/>
          <w:lang w:val="zh-CN"/>
        </w:rPr>
        <w:t>，项目不</w:t>
      </w:r>
      <w:r>
        <w:rPr>
          <w:rFonts w:hint="eastAsia" w:ascii="仿宋_GB2312" w:hAnsi="仿宋_GB2312" w:eastAsia="仿宋_GB2312" w:cs="仿宋_GB2312"/>
          <w:sz w:val="32"/>
          <w:szCs w:val="32"/>
          <w:lang w:val="zh-CN" w:eastAsia="zh-CN"/>
        </w:rPr>
        <w:t>涉及其他单位</w:t>
      </w:r>
      <w:r>
        <w:rPr>
          <w:rFonts w:hint="eastAsia" w:ascii="仿宋_GB2312" w:hAnsi="仿宋_GB2312" w:eastAsia="仿宋_GB2312" w:cs="仿宋_GB2312"/>
          <w:sz w:val="32"/>
          <w:szCs w:val="32"/>
          <w:lang w:val="zh-CN"/>
        </w:rPr>
        <w:t>。</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（四）</w:t>
      </w:r>
      <w:r>
        <w:rPr>
          <w:rFonts w:hint="eastAsia" w:ascii="方正楷体_GBK" w:hAnsi="方正楷体_GBK" w:eastAsia="方正楷体_GBK" w:cs="方正楷体_GBK"/>
          <w:b/>
          <w:sz w:val="32"/>
          <w:szCs w:val="32"/>
          <w:lang w:val="zh-CN"/>
        </w:rPr>
        <w:t>评价方法。</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采用先进的绩效评价方法和科学的数据分析是取得正确客观评价结论的重要保障，结合</w:t>
      </w:r>
      <w:r>
        <w:rPr>
          <w:rFonts w:hint="eastAsia" w:ascii="仿宋_GB2312" w:hAnsi="仿宋_GB2312" w:eastAsia="仿宋_GB2312" w:cs="仿宋_GB2312"/>
          <w:sz w:val="32"/>
          <w:szCs w:val="32"/>
          <w:lang w:val="en-US" w:eastAsia="zh-CN"/>
        </w:rPr>
        <w:t>乡镇避险转移经费专项工作经费项目</w:t>
      </w:r>
      <w:r>
        <w:rPr>
          <w:rFonts w:hint="eastAsia" w:ascii="仿宋_GB2312" w:hAnsi="仿宋_GB2312" w:eastAsia="仿宋_GB2312" w:cs="仿宋_GB2312"/>
          <w:sz w:val="32"/>
          <w:szCs w:val="32"/>
          <w:lang w:val="zh-CN"/>
        </w:rPr>
        <w:t>的特点，经与评价组织沟通后采取以下绩效评价方法：</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1.公众评判法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乡镇避险转移经费</w:t>
      </w:r>
      <w:r>
        <w:rPr>
          <w:rFonts w:hint="eastAsia" w:ascii="仿宋_GB2312" w:hAnsi="仿宋_GB2312" w:eastAsia="仿宋_GB2312" w:cs="仿宋_GB2312"/>
          <w:sz w:val="32"/>
          <w:szCs w:val="32"/>
          <w:lang w:val="zh-CN" w:eastAsia="zh-CN"/>
        </w:rPr>
        <w:t>具有较为清晰的服务群体，且该项目绩效状况的优劣，很大程度上体现在</w:t>
      </w:r>
      <w:r>
        <w:rPr>
          <w:rFonts w:hint="eastAsia" w:ascii="仿宋_GB2312" w:hAnsi="仿宋_GB2312" w:eastAsia="仿宋_GB2312" w:cs="仿宋_GB2312"/>
          <w:sz w:val="32"/>
          <w:szCs w:val="32"/>
          <w:lang w:val="en-US" w:eastAsia="zh-CN"/>
        </w:rPr>
        <w:t>乡镇避险转移经费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乡镇避险转移经费</w:t>
      </w:r>
      <w:r>
        <w:rPr>
          <w:rFonts w:hint="eastAsia" w:ascii="仿宋_GB2312" w:hAnsi="仿宋_GB2312" w:eastAsia="仿宋_GB2312" w:cs="仿宋_GB2312"/>
          <w:sz w:val="32"/>
          <w:szCs w:val="32"/>
          <w:lang w:val="zh-CN" w:eastAsia="zh-CN"/>
        </w:rPr>
        <w:t>覆盖率，</w:t>
      </w:r>
      <w:r>
        <w:rPr>
          <w:rFonts w:hint="eastAsia" w:ascii="仿宋_GB2312" w:hAnsi="仿宋_GB2312" w:eastAsia="仿宋_GB2312" w:cs="仿宋_GB2312"/>
          <w:sz w:val="32"/>
          <w:szCs w:val="32"/>
          <w:lang w:val="en-US" w:eastAsia="zh-CN"/>
        </w:rPr>
        <w:t>乡镇避险转移</w:t>
      </w:r>
      <w:r>
        <w:rPr>
          <w:rFonts w:hint="eastAsia" w:ascii="仿宋_GB2312" w:hAnsi="仿宋_GB2312" w:eastAsia="仿宋_GB2312" w:cs="仿宋_GB2312"/>
          <w:sz w:val="32"/>
          <w:szCs w:val="32"/>
          <w:lang w:val="zh-CN" w:eastAsia="zh-CN"/>
        </w:rPr>
        <w:t>参与村级事务治理积极性等方面。为此，与该项目评价的具体指标相对应，按照一定比例，以电</w:t>
      </w:r>
      <w:r>
        <w:rPr>
          <w:rFonts w:hint="eastAsia" w:ascii="仿宋_GB2312" w:hAnsi="仿宋_GB2312" w:eastAsia="仿宋_GB2312" w:cs="仿宋_GB2312"/>
          <w:sz w:val="32"/>
          <w:szCs w:val="32"/>
          <w:lang w:val="en-US" w:eastAsia="zh-CN"/>
        </w:rPr>
        <w:t>话</w:t>
      </w:r>
      <w:r>
        <w:rPr>
          <w:rFonts w:hint="eastAsia" w:ascii="仿宋_GB2312" w:hAnsi="仿宋_GB2312" w:eastAsia="仿宋_GB2312" w:cs="仿宋_GB2312"/>
          <w:sz w:val="32"/>
          <w:szCs w:val="32"/>
          <w:lang w:val="zh-CN" w:eastAsia="zh-CN"/>
        </w:rPr>
        <w:t>询问等方式进行调查，收集、分析所取得的样本数据，从而推断确定目标群体的满意度，进而评价满意度指标。</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2.成本效益分析法</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zh-CN" w:eastAsia="zh-CN"/>
        </w:rPr>
        <w:t>本项目将资金投入与</w:t>
      </w:r>
      <w:r>
        <w:rPr>
          <w:rFonts w:hint="eastAsia" w:ascii="仿宋_GB2312" w:hAnsi="仿宋_GB2312" w:eastAsia="仿宋_GB2312" w:cs="仿宋_GB2312"/>
          <w:sz w:val="32"/>
          <w:szCs w:val="32"/>
          <w:lang w:val="en-US" w:eastAsia="zh-CN"/>
        </w:rPr>
        <w:t>乡镇避险转移经费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乡镇避险转移经费</w:t>
      </w:r>
      <w:r>
        <w:rPr>
          <w:rFonts w:hint="eastAsia" w:ascii="仿宋_GB2312" w:hAnsi="仿宋_GB2312" w:eastAsia="仿宋_GB2312" w:cs="仿宋_GB2312"/>
          <w:sz w:val="32"/>
          <w:szCs w:val="32"/>
          <w:lang w:val="zh-CN" w:eastAsia="zh-CN"/>
        </w:rPr>
        <w:t>覆盖率、</w:t>
      </w:r>
      <w:r>
        <w:rPr>
          <w:rFonts w:hint="eastAsia" w:ascii="仿宋_GB2312" w:hAnsi="仿宋_GB2312" w:eastAsia="仿宋_GB2312" w:cs="仿宋_GB2312"/>
          <w:sz w:val="32"/>
          <w:szCs w:val="32"/>
          <w:lang w:val="en-US" w:eastAsia="zh-CN"/>
        </w:rPr>
        <w:t>工作队员</w:t>
      </w:r>
      <w:r>
        <w:rPr>
          <w:rFonts w:hint="eastAsia" w:ascii="仿宋_GB2312" w:hAnsi="仿宋_GB2312" w:eastAsia="仿宋_GB2312" w:cs="仿宋_GB2312"/>
          <w:sz w:val="32"/>
          <w:szCs w:val="32"/>
          <w:lang w:val="zh-CN" w:eastAsia="zh-CN"/>
        </w:rPr>
        <w:t>补助标准，</w:t>
      </w:r>
      <w:r>
        <w:rPr>
          <w:rFonts w:hint="eastAsia" w:ascii="仿宋_GB2312" w:hAnsi="仿宋_GB2312" w:eastAsia="仿宋_GB2312" w:cs="仿宋_GB2312"/>
          <w:sz w:val="32"/>
          <w:szCs w:val="32"/>
          <w:lang w:val="en-US" w:eastAsia="zh-CN"/>
        </w:rPr>
        <w:t>工作队</w:t>
      </w:r>
      <w:r>
        <w:rPr>
          <w:rFonts w:hint="eastAsia" w:ascii="仿宋_GB2312" w:hAnsi="仿宋_GB2312" w:eastAsia="仿宋_GB2312" w:cs="仿宋_GB2312"/>
          <w:sz w:val="32"/>
          <w:szCs w:val="32"/>
          <w:lang w:val="zh-CN" w:eastAsia="zh-CN"/>
        </w:rPr>
        <w:t>参与村级事务治理积极性等效益进行关联性分析。</w:t>
      </w:r>
    </w:p>
    <w:p>
      <w:pPr>
        <w:pStyle w:val="4"/>
        <w:keepNext w:val="0"/>
        <w:keepLines w:val="0"/>
        <w:pageBreakBefore w:val="0"/>
        <w:kinsoku/>
        <w:wordWrap/>
        <w:overflowPunct/>
        <w:topLinePunct w:val="0"/>
        <w:bidi w:val="0"/>
        <w:spacing w:line="560" w:lineRule="exact"/>
        <w:ind w:firstLine="600"/>
        <w:textAlignment w:val="auto"/>
        <w:rPr>
          <w:rFonts w:hint="eastAsia" w:ascii="方正楷体_GBK" w:hAnsi="方正楷体_GBK" w:eastAsia="方正楷体_GBK" w:cs="方正楷体_GBK"/>
          <w:b/>
          <w:bCs w:val="0"/>
          <w:sz w:val="32"/>
          <w:szCs w:val="32"/>
        </w:rPr>
      </w:pPr>
      <w:r>
        <w:rPr>
          <w:rFonts w:hint="eastAsia" w:ascii="方正楷体_GBK" w:hAnsi="方正楷体_GBK" w:eastAsia="方正楷体_GBK" w:cs="方正楷体_GBK"/>
          <w:b/>
          <w:bCs w:val="0"/>
          <w:sz w:val="32"/>
          <w:szCs w:val="32"/>
          <w:lang w:val="zh-CN"/>
        </w:rPr>
        <w:t>（五）评价组织。</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1.领导小组职责：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（1）研究和决定单位管理绩效评价中的重大问题。</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（2）组织协调绩效评价工作，确保评价的顺利进行。</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（3）对工作目标、绩效考核结果和等次、奖惩方案进行审核，并报乡党委和政府审定。</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2.办公室职责：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（1）提出政府绩效评价的工作方案，并负责具体组织实施。</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（2）综合评价信息，提出评价结果等次认定方案及奖惩方案等。</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（3）负责绩效评价的日常工作，包括宣传、沟通、协调等。</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（4）根据评价结果撰写绩效评价报告，并递交给领导小组。</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3.具体执行人员职责：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（1）组长：审批绩效自评方案，监督、检查、核实绩效自评结果。</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三、绩效分析</w:t>
      </w:r>
      <w:r>
        <w:rPr>
          <w:rFonts w:hint="eastAsia" w:ascii="黑体" w:hAnsi="黑体" w:eastAsia="黑体" w:cs="黑体"/>
          <w:sz w:val="32"/>
          <w:szCs w:val="32"/>
          <w:lang w:val="zh-CN"/>
        </w:rPr>
        <w:tab/>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根据项目预算绩效评价指标体系“通用指标”“专用指标”“个性指标”涉及二、三级指标进行逐项绩效分析并评分。</w:t>
      </w:r>
    </w:p>
    <w:p>
      <w:pPr>
        <w:keepNext w:val="0"/>
        <w:keepLines w:val="0"/>
        <w:pageBreakBefore w:val="0"/>
        <w:kinsoku/>
        <w:wordWrap/>
        <w:overflowPunct/>
        <w:topLinePunct w:val="0"/>
        <w:bidi w:val="0"/>
        <w:spacing w:line="560" w:lineRule="exact"/>
        <w:ind w:firstLine="640"/>
        <w:textAlignment w:val="auto"/>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（一）</w:t>
      </w:r>
      <w:r>
        <w:rPr>
          <w:rFonts w:hint="eastAsia" w:ascii="方正楷体_GBK" w:hAnsi="方正楷体_GBK" w:eastAsia="方正楷体_GBK" w:cs="方正楷体_GBK"/>
          <w:b/>
          <w:sz w:val="32"/>
          <w:szCs w:val="32"/>
        </w:rPr>
        <w:t>通用指标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项目决策。</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项目决策程序严密</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zh-CN"/>
        </w:rPr>
        <w:t>村干部</w:t>
      </w:r>
      <w:r>
        <w:rPr>
          <w:rFonts w:hint="eastAsia" w:ascii="仿宋_GB2312" w:hAnsi="仿宋_GB2312" w:eastAsia="仿宋_GB2312" w:cs="仿宋_GB2312"/>
          <w:sz w:val="32"/>
          <w:szCs w:val="32"/>
          <w:lang w:val="en-US" w:eastAsia="zh-CN"/>
        </w:rPr>
        <w:t>体检费</w:t>
      </w:r>
      <w:r>
        <w:rPr>
          <w:rFonts w:hint="eastAsia" w:ascii="仿宋_GB2312" w:hAnsi="仿宋_GB2312" w:eastAsia="仿宋_GB2312" w:cs="仿宋_GB2312"/>
          <w:sz w:val="32"/>
          <w:szCs w:val="32"/>
          <w:lang w:val="zh-CN"/>
        </w:rPr>
        <w:t>项目设立、调整延续等方面符合资金管理基本规范和决策程序要求；项目规划符合中央、省委、省政府有关决策部署安排；项目总体绩效目标设置合理，绩效目标科学合理、规范完整、量化细化、预算匹配；该项目属于政府支持范围，且符合财政事权支出责任划分规定，资金投向与项目总体规划、相关行业事业发展相匹配；聚焦重大任务、重点领域、重点环节和重点项目，体现“集中力量办大事”原则；该项目未与其他同类项目或部门内部相关项目交叉重复。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项目管理。</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资金管理办法等管理制度体系健全完善，不存在管理制度缺失、管理办法过期情况；项目资金分配因素选取、权重设置、区域分布，项目管理、审批符合管理要求；管资金、管项目、政策管绩效，项目绩效监管按要求开展，指导有力有效。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项目实施。</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资金财政拨付、单位执行和地方配套到位；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共计得分9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项目结果。</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项目完成预期目标，实施结果与绩效目标相匹配，反映目标实现100%；项目实际完成时间按计划时间完成。共计得分9分。</w:t>
      </w:r>
    </w:p>
    <w:p>
      <w:pPr>
        <w:keepNext w:val="0"/>
        <w:keepLines w:val="0"/>
        <w:pageBreakBefore w:val="0"/>
        <w:numPr>
          <w:ilvl w:val="0"/>
          <w:numId w:val="0"/>
        </w:numPr>
        <w:kinsoku/>
        <w:wordWrap/>
        <w:overflowPunct/>
        <w:topLinePunct w:val="0"/>
        <w:bidi w:val="0"/>
        <w:spacing w:line="560" w:lineRule="exact"/>
        <w:ind w:firstLine="642" w:firstLineChars="20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eastAsia="zh-CN" w:bidi="ar-SA"/>
        </w:rPr>
        <w:t>（二）</w:t>
      </w:r>
      <w:r>
        <w:rPr>
          <w:rFonts w:hint="eastAsia" w:ascii="方正楷体_GBK" w:hAnsi="方正楷体_GBK" w:eastAsia="方正楷体_GBK" w:cs="方正楷体_GBK"/>
          <w:b/>
          <w:sz w:val="32"/>
          <w:szCs w:val="32"/>
        </w:rPr>
        <w:t>专用指标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根据专项预算项目资金支持对象选择所属指标进行绩效分析。支持对象包括产业发展、民生保障、基础设施、行政运转等方面。</w:t>
      </w:r>
      <w:r>
        <w:rPr>
          <w:rFonts w:hint="eastAsia" w:ascii="仿宋_GB2312" w:hAnsi="仿宋_GB2312" w:eastAsia="仿宋_GB2312" w:cs="仿宋_GB2312"/>
          <w:sz w:val="32"/>
          <w:szCs w:val="32"/>
          <w:lang w:val="en-US" w:eastAsia="zh-CN"/>
        </w:rPr>
        <w:t>该项目属</w:t>
      </w:r>
      <w:r>
        <w:rPr>
          <w:rFonts w:hint="eastAsia" w:ascii="仿宋_GB2312" w:hAnsi="仿宋_GB2312" w:eastAsia="仿宋_GB2312" w:cs="仿宋_GB2312"/>
          <w:sz w:val="32"/>
          <w:szCs w:val="32"/>
          <w:lang w:val="zh-CN"/>
        </w:rPr>
        <w:t>民生保障。项目资金分配均衡；资金实际支持对象符合管理要求，符合支持对象范围；资金实际补贴标准符合资金管理办法规定的补助标准并及时按标准兑现；资金涉及相关受益群体、支持对象满意。共计得分30分。</w:t>
      </w:r>
    </w:p>
    <w:p>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sz w:val="32"/>
          <w:szCs w:val="32"/>
          <w:lang w:val="zh-CN"/>
        </w:rPr>
        <w:t>（三）</w:t>
      </w:r>
      <w:r>
        <w:rPr>
          <w:rFonts w:hint="eastAsia" w:ascii="方正楷体_GBK" w:hAnsi="方正楷体_GBK" w:eastAsia="方正楷体_GBK" w:cs="方正楷体_GBK"/>
          <w:b/>
          <w:sz w:val="32"/>
          <w:szCs w:val="32"/>
        </w:rPr>
        <w:t>个性指标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财务管理：</w:t>
      </w:r>
      <w:r>
        <w:rPr>
          <w:rFonts w:hint="eastAsia" w:ascii="仿宋_GB2312" w:hAnsi="仿宋_GB2312" w:eastAsia="仿宋_GB2312" w:cs="仿宋_GB2312"/>
          <w:sz w:val="32"/>
          <w:szCs w:val="32"/>
          <w:lang w:val="en-US" w:eastAsia="zh-CN"/>
        </w:rPr>
        <w:t>该项目财务管理制度健全，资金拨付效率高，财务资料完整。该项目</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预算编制：</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预算编制合理，投</w:t>
      </w:r>
      <w:r>
        <w:rPr>
          <w:rFonts w:hint="eastAsia" w:ascii="仿宋_GB2312" w:hAnsi="仿宋_GB2312" w:eastAsia="仿宋_GB2312" w:cs="仿宋_GB2312"/>
          <w:sz w:val="32"/>
          <w:szCs w:val="32"/>
          <w:lang w:val="en-US" w:eastAsia="zh-CN"/>
        </w:rPr>
        <w:t>资到位及时。</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bCs/>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执行情况：资金已按期拨付，实际执行情况与预算相符，项目实施后已达到预期效果。该项指标得分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按照绩效自评工作要求，秉承客观公正、实事求是的原则开展项目绩效自评工作，经对各类指标进行评分和汇总分析，本项目的绩效评价结果为“优”，综合评分 99分。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kern w:val="2"/>
          <w:position w:val="0"/>
          <w:sz w:val="32"/>
          <w:szCs w:val="32"/>
          <w:lang w:eastAsia="zh-CN"/>
        </w:rPr>
      </w:pPr>
      <w:r>
        <w:rPr>
          <w:rFonts w:hint="eastAsia" w:ascii="仿宋_GB2312" w:hAnsi="仿宋_GB2312" w:eastAsia="仿宋_GB2312" w:cs="仿宋_GB2312"/>
          <w:position w:val="0"/>
          <w:sz w:val="32"/>
          <w:szCs w:val="32"/>
          <w:lang w:eastAsia="zh-CN"/>
        </w:rPr>
        <w:t>无。</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tabs>
          <w:tab w:val="left" w:pos="1911"/>
        </w:tabs>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无</w:t>
      </w:r>
      <w:r>
        <w:rPr>
          <w:rFonts w:hint="eastAsia" w:ascii="仿宋_GB2312" w:hAnsi="仿宋_GB2312" w:cs="仿宋_GB2312"/>
          <w:kern w:val="0"/>
          <w:sz w:val="32"/>
          <w:szCs w:val="32"/>
          <w:lang w:eastAsia="zh-CN"/>
        </w:rPr>
        <w:t>。</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附表：1.专项预算绩效自评打分表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2.专项预算绩效自评实地踏勘点位清单表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3.专项预算项目绩效目标完成情况自评表</w:t>
      </w:r>
    </w:p>
    <w:p>
      <w:pPr>
        <w:keepNext w:val="0"/>
        <w:keepLines w:val="0"/>
        <w:pageBreakBefore w:val="0"/>
        <w:kinsoku/>
        <w:wordWrap/>
        <w:overflowPunct/>
        <w:topLinePunct w:val="0"/>
        <w:bidi w:val="0"/>
        <w:spacing w:line="560" w:lineRule="exact"/>
        <w:ind w:firstLine="3840" w:firstLineChars="1200"/>
        <w:textAlignment w:val="auto"/>
        <w:rPr>
          <w:rFonts w:hint="eastAsia" w:ascii="仿宋_GB2312" w:hAnsi="仿宋_GB2312" w:eastAsia="仿宋_GB2312" w:cs="仿宋_GB2312"/>
          <w:sz w:val="32"/>
          <w:szCs w:val="32"/>
          <w:lang w:val="zh-CN"/>
        </w:rPr>
      </w:pPr>
    </w:p>
    <w:p>
      <w:pPr>
        <w:ind w:firstLine="3570" w:firstLineChars="1700"/>
        <w:rPr>
          <w:lang w:val="zh-CN"/>
        </w:rPr>
      </w:pPr>
      <w:r>
        <w:rPr>
          <w:rFonts w:hint="eastAsia"/>
          <w:lang w:val="zh-CN"/>
        </w:rPr>
        <w:t>黑水县晴朗乡人民政府</w:t>
      </w:r>
    </w:p>
    <w:p>
      <w:pPr>
        <w:ind w:firstLine="3990" w:firstLineChars="1900"/>
        <w:rPr>
          <w:lang w:val="zh-CN"/>
        </w:rPr>
      </w:pPr>
      <w:r>
        <w:rPr>
          <w:rFonts w:hint="eastAsia"/>
          <w:lang w:val="zh-CN"/>
        </w:rPr>
        <w:t>2025年4月</w:t>
      </w:r>
      <w:r>
        <w:rPr>
          <w:rFonts w:hint="eastAsia"/>
          <w:lang w:val="en-US" w:eastAsia="zh-CN"/>
        </w:rPr>
        <w:t>3</w:t>
      </w:r>
      <w:r>
        <w:rPr>
          <w:rFonts w:hint="eastAsia"/>
          <w:lang w:val="zh-CN"/>
        </w:rPr>
        <w:t>0日</w:t>
      </w:r>
    </w:p>
    <w:p>
      <w:pPr>
        <w:snapToGrid w:val="0"/>
        <w:spacing w:line="578" w:lineRule="exact"/>
        <w:rPr>
          <w:rFonts w:eastAsia="黑体"/>
          <w:kern w:val="0"/>
          <w:shd w:val="clear" w:color="auto" w:fill="FFFFFF"/>
        </w:rPr>
      </w:pPr>
      <w:r>
        <w:rPr>
          <w:rFonts w:eastAsia="黑体"/>
          <w:kern w:val="0"/>
          <w:shd w:val="clear" w:color="auto" w:fill="FFFFFF"/>
          <w:lang w:val="zh-CN"/>
        </w:rPr>
        <w:t>附表</w:t>
      </w:r>
      <w:r>
        <w:rPr>
          <w:rFonts w:eastAsia="黑体"/>
          <w:kern w:val="0"/>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tblPrEx>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w:t>
            </w:r>
            <w:r>
              <w:rPr>
                <w:rFonts w:hint="eastAsia" w:ascii="宋体" w:hAnsi="宋体" w:cs="宋体"/>
                <w:color w:val="000000"/>
                <w:kern w:val="0"/>
                <w:sz w:val="24"/>
                <w:szCs w:val="24"/>
                <w:lang w:eastAsia="zh-CN" w:bidi="ar"/>
              </w:rPr>
              <w:t>中央、省委</w:t>
            </w:r>
            <w:r>
              <w:rPr>
                <w:rFonts w:hint="eastAsia" w:ascii="宋体" w:hAnsi="宋体" w:eastAsia="宋体" w:cs="宋体"/>
                <w:color w:val="000000"/>
                <w:kern w:val="0"/>
                <w:sz w:val="24"/>
                <w:szCs w:val="24"/>
                <w:lang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w:t>
            </w:r>
            <w:r>
              <w:rPr>
                <w:rFonts w:hint="eastAsia" w:ascii="宋体" w:hAnsi="宋体" w:cs="宋体"/>
                <w:color w:val="000000"/>
                <w:kern w:val="0"/>
                <w:sz w:val="24"/>
                <w:szCs w:val="24"/>
                <w:lang w:eastAsia="zh-CN" w:bidi="ar"/>
              </w:rPr>
              <w:t>省委、省政府</w:t>
            </w:r>
            <w:r>
              <w:rPr>
                <w:rFonts w:hint="eastAsia" w:ascii="宋体" w:hAnsi="宋体" w:eastAsia="宋体" w:cs="宋体"/>
                <w:color w:val="000000"/>
                <w:kern w:val="0"/>
                <w:sz w:val="24"/>
                <w:szCs w:val="24"/>
                <w:lang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2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357"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财务管理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财务管理不符合专项资金管理要求。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预算编制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预算编制不符合专项资金管理要求。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执行情况</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资金执行不符合专项资金管理要求。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spacing w:line="578" w:lineRule="exact"/>
      </w:pPr>
      <w:r>
        <w:rPr>
          <w:rFonts w:eastAsia="黑体"/>
          <w:kern w:val="0"/>
          <w:shd w:val="clear" w:color="auto" w:fill="FFFFFF"/>
          <w:lang w:val="zh-CN"/>
        </w:rPr>
        <w:br w:type="page"/>
      </w:r>
      <w:r>
        <w:rPr>
          <w:rFonts w:eastAsia="黑体"/>
          <w:kern w:val="0"/>
          <w:shd w:val="clear" w:color="auto" w:fill="FFFFFF"/>
          <w:lang w:val="zh-CN"/>
        </w:rPr>
        <w:t>附表</w:t>
      </w:r>
      <w:r>
        <w:rPr>
          <w:rFonts w:hint="eastAsia"/>
          <w:kern w:val="0"/>
          <w:shd w:val="clear" w:color="auto" w:fill="FFFFFF"/>
        </w:rPr>
        <w:t>2</w:t>
      </w:r>
    </w:p>
    <w:p>
      <w:pPr>
        <w:spacing w:line="578" w:lineRule="exact"/>
        <w:jc w:val="center"/>
        <w:rPr>
          <w:rFonts w:eastAsia="方正小标宋_GBK"/>
          <w:sz w:val="40"/>
          <w:szCs w:val="40"/>
        </w:rPr>
      </w:pPr>
      <w:r>
        <w:rPr>
          <w:rFonts w:eastAsia="方正小标宋_GBK"/>
          <w:sz w:val="40"/>
          <w:szCs w:val="40"/>
        </w:rPr>
        <w:t>专项预算绩效自评实地踏勘点位清单表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黑体"/>
                <w:sz w:val="24"/>
                <w:szCs w:val="24"/>
              </w:rPr>
            </w:pPr>
            <w:r>
              <w:rPr>
                <w:rFonts w:eastAsia="黑体"/>
                <w:sz w:val="24"/>
                <w:szCs w:val="24"/>
              </w:rPr>
              <w:t>序号</w:t>
            </w:r>
          </w:p>
        </w:tc>
        <w:tc>
          <w:tcPr>
            <w:tcW w:w="5956" w:type="dxa"/>
            <w:noWrap w:val="0"/>
            <w:vAlign w:val="top"/>
          </w:tcPr>
          <w:p>
            <w:pPr>
              <w:spacing w:line="300" w:lineRule="exact"/>
              <w:jc w:val="center"/>
              <w:rPr>
                <w:rFonts w:eastAsia="黑体"/>
                <w:sz w:val="24"/>
                <w:szCs w:val="24"/>
                <w:lang w:val="en"/>
              </w:rPr>
            </w:pPr>
            <w:r>
              <w:rPr>
                <w:rFonts w:eastAsia="黑体"/>
                <w:sz w:val="24"/>
                <w:szCs w:val="24"/>
              </w:rPr>
              <w:t>实地踏勘点位</w:t>
            </w:r>
          </w:p>
        </w:tc>
        <w:tc>
          <w:tcPr>
            <w:tcW w:w="905" w:type="dxa"/>
            <w:noWrap w:val="0"/>
            <w:vAlign w:val="top"/>
          </w:tcPr>
          <w:p>
            <w:pPr>
              <w:spacing w:line="300" w:lineRule="exact"/>
              <w:jc w:val="center"/>
              <w:rPr>
                <w:rFonts w:eastAsia="黑体"/>
                <w:sz w:val="24"/>
                <w:szCs w:val="24"/>
              </w:rPr>
            </w:pPr>
            <w:r>
              <w:rPr>
                <w:rFonts w:eastAsia="黑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w:t>
            </w:r>
          </w:p>
        </w:tc>
        <w:tc>
          <w:tcPr>
            <w:tcW w:w="5956" w:type="dxa"/>
            <w:noWrap w:val="0"/>
            <w:vAlign w:val="top"/>
          </w:tcPr>
          <w:p>
            <w:pPr>
              <w:spacing w:line="300" w:lineRule="exact"/>
              <w:jc w:val="center"/>
              <w:rPr>
                <w:rFonts w:hint="default" w:eastAsia="仿宋_GB2312"/>
                <w:sz w:val="24"/>
                <w:szCs w:val="24"/>
                <w:lang w:val="en-US" w:eastAsia="zh-CN"/>
              </w:rPr>
            </w:pPr>
            <w:r>
              <w:rPr>
                <w:rFonts w:hint="eastAsia"/>
                <w:sz w:val="24"/>
                <w:szCs w:val="24"/>
                <w:lang w:val="en-US" w:eastAsia="zh-CN"/>
              </w:rPr>
              <w:t>黑水县晴朗乡人民政府</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8</w:t>
            </w:r>
          </w:p>
        </w:tc>
        <w:tc>
          <w:tcPr>
            <w:tcW w:w="5956" w:type="dxa"/>
            <w:noWrap w:val="0"/>
            <w:vAlign w:val="top"/>
          </w:tcPr>
          <w:p>
            <w:pPr>
              <w:spacing w:line="300" w:lineRule="exact"/>
              <w:jc w:val="center"/>
              <w:rPr>
                <w:sz w:val="24"/>
                <w:szCs w:val="24"/>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9</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10</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11</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18</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19</w:t>
            </w:r>
          </w:p>
        </w:tc>
        <w:tc>
          <w:tcPr>
            <w:tcW w:w="5956" w:type="dxa"/>
            <w:noWrap w:val="0"/>
            <w:vAlign w:val="top"/>
          </w:tcPr>
          <w:p>
            <w:pPr>
              <w:spacing w:line="300" w:lineRule="exact"/>
              <w:jc w:val="center"/>
              <w:rPr>
                <w:sz w:val="24"/>
                <w:szCs w:val="24"/>
                <w:lang w:val="en"/>
              </w:rPr>
            </w:pPr>
            <w:r>
              <w:rPr>
                <w:rFonts w:hint="eastAsia"/>
                <w:sz w:val="24"/>
                <w:szCs w:val="24"/>
                <w:lang w:val="en"/>
              </w:rPr>
              <w:t>……</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20</w:t>
            </w:r>
          </w:p>
        </w:tc>
        <w:tc>
          <w:tcPr>
            <w:tcW w:w="5956" w:type="dxa"/>
            <w:noWrap w:val="0"/>
            <w:vAlign w:val="top"/>
          </w:tcPr>
          <w:p>
            <w:pPr>
              <w:spacing w:line="300" w:lineRule="exact"/>
              <w:rPr>
                <w:sz w:val="24"/>
                <w:szCs w:val="24"/>
                <w:lang w:val="en"/>
              </w:rPr>
            </w:pPr>
          </w:p>
        </w:tc>
        <w:tc>
          <w:tcPr>
            <w:tcW w:w="905" w:type="dxa"/>
            <w:noWrap w:val="0"/>
            <w:vAlign w:val="top"/>
          </w:tcPr>
          <w:p>
            <w:pPr>
              <w:spacing w:line="300" w:lineRule="exact"/>
              <w:rPr>
                <w:sz w:val="24"/>
                <w:szCs w:val="24"/>
              </w:rPr>
            </w:pPr>
          </w:p>
        </w:tc>
      </w:tr>
    </w:tbl>
    <w:p>
      <w:pPr>
        <w:spacing w:line="400" w:lineRule="exact"/>
        <w:jc w:val="center"/>
        <w:rPr>
          <w:rFonts w:eastAsia="宋体"/>
          <w:sz w:val="21"/>
          <w:szCs w:val="21"/>
        </w:rPr>
      </w:pPr>
      <w:r>
        <w:rPr>
          <w:rFonts w:eastAsia="宋体"/>
          <w:sz w:val="21"/>
          <w:szCs w:val="21"/>
        </w:rPr>
        <w:t>备注：项目</w:t>
      </w:r>
      <w:r>
        <w:rPr>
          <w:rFonts w:hint="eastAsia" w:eastAsia="宋体"/>
          <w:sz w:val="21"/>
          <w:szCs w:val="21"/>
        </w:rPr>
        <w:t>实地踏勘</w:t>
      </w:r>
      <w:r>
        <w:rPr>
          <w:rFonts w:eastAsia="宋体"/>
          <w:sz w:val="21"/>
          <w:szCs w:val="21"/>
        </w:rPr>
        <w:t>点位包括市（州）本级、县（市、区）</w:t>
      </w:r>
      <w:r>
        <w:rPr>
          <w:rFonts w:hint="eastAsia" w:eastAsia="宋体"/>
          <w:sz w:val="21"/>
          <w:szCs w:val="21"/>
        </w:rPr>
        <w:t>本级及有关项目、单位、公司</w:t>
      </w:r>
      <w:r>
        <w:rPr>
          <w:rFonts w:eastAsia="宋体"/>
          <w:sz w:val="21"/>
          <w:szCs w:val="21"/>
        </w:rPr>
        <w:t>等。</w:t>
      </w:r>
    </w:p>
    <w:p>
      <w:pPr>
        <w:snapToGrid w:val="0"/>
        <w:spacing w:line="578" w:lineRule="exact"/>
        <w:rPr>
          <w:rFonts w:eastAsia="黑体"/>
          <w:kern w:val="0"/>
          <w:shd w:val="clear" w:color="auto" w:fill="FFFFFF"/>
          <w:lang w:val="zh-CN"/>
        </w:rPr>
      </w:pPr>
    </w:p>
    <w:p>
      <w:pPr>
        <w:snapToGrid w:val="0"/>
        <w:spacing w:line="578" w:lineRule="exact"/>
        <w:rPr>
          <w:rFonts w:eastAsia="黑体"/>
          <w:kern w:val="0"/>
          <w:shd w:val="clear" w:color="auto" w:fill="FFFFFF"/>
        </w:rPr>
      </w:pPr>
      <w:r>
        <w:rPr>
          <w:rFonts w:eastAsia="黑体"/>
          <w:kern w:val="0"/>
          <w:shd w:val="clear" w:color="auto" w:fill="FFFFFF"/>
          <w:lang w:val="zh-CN"/>
        </w:rPr>
        <w:br w:type="page"/>
      </w:r>
      <w:r>
        <w:rPr>
          <w:rFonts w:eastAsia="黑体"/>
          <w:kern w:val="0"/>
          <w:shd w:val="clear" w:color="auto" w:fill="FFFFFF"/>
          <w:lang w:val="zh-CN"/>
        </w:rPr>
        <w:t>附表</w:t>
      </w:r>
      <w:r>
        <w:rPr>
          <w:rFonts w:hint="eastAsia" w:eastAsia="黑体"/>
          <w:kern w:val="0"/>
          <w:shd w:val="clear" w:color="auto" w:fill="FFFFFF"/>
        </w:rPr>
        <w:t>3</w:t>
      </w:r>
    </w:p>
    <w:tbl>
      <w:tblPr>
        <w:tblStyle w:val="10"/>
        <w:tblW w:w="10233" w:type="dxa"/>
        <w:jc w:val="center"/>
        <w:tblLayout w:type="fixed"/>
        <w:tblCellMar>
          <w:top w:w="15" w:type="dxa"/>
          <w:left w:w="15" w:type="dxa"/>
          <w:bottom w:w="15" w:type="dxa"/>
          <w:right w:w="15" w:type="dxa"/>
        </w:tblCellMar>
      </w:tblPr>
      <w:tblGrid>
        <w:gridCol w:w="500"/>
        <w:gridCol w:w="1490"/>
        <w:gridCol w:w="1283"/>
        <w:gridCol w:w="1641"/>
        <w:gridCol w:w="380"/>
        <w:gridCol w:w="1219"/>
        <w:gridCol w:w="381"/>
        <w:gridCol w:w="793"/>
        <w:gridCol w:w="369"/>
        <w:gridCol w:w="326"/>
        <w:gridCol w:w="1851"/>
      </w:tblGrid>
      <w:tr>
        <w:tblPrEx>
          <w:tblCellMar>
            <w:top w:w="15" w:type="dxa"/>
            <w:left w:w="15" w:type="dxa"/>
            <w:bottom w:w="15" w:type="dxa"/>
            <w:right w:w="15" w:type="dxa"/>
          </w:tblCellMar>
        </w:tblPrEx>
        <w:trPr>
          <w:trHeight w:val="576" w:hRule="atLeast"/>
          <w:jc w:val="center"/>
        </w:trPr>
        <w:tc>
          <w:tcPr>
            <w:tcW w:w="10233" w:type="dxa"/>
            <w:gridSpan w:val="11"/>
            <w:noWrap w:val="0"/>
            <w:vAlign w:val="center"/>
          </w:tcPr>
          <w:p>
            <w:pPr>
              <w:keepNext w:val="0"/>
              <w:keepLines w:val="0"/>
              <w:widowControl/>
              <w:suppressLineNumbers w:val="0"/>
              <w:jc w:val="center"/>
              <w:textAlignment w:val="center"/>
              <w:rPr>
                <w:rFonts w:eastAsia="黑体"/>
                <w:color w:val="000000"/>
                <w:sz w:val="30"/>
                <w:szCs w:val="30"/>
              </w:rPr>
            </w:pPr>
            <w:r>
              <w:rPr>
                <w:rFonts w:hint="default" w:ascii="黑体" w:hAnsi="宋体" w:eastAsia="黑体" w:cs="黑体"/>
                <w:b/>
                <w:bCs/>
                <w:i w:val="0"/>
                <w:iCs w:val="0"/>
                <w:color w:val="000000"/>
                <w:kern w:val="0"/>
                <w:sz w:val="30"/>
                <w:szCs w:val="30"/>
                <w:u w:val="none"/>
                <w:lang w:val="en-US" w:eastAsia="zh-CN" w:bidi="ar"/>
              </w:rPr>
              <w:t>部门预算项目支出绩效自评表（2024年度）</w:t>
            </w:r>
          </w:p>
        </w:tc>
      </w:tr>
      <w:tr>
        <w:tblPrEx>
          <w:tblCellMar>
            <w:top w:w="15" w:type="dxa"/>
            <w:left w:w="15" w:type="dxa"/>
            <w:bottom w:w="15" w:type="dxa"/>
            <w:right w:w="15" w:type="dxa"/>
          </w:tblCellMar>
        </w:tblPrEx>
        <w:trPr>
          <w:trHeight w:val="23"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项目名称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51322824T000011863293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晴朗乡2024年红星村苹果标准化种植基地提质增效项目</w:t>
            </w:r>
          </w:p>
        </w:tc>
      </w:tr>
      <w:tr>
        <w:tblPrEx>
          <w:tblCellMar>
            <w:top w:w="15" w:type="dxa"/>
            <w:left w:w="15" w:type="dxa"/>
            <w:bottom w:w="15" w:type="dxa"/>
            <w:right w:w="15" w:type="dxa"/>
          </w:tblCellMar>
        </w:tblPrEx>
        <w:trPr>
          <w:trHeight w:val="458"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主管部门</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黑水县晴朗乡</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实施单位 （盖章）</w:t>
            </w:r>
          </w:p>
        </w:tc>
        <w:tc>
          <w:tcPr>
            <w:tcW w:w="254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黑水县晴朗乡人民政府（行政及参公）</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项目基本情况</w:t>
            </w: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项目建设内容为采购安装网围栏4000米、矮化苹果架材65亩、水肥一体化设备及管网1套。项目总投资72万元，资金来源于2024年度财政衔接资金。促进农村经济发展建设，对我乡综合服务设施进行提升，促进红色文化旅游业发展，项目绩效目标确定。</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已完成。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2.项目实施内容及过程概述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安装网围栏4000米、矮化苹果架材65亩、水肥一体化设备及管网1套。项目总投资72万元，资金来源于2024年度财政衔接资金。促进农村经济发展建设，对我乡综合服务设施进行提升，促进红色文化旅游业发展。</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预算执行情况（10分）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年度预算数（万元）</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调整后预算数</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预算执行数</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预算执行率</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原因</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总额</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66.96</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66.96</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restart"/>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其中：财政资金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66.96</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66.96</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财政专户管理资金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单位资金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其他资金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绩效指标（90分）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一级指标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三级指标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产出指标</w:t>
            </w:r>
          </w:p>
        </w:tc>
        <w:tc>
          <w:tcPr>
            <w:tcW w:w="128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矮化苹果架材</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75</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亩</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75</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网围栏</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米</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水肥一体化设备及管网</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套</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608" w:hRule="atLeast"/>
          <w:jc w:val="center"/>
        </w:trPr>
        <w:tc>
          <w:tcPr>
            <w:tcW w:w="50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eastAsia="宋体"/>
                <w:color w:val="000000"/>
                <w:sz w:val="24"/>
                <w:szCs w:val="24"/>
              </w:rPr>
            </w:pPr>
          </w:p>
        </w:tc>
        <w:tc>
          <w:tcPr>
            <w:tcW w:w="1283"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质量指标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正常使用率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80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80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restart"/>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完工验收后资金拨付率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auto" w:sz="4" w:space="0"/>
              <w:bottom w:val="single" w:color="auto" w:sz="4" w:space="0"/>
              <w:right w:val="single" w:color="000000"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6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项目（工程）开工率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vMerge w:val="restart"/>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效益指标</w:t>
            </w:r>
          </w:p>
        </w:tc>
        <w:tc>
          <w:tcPr>
            <w:tcW w:w="1283" w:type="dxa"/>
            <w:vMerge w:val="restart"/>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受益脱贫户及监测对象人口数</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179</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人</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179</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478"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right w:val="single" w:color="auto"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c>
          <w:tcPr>
            <w:tcW w:w="1283" w:type="dxa"/>
            <w:vMerge w:val="continue"/>
            <w:tcBorders>
              <w:left w:val="single" w:color="auto" w:sz="4" w:space="0"/>
              <w:right w:val="single" w:color="auto" w:sz="4" w:space="0"/>
            </w:tcBorders>
            <w:noWrap w:val="0"/>
            <w:vAlign w:val="center"/>
          </w:tcPr>
          <w:p>
            <w:pPr>
              <w:jc w:val="center"/>
            </w:pP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带动周边群众务工</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36</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人</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36</w:t>
            </w:r>
          </w:p>
        </w:tc>
        <w:tc>
          <w:tcPr>
            <w:tcW w:w="36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left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c>
          <w:tcPr>
            <w:tcW w:w="128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工程设计使用年限</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w:t>
            </w:r>
          </w:p>
        </w:tc>
        <w:tc>
          <w:tcPr>
            <w:tcW w:w="38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w:t>
            </w:r>
          </w:p>
        </w:tc>
        <w:tc>
          <w:tcPr>
            <w:tcW w:w="79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w:t>
            </w:r>
          </w:p>
        </w:tc>
        <w:tc>
          <w:tcPr>
            <w:tcW w:w="36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left w:val="single" w:color="auto" w:sz="4" w:space="0"/>
              <w:bottom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28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6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受益群众满意度</w:t>
            </w:r>
          </w:p>
        </w:tc>
        <w:tc>
          <w:tcPr>
            <w:tcW w:w="3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auto" w:sz="4" w:space="0"/>
              <w:left w:val="single" w:color="auto" w:sz="4" w:space="0"/>
              <w:bottom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bottom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vMerge w:val="continue"/>
            <w:tcBorders>
              <w:left w:val="single" w:color="auto" w:sz="4" w:space="0"/>
              <w:bottom w:val="single" w:color="auto" w:sz="4" w:space="0"/>
              <w:right w:val="single" w:color="auto" w:sz="4" w:space="0"/>
            </w:tcBorders>
            <w:noWrap w:val="0"/>
            <w:vAlign w:val="center"/>
          </w:tcPr>
          <w:p>
            <w:pPr>
              <w:jc w:val="center"/>
            </w:pPr>
          </w:p>
        </w:tc>
        <w:tc>
          <w:tcPr>
            <w:tcW w:w="1283" w:type="dxa"/>
            <w:vMerge w:val="continue"/>
            <w:tcBorders>
              <w:left w:val="single" w:color="auto" w:sz="4" w:space="0"/>
              <w:bottom w:val="single" w:color="auto" w:sz="4" w:space="0"/>
              <w:right w:val="single" w:color="auto" w:sz="4" w:space="0"/>
            </w:tcBorders>
            <w:noWrap w:val="0"/>
            <w:vAlign w:val="center"/>
          </w:tcPr>
          <w:p>
            <w:pPr>
              <w:jc w:val="center"/>
            </w:pP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受益脱贫户及监测对象满意度</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95</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bl>
    <w:p>
      <w:r>
        <w:br w:type="page"/>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黑水县晴朗乡人民政府</w:t>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zh-CN"/>
        </w:rPr>
        <w:t>晴朗乡2024年彭州市人武部捐赠资金项目</w:t>
      </w:r>
      <w:r>
        <w:rPr>
          <w:rFonts w:hint="eastAsia" w:ascii="方正小标宋_GBK" w:hAnsi="方正小标宋_GBK" w:eastAsia="方正小标宋_GBK" w:cs="方正小标宋_GBK"/>
          <w:sz w:val="44"/>
          <w:szCs w:val="44"/>
        </w:rPr>
        <w:t>专项预算绩效自评报告</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p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（一）设立背景及基本情况。</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彭州市人武部捐赠资金项目，彭州市人武部捐赠资金解决晴朗乡八子村土地整理土地调理剂、120亩撂荒地复耕、荞麦种子、复合肥等费用。</w:t>
      </w:r>
      <w:r>
        <w:rPr>
          <w:rFonts w:hint="eastAsia" w:ascii="仿宋_GB2312" w:hAnsi="仿宋_GB2312" w:eastAsia="仿宋_GB2312" w:cs="仿宋_GB2312"/>
          <w:sz w:val="32"/>
          <w:szCs w:val="32"/>
          <w:lang w:val="en-US" w:eastAsia="zh-CN"/>
        </w:rPr>
        <w:t>晴朗乡人民政府</w:t>
      </w:r>
      <w:r>
        <w:rPr>
          <w:rFonts w:hint="eastAsia" w:ascii="仿宋_GB2312" w:hAnsi="仿宋_GB2312" w:eastAsia="仿宋_GB2312" w:cs="仿宋_GB2312"/>
          <w:sz w:val="32"/>
          <w:szCs w:val="32"/>
          <w:lang w:val="zh-CN"/>
        </w:rPr>
        <w:t>承担专项资金绩效管理的主体责任，主要负责</w:t>
      </w:r>
      <w:r>
        <w:rPr>
          <w:rFonts w:hint="eastAsia" w:ascii="仿宋_GB2312" w:hAnsi="仿宋_GB2312" w:eastAsia="仿宋_GB2312" w:cs="仿宋_GB2312"/>
          <w:sz w:val="32"/>
          <w:szCs w:val="32"/>
          <w:lang w:val="en-US" w:eastAsia="zh-CN"/>
        </w:rPr>
        <w:t>根据文件要求执行</w:t>
      </w:r>
      <w:r>
        <w:rPr>
          <w:rFonts w:hint="eastAsia" w:ascii="仿宋_GB2312" w:hAnsi="仿宋_GB2312" w:eastAsia="仿宋_GB2312" w:cs="仿宋_GB2312"/>
          <w:sz w:val="32"/>
          <w:szCs w:val="32"/>
          <w:lang w:val="zh-CN"/>
        </w:rPr>
        <w:t>专项资金分配方案，制定项目管理制度，组织项目评审和实施，开展项目验收、绩效评价和监督检查等工作。</w:t>
      </w:r>
    </w:p>
    <w:p>
      <w:pPr>
        <w:spacing w:line="560" w:lineRule="exact"/>
        <w:ind w:firstLine="642" w:firstLineChars="200"/>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（二）</w:t>
      </w:r>
      <w:r>
        <w:rPr>
          <w:rFonts w:hint="eastAsia" w:ascii="方正楷体_GBK" w:hAnsi="方正楷体_GBK" w:eastAsia="方正楷体_GBK" w:cs="方正楷体_GBK"/>
          <w:b/>
          <w:sz w:val="32"/>
          <w:szCs w:val="32"/>
        </w:rPr>
        <w:t>实施目的及支持方向。</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黑水县彭州市人武部捐赠资金，彭州市人武部捐赠资金解决晴朗乡八子村土地整理土地调理剂、120亩撂荒地复耕、荞麦种子、复合肥等费用。</w:t>
      </w:r>
    </w:p>
    <w:p>
      <w:pPr>
        <w:numPr>
          <w:ilvl w:val="0"/>
          <w:numId w:val="0"/>
        </w:num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（三）</w:t>
      </w:r>
      <w:r>
        <w:rPr>
          <w:rFonts w:hint="eastAsia" w:ascii="方正楷体_GBK" w:hAnsi="方正楷体_GBK" w:eastAsia="方正楷体_GBK" w:cs="方正楷体_GBK"/>
          <w:b/>
          <w:sz w:val="32"/>
          <w:szCs w:val="32"/>
        </w:rPr>
        <w:t>预算安排及分配管理</w:t>
      </w:r>
      <w:r>
        <w:rPr>
          <w:rFonts w:hint="eastAsia" w:ascii="方正楷体_GBK" w:hAnsi="方正楷体_GBK" w:eastAsia="方正楷体_GBK" w:cs="方正楷体_GBK"/>
          <w:b/>
          <w:sz w:val="32"/>
          <w:szCs w:val="32"/>
          <w:lang w:val="zh-CN"/>
        </w:rPr>
        <w:t>。</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预算申报项目资金为8.77万元，批复金额为8.77万元，实际使用金额8.77万元，项目资金符合资金管理办法等相关规定。资金按批复金额在项目实施前全部到位，与资金计划相契合，资金到位率、到位及时性均为100%，保障项目能够如期开展。资金由乡政府监管，各村结合实际报销。</w:t>
      </w:r>
    </w:p>
    <w:p>
      <w:pPr>
        <w:keepNext w:val="0"/>
        <w:keepLines w:val="0"/>
        <w:pageBreakBefore w:val="0"/>
        <w:numPr>
          <w:ilvl w:val="0"/>
          <w:numId w:val="1"/>
        </w:numPr>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项目绩效目标设置。</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保障工作经费及时到位，</w:t>
      </w:r>
      <w:r>
        <w:rPr>
          <w:rFonts w:hint="eastAsia" w:ascii="仿宋_GB2312" w:hAnsi="仿宋_GB2312" w:eastAsia="仿宋_GB2312" w:cs="仿宋_GB2312"/>
          <w:sz w:val="32"/>
          <w:szCs w:val="32"/>
          <w:lang w:val="zh-CN" w:eastAsia="zh-CN"/>
        </w:rPr>
        <w:t>保障</w:t>
      </w:r>
      <w:r>
        <w:rPr>
          <w:rFonts w:hint="eastAsia" w:ascii="仿宋_GB2312" w:hAnsi="仿宋_GB2312" w:eastAsia="仿宋_GB2312" w:cs="仿宋_GB2312"/>
          <w:sz w:val="32"/>
          <w:szCs w:val="32"/>
          <w:lang w:val="en-US" w:eastAsia="zh-CN"/>
        </w:rPr>
        <w:t>晴朗</w:t>
      </w:r>
      <w:r>
        <w:rPr>
          <w:rFonts w:hint="eastAsia" w:ascii="仿宋_GB2312" w:hAnsi="仿宋_GB2312" w:eastAsia="仿宋_GB2312" w:cs="仿宋_GB2312"/>
          <w:sz w:val="32"/>
          <w:szCs w:val="32"/>
          <w:lang w:val="zh-CN" w:eastAsia="zh-CN"/>
        </w:rPr>
        <w:t>乡</w:t>
      </w:r>
      <w:r>
        <w:rPr>
          <w:rFonts w:hint="eastAsia" w:ascii="仿宋_GB2312" w:hAnsi="仿宋_GB2312" w:eastAsia="仿宋_GB2312" w:cs="仿宋_GB2312"/>
          <w:sz w:val="32"/>
          <w:szCs w:val="32"/>
          <w:lang w:val="en-US" w:eastAsia="zh-CN"/>
        </w:rPr>
        <w:t>工作高效运行</w:t>
      </w:r>
      <w:r>
        <w:rPr>
          <w:rFonts w:hint="eastAsia" w:ascii="仿宋_GB2312" w:hAnsi="仿宋_GB2312" w:eastAsia="仿宋_GB2312" w:cs="仿宋_GB2312"/>
          <w:sz w:val="32"/>
          <w:szCs w:val="32"/>
          <w:lang w:val="zh-CN" w:eastAsia="zh-CN"/>
        </w:rPr>
        <w:t>，充分发挥职工履职积极性，确保工作</w:t>
      </w:r>
      <w:r>
        <w:rPr>
          <w:rFonts w:hint="eastAsia" w:ascii="仿宋_GB2312" w:hAnsi="仿宋_GB2312" w:eastAsia="仿宋_GB2312" w:cs="仿宋_GB2312"/>
          <w:sz w:val="32"/>
          <w:szCs w:val="32"/>
          <w:lang w:val="en-US" w:eastAsia="zh-CN"/>
        </w:rPr>
        <w:t>成效</w:t>
      </w:r>
      <w:r>
        <w:rPr>
          <w:rFonts w:hint="eastAsia" w:ascii="仿宋_GB2312" w:hAnsi="仿宋_GB2312" w:eastAsia="仿宋_GB2312" w:cs="仿宋_GB2312"/>
          <w:sz w:val="32"/>
          <w:szCs w:val="32"/>
          <w:lang w:val="zh-CN" w:eastAsia="zh-CN"/>
        </w:rPr>
        <w:t>不断提升。</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二、评价实施</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（一）评价目的。</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对预算资金的投入、过程、产出、效果四个方面进行绩效评价，反映项目规范性、绩效目标设立的合理性和科学性、资金到位、支出情况，形成真实完整数据准确、分析透彻、逻辑清晰、客观公正的绩效评价结论为项目后续资金投入、分配和管理提供决策依据；同时作为以后年度晴朗乡编制预算和安排财政项目资金的重要依据逐步树立以结果为导向、讲求绩效的观念。</w:t>
      </w:r>
    </w:p>
    <w:p>
      <w:pPr>
        <w:pStyle w:val="2"/>
        <w:keepNext w:val="0"/>
        <w:keepLines w:val="0"/>
        <w:pageBreakBefore w:val="0"/>
        <w:kinsoku/>
        <w:wordWrap/>
        <w:overflowPunct/>
        <w:topLinePunct w:val="0"/>
        <w:bidi w:val="0"/>
        <w:spacing w:line="560" w:lineRule="exact"/>
        <w:ind w:left="0" w:leftChars="0"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（二）预设问题及评价重点。</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本次评价主要针对该项目的规划编制的内容完整性和项目实施工作的质量问题，结合该项目资金的使用情况来完整地体现。</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仿宋_GB2312" w:hAnsi="仿宋_GB2312" w:eastAsia="仿宋_GB2312" w:cs="仿宋_GB2312"/>
          <w:b/>
          <w:sz w:val="32"/>
          <w:szCs w:val="32"/>
          <w:lang w:val="zh-CN"/>
        </w:rPr>
      </w:pPr>
      <w:r>
        <w:rPr>
          <w:rFonts w:hint="eastAsia" w:ascii="方正楷体_GBK" w:hAnsi="方正楷体_GBK" w:eastAsia="方正楷体_GBK" w:cs="方正楷体_GBK"/>
          <w:b/>
          <w:sz w:val="32"/>
          <w:szCs w:val="32"/>
          <w:lang w:val="zh-CN"/>
        </w:rPr>
        <w:t>（三）评价选点。</w:t>
      </w:r>
    </w:p>
    <w:p>
      <w:pPr>
        <w:spacing w:line="560" w:lineRule="exact"/>
        <w:ind w:firstLine="640" w:firstLineChars="200"/>
        <w:rPr>
          <w:rFonts w:hint="eastAsia"/>
          <w:kern w:val="0"/>
          <w:szCs w:val="28"/>
        </w:rPr>
      </w:pPr>
      <w:r>
        <w:rPr>
          <w:rFonts w:hint="eastAsia" w:ascii="仿宋_GB2312" w:hAnsi="仿宋_GB2312" w:eastAsia="仿宋_GB2312" w:cs="仿宋_GB2312"/>
          <w:sz w:val="32"/>
          <w:szCs w:val="32"/>
          <w:lang w:val="zh-CN"/>
        </w:rPr>
        <w:t>晴朗乡2024年</w:t>
      </w:r>
      <w:r>
        <w:rPr>
          <w:rFonts w:hint="eastAsia" w:ascii="仿宋_GB2312" w:hAnsi="仿宋_GB2312" w:eastAsia="仿宋_GB2312" w:cs="仿宋_GB2312"/>
          <w:sz w:val="32"/>
          <w:szCs w:val="32"/>
          <w:lang w:val="zh-CN" w:eastAsia="zh-CN"/>
        </w:rPr>
        <w:t>彭州市人武部捐赠资金</w:t>
      </w:r>
      <w:r>
        <w:rPr>
          <w:rFonts w:hint="eastAsia" w:ascii="仿宋_GB2312" w:hAnsi="仿宋_GB2312" w:eastAsia="仿宋_GB2312" w:cs="仿宋_GB2312"/>
          <w:sz w:val="32"/>
          <w:szCs w:val="32"/>
          <w:lang w:val="zh-CN"/>
        </w:rPr>
        <w:t>项目主要开展地点为</w:t>
      </w:r>
      <w:r>
        <w:rPr>
          <w:rFonts w:hint="eastAsia" w:ascii="仿宋_GB2312" w:hAnsi="仿宋_GB2312" w:eastAsia="仿宋_GB2312" w:cs="仿宋_GB2312"/>
          <w:sz w:val="32"/>
          <w:szCs w:val="32"/>
          <w:lang w:val="zh-CN" w:eastAsia="zh-CN"/>
        </w:rPr>
        <w:t>黑水</w:t>
      </w:r>
      <w:r>
        <w:rPr>
          <w:rFonts w:hint="eastAsia" w:ascii="仿宋_GB2312" w:hAnsi="仿宋_GB2312" w:eastAsia="仿宋_GB2312" w:cs="仿宋_GB2312"/>
          <w:sz w:val="32"/>
          <w:szCs w:val="32"/>
          <w:lang w:val="zh-CN"/>
        </w:rPr>
        <w:t>县</w:t>
      </w:r>
      <w:r>
        <w:rPr>
          <w:rFonts w:hint="eastAsia" w:ascii="仿宋_GB2312" w:hAnsi="仿宋_GB2312" w:eastAsia="仿宋_GB2312" w:cs="仿宋_GB2312"/>
          <w:sz w:val="32"/>
          <w:szCs w:val="32"/>
          <w:lang w:val="en-US" w:eastAsia="zh-CN"/>
        </w:rPr>
        <w:t>晴朗乡</w:t>
      </w:r>
      <w:r>
        <w:rPr>
          <w:rFonts w:hint="eastAsia" w:ascii="仿宋_GB2312" w:hAnsi="仿宋_GB2312" w:eastAsia="仿宋_GB2312" w:cs="仿宋_GB2312"/>
          <w:sz w:val="32"/>
          <w:szCs w:val="32"/>
          <w:lang w:val="zh-CN"/>
        </w:rPr>
        <w:t>，本次绩效评价主体为</w:t>
      </w:r>
      <w:r>
        <w:rPr>
          <w:rFonts w:hint="eastAsia" w:ascii="仿宋_GB2312" w:hAnsi="仿宋_GB2312" w:eastAsia="仿宋_GB2312" w:cs="仿宋_GB2312"/>
          <w:sz w:val="32"/>
          <w:szCs w:val="32"/>
          <w:lang w:val="en-US" w:eastAsia="zh-CN"/>
        </w:rPr>
        <w:t>黑水县晴朗乡人民政府</w:t>
      </w:r>
      <w:r>
        <w:rPr>
          <w:rFonts w:hint="eastAsia" w:ascii="仿宋_GB2312" w:hAnsi="仿宋_GB2312" w:eastAsia="仿宋_GB2312" w:cs="仿宋_GB2312"/>
          <w:sz w:val="32"/>
          <w:szCs w:val="32"/>
          <w:lang w:val="zh-CN"/>
        </w:rPr>
        <w:t>，项目不</w:t>
      </w:r>
      <w:r>
        <w:rPr>
          <w:rFonts w:hint="eastAsia" w:ascii="仿宋_GB2312" w:hAnsi="仿宋_GB2312" w:eastAsia="仿宋_GB2312" w:cs="仿宋_GB2312"/>
          <w:sz w:val="32"/>
          <w:szCs w:val="32"/>
          <w:lang w:val="zh-CN" w:eastAsia="zh-CN"/>
        </w:rPr>
        <w:t>涉及其他单位</w:t>
      </w:r>
      <w:r>
        <w:rPr>
          <w:rFonts w:hint="eastAsia" w:ascii="仿宋_GB2312" w:hAnsi="仿宋_GB2312" w:eastAsia="仿宋_GB2312" w:cs="仿宋_GB2312"/>
          <w:sz w:val="32"/>
          <w:szCs w:val="32"/>
          <w:lang w:val="zh-CN"/>
        </w:rPr>
        <w:t>。</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（四）</w:t>
      </w:r>
      <w:r>
        <w:rPr>
          <w:rFonts w:hint="eastAsia" w:ascii="方正楷体_GBK" w:hAnsi="方正楷体_GBK" w:eastAsia="方正楷体_GBK" w:cs="方正楷体_GBK"/>
          <w:b/>
          <w:sz w:val="32"/>
          <w:szCs w:val="32"/>
          <w:lang w:val="zh-CN"/>
        </w:rPr>
        <w:t>评价方法。</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采用先进的绩效评价方法和科学的数据分析是取得正确客观评价结论的重要保障，结合</w:t>
      </w:r>
      <w:r>
        <w:rPr>
          <w:rFonts w:hint="eastAsia" w:ascii="仿宋_GB2312" w:hAnsi="仿宋_GB2312" w:eastAsia="仿宋_GB2312" w:cs="仿宋_GB2312"/>
          <w:sz w:val="32"/>
          <w:szCs w:val="32"/>
          <w:lang w:val="en-US" w:eastAsia="zh-CN"/>
        </w:rPr>
        <w:t>晴朗乡2024年彭州市人武部捐赠资金经费专项工作经费项目</w:t>
      </w:r>
      <w:r>
        <w:rPr>
          <w:rFonts w:hint="eastAsia" w:ascii="仿宋_GB2312" w:hAnsi="仿宋_GB2312" w:eastAsia="仿宋_GB2312" w:cs="仿宋_GB2312"/>
          <w:sz w:val="32"/>
          <w:szCs w:val="32"/>
          <w:lang w:val="zh-CN"/>
        </w:rPr>
        <w:t>的特点，经与评价组织沟通后采取以下绩效评价方法：</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1.公众评判法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晴朗乡2024年彭州市人武部捐赠资金经费</w:t>
      </w:r>
      <w:r>
        <w:rPr>
          <w:rFonts w:hint="eastAsia" w:ascii="仿宋_GB2312" w:hAnsi="仿宋_GB2312" w:eastAsia="仿宋_GB2312" w:cs="仿宋_GB2312"/>
          <w:sz w:val="32"/>
          <w:szCs w:val="32"/>
          <w:lang w:val="zh-CN" w:eastAsia="zh-CN"/>
        </w:rPr>
        <w:t>具有较为清晰的服务群体，且该项目绩效状况的优劣，很大程度上体现在</w:t>
      </w:r>
      <w:r>
        <w:rPr>
          <w:rFonts w:hint="eastAsia" w:ascii="仿宋_GB2312" w:hAnsi="仿宋_GB2312" w:eastAsia="仿宋_GB2312" w:cs="仿宋_GB2312"/>
          <w:sz w:val="32"/>
          <w:szCs w:val="32"/>
          <w:lang w:val="en-US" w:eastAsia="zh-CN"/>
        </w:rPr>
        <w:t>晴朗乡2024年彭州市人武部捐赠资金经费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晴朗乡2024年彭州市人武部捐赠资金经费</w:t>
      </w:r>
      <w:r>
        <w:rPr>
          <w:rFonts w:hint="eastAsia" w:ascii="仿宋_GB2312" w:hAnsi="仿宋_GB2312" w:eastAsia="仿宋_GB2312" w:cs="仿宋_GB2312"/>
          <w:sz w:val="32"/>
          <w:szCs w:val="32"/>
          <w:lang w:val="zh-CN" w:eastAsia="zh-CN"/>
        </w:rPr>
        <w:t>覆盖率。为此，与该项目评价的具体指标相对应，按照一定比例，以电</w:t>
      </w:r>
      <w:r>
        <w:rPr>
          <w:rFonts w:hint="eastAsia" w:ascii="仿宋_GB2312" w:hAnsi="仿宋_GB2312" w:eastAsia="仿宋_GB2312" w:cs="仿宋_GB2312"/>
          <w:sz w:val="32"/>
          <w:szCs w:val="32"/>
          <w:lang w:val="en-US" w:eastAsia="zh-CN"/>
        </w:rPr>
        <w:t>话</w:t>
      </w:r>
      <w:r>
        <w:rPr>
          <w:rFonts w:hint="eastAsia" w:ascii="仿宋_GB2312" w:hAnsi="仿宋_GB2312" w:eastAsia="仿宋_GB2312" w:cs="仿宋_GB2312"/>
          <w:sz w:val="32"/>
          <w:szCs w:val="32"/>
          <w:lang w:val="zh-CN" w:eastAsia="zh-CN"/>
        </w:rPr>
        <w:t>询问等方式进行调查，收集、分析所取得的样本数据，从而推断确定目标群体的满意度，进而评价满意度指标。</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2.成本效益分析法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本项目将资金投入与</w:t>
      </w:r>
      <w:r>
        <w:rPr>
          <w:rFonts w:hint="eastAsia" w:ascii="仿宋_GB2312" w:hAnsi="仿宋_GB2312" w:eastAsia="仿宋_GB2312" w:cs="仿宋_GB2312"/>
          <w:sz w:val="32"/>
          <w:szCs w:val="32"/>
          <w:lang w:val="en-US" w:eastAsia="zh-CN"/>
        </w:rPr>
        <w:t>晴朗乡2024年彭州市人武部捐赠资金经费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晴朗乡2024年彭州市人武部捐赠资金经费</w:t>
      </w:r>
      <w:r>
        <w:rPr>
          <w:rFonts w:hint="eastAsia" w:ascii="仿宋_GB2312" w:hAnsi="仿宋_GB2312" w:eastAsia="仿宋_GB2312" w:cs="仿宋_GB2312"/>
          <w:sz w:val="32"/>
          <w:szCs w:val="32"/>
          <w:lang w:val="zh-CN" w:eastAsia="zh-CN"/>
        </w:rPr>
        <w:t>覆盖率、补助标准等进行关联性分析。</w:t>
      </w:r>
    </w:p>
    <w:p>
      <w:pPr>
        <w:pStyle w:val="4"/>
        <w:keepNext w:val="0"/>
        <w:keepLines w:val="0"/>
        <w:pageBreakBefore w:val="0"/>
        <w:kinsoku/>
        <w:wordWrap/>
        <w:overflowPunct/>
        <w:topLinePunct w:val="0"/>
        <w:bidi w:val="0"/>
        <w:spacing w:line="560" w:lineRule="exact"/>
        <w:ind w:firstLine="600"/>
        <w:textAlignment w:val="auto"/>
        <w:rPr>
          <w:rFonts w:hint="eastAsia" w:ascii="方正楷体_GBK" w:hAnsi="方正楷体_GBK" w:eastAsia="方正楷体_GBK" w:cs="方正楷体_GBK"/>
          <w:b/>
          <w:bCs w:val="0"/>
          <w:sz w:val="32"/>
          <w:szCs w:val="32"/>
        </w:rPr>
      </w:pPr>
      <w:r>
        <w:rPr>
          <w:rFonts w:hint="eastAsia" w:ascii="方正楷体_GBK" w:hAnsi="方正楷体_GBK" w:eastAsia="方正楷体_GBK" w:cs="方正楷体_GBK"/>
          <w:b/>
          <w:bCs w:val="0"/>
          <w:sz w:val="32"/>
          <w:szCs w:val="32"/>
          <w:lang w:val="zh-CN"/>
        </w:rPr>
        <w:t>（五）评价组织。</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1.领导小组职责：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（1）研究和决定单位管理绩效评价中的重大问题。</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（2）组织协调绩效评价工作，确保评价的顺利进行。</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（3）对工作目标、绩效考核结果和等次、奖惩方案进行审核，并报乡党委和政府审定。</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2.办公室职责：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（1）提出政府绩效评价的工作方案，并负责具体组织实施。</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（2）综合评价信息，提出评价结果等次认定方案及奖惩方案等。</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（3）负责绩效评价的日常工作，包括宣传、沟通、协调等。</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（4）根据评价结果撰写绩效评价报告，并递交给领导小组。</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3.具体执行人员职责：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（1）组长：审批绩效自评方案，监督、检查、核实绩效自评结果。</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三、绩效分析</w:t>
      </w:r>
      <w:r>
        <w:rPr>
          <w:rFonts w:hint="eastAsia" w:ascii="黑体" w:hAnsi="黑体" w:eastAsia="黑体" w:cs="黑体"/>
          <w:sz w:val="32"/>
          <w:szCs w:val="32"/>
          <w:lang w:val="zh-CN"/>
        </w:rPr>
        <w:tab/>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根据项目预算绩效评价指标体系“通用指标”“专用指标”“个性指标”涉及二、三级指标进行逐项绩效分析并评分。</w:t>
      </w:r>
    </w:p>
    <w:p>
      <w:pPr>
        <w:keepNext w:val="0"/>
        <w:keepLines w:val="0"/>
        <w:pageBreakBefore w:val="0"/>
        <w:kinsoku/>
        <w:wordWrap/>
        <w:overflowPunct/>
        <w:topLinePunct w:val="0"/>
        <w:bidi w:val="0"/>
        <w:spacing w:line="560" w:lineRule="exact"/>
        <w:ind w:firstLine="640"/>
        <w:textAlignment w:val="auto"/>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（一）</w:t>
      </w:r>
      <w:r>
        <w:rPr>
          <w:rFonts w:hint="eastAsia" w:ascii="方正楷体_GBK" w:hAnsi="方正楷体_GBK" w:eastAsia="方正楷体_GBK" w:cs="方正楷体_GBK"/>
          <w:b/>
          <w:sz w:val="32"/>
          <w:szCs w:val="32"/>
        </w:rPr>
        <w:t>通用指标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项目决策。</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项目决策程序严密</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zh-CN"/>
        </w:rPr>
        <w:t>村干部</w:t>
      </w:r>
      <w:r>
        <w:rPr>
          <w:rFonts w:hint="eastAsia" w:ascii="仿宋_GB2312" w:hAnsi="仿宋_GB2312" w:eastAsia="仿宋_GB2312" w:cs="仿宋_GB2312"/>
          <w:sz w:val="32"/>
          <w:szCs w:val="32"/>
          <w:lang w:val="en-US" w:eastAsia="zh-CN"/>
        </w:rPr>
        <w:t>体检费</w:t>
      </w:r>
      <w:r>
        <w:rPr>
          <w:rFonts w:hint="eastAsia" w:ascii="仿宋_GB2312" w:hAnsi="仿宋_GB2312" w:eastAsia="仿宋_GB2312" w:cs="仿宋_GB2312"/>
          <w:sz w:val="32"/>
          <w:szCs w:val="32"/>
          <w:lang w:val="zh-CN"/>
        </w:rPr>
        <w:t>项目设立、调整延续等方面符合资金管理基本规范和决策程序要求；项目规划符合中央、省委、省政府有关决策部署安排；项目总体绩效目标设置合理，绩效目标科学合理、规范完整、量化细化、预算匹配；该项目属于政府支持范围，且符合财政事权支出责任划分规定，资金投向与项目总体规划、相关行业事业发展相匹配；聚焦重大任务、重点领域、重点环节和重点项目，体现“集中力量办大事”原则；该项目未与其他同类项目或部门内部相关项目交叉重复。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项目管理。</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资金管理办法等管理制度体系健全完善，不存在管理制度缺失、管理办法过期情况；项目资金分配因素选取、权重设置、区域分布，项目管理、审批符合管理要求；管资金、管项目、政策管绩效，项目绩效监管按要求开展，指导有力有效。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项目实施。</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资金财政拨付、单位执行和地方配套到位；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共计得分9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项目结果。</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项目完成预期目标，实施结果与绩效目标相匹配，反映目标实现100%；项目实际完成时间按计划时间完成。共计得分9分。</w:t>
      </w:r>
    </w:p>
    <w:p>
      <w:pPr>
        <w:keepNext w:val="0"/>
        <w:keepLines w:val="0"/>
        <w:pageBreakBefore w:val="0"/>
        <w:numPr>
          <w:ilvl w:val="0"/>
          <w:numId w:val="0"/>
        </w:numPr>
        <w:kinsoku/>
        <w:wordWrap/>
        <w:overflowPunct/>
        <w:topLinePunct w:val="0"/>
        <w:bidi w:val="0"/>
        <w:spacing w:line="560" w:lineRule="exact"/>
        <w:ind w:firstLine="642" w:firstLineChars="20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eastAsia="zh-CN" w:bidi="ar-SA"/>
        </w:rPr>
        <w:t>（二）</w:t>
      </w:r>
      <w:r>
        <w:rPr>
          <w:rFonts w:hint="eastAsia" w:ascii="方正楷体_GBK" w:hAnsi="方正楷体_GBK" w:eastAsia="方正楷体_GBK" w:cs="方正楷体_GBK"/>
          <w:b/>
          <w:sz w:val="32"/>
          <w:szCs w:val="32"/>
        </w:rPr>
        <w:t>专用指标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根据专项预算项目资金支持对象选择所属指标进行绩效分析。支持对象包括产业发展、民生保障、基础设施、行政运转等方面。</w:t>
      </w:r>
      <w:r>
        <w:rPr>
          <w:rFonts w:hint="eastAsia" w:ascii="仿宋_GB2312" w:hAnsi="仿宋_GB2312" w:eastAsia="仿宋_GB2312" w:cs="仿宋_GB2312"/>
          <w:sz w:val="32"/>
          <w:szCs w:val="32"/>
          <w:lang w:val="en-US" w:eastAsia="zh-CN"/>
        </w:rPr>
        <w:t>该项目属</w:t>
      </w:r>
      <w:r>
        <w:rPr>
          <w:rFonts w:hint="eastAsia" w:ascii="仿宋_GB2312" w:hAnsi="仿宋_GB2312" w:eastAsia="仿宋_GB2312" w:cs="仿宋_GB2312"/>
          <w:sz w:val="32"/>
          <w:szCs w:val="32"/>
          <w:lang w:val="zh-CN"/>
        </w:rPr>
        <w:t>民生保障。项目资金分配均衡；资金实际支持对象符合管理要求，符合支持对象范围；资金实际补贴标准符合资金管理办法规定的补助标准并及时按标准兑现；资金涉及相关受益群体、支持对象满意。共计得分30分。</w:t>
      </w:r>
    </w:p>
    <w:p>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sz w:val="32"/>
          <w:szCs w:val="32"/>
          <w:lang w:val="zh-CN"/>
        </w:rPr>
        <w:t>（三）</w:t>
      </w:r>
      <w:r>
        <w:rPr>
          <w:rFonts w:hint="eastAsia" w:ascii="方正楷体_GBK" w:hAnsi="方正楷体_GBK" w:eastAsia="方正楷体_GBK" w:cs="方正楷体_GBK"/>
          <w:b/>
          <w:sz w:val="32"/>
          <w:szCs w:val="32"/>
        </w:rPr>
        <w:t>个性指标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财务管理：</w:t>
      </w:r>
      <w:r>
        <w:rPr>
          <w:rFonts w:hint="eastAsia" w:ascii="仿宋_GB2312" w:hAnsi="仿宋_GB2312" w:eastAsia="仿宋_GB2312" w:cs="仿宋_GB2312"/>
          <w:sz w:val="32"/>
          <w:szCs w:val="32"/>
          <w:lang w:val="en-US" w:eastAsia="zh-CN"/>
        </w:rPr>
        <w:t>该项目财务管理制度健全，资金拨付效率高，财务资料完整。该项目</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预算编制：</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预算编制合理，投</w:t>
      </w:r>
      <w:r>
        <w:rPr>
          <w:rFonts w:hint="eastAsia" w:ascii="仿宋_GB2312" w:hAnsi="仿宋_GB2312" w:eastAsia="仿宋_GB2312" w:cs="仿宋_GB2312"/>
          <w:sz w:val="32"/>
          <w:szCs w:val="32"/>
          <w:lang w:val="en-US" w:eastAsia="zh-CN"/>
        </w:rPr>
        <w:t>资到位及时。</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bCs/>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执行情况：资金已按期拨付，实际执行情况与预算相符，项目实施后已达到预期效果。该项指标得分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sz w:val="32"/>
          <w:szCs w:val="32"/>
          <w:lang w:val="en-US" w:eastAsia="zh-CN"/>
        </w:rPr>
        <w:t>按照绩效自评工作要求，秉承客观公正、实事求是的原则开展项目绩效自评工作，经对各类指标进行评分和汇总分析，本项目的绩效评价结果为“优”，综合评分 99分</w:t>
      </w:r>
      <w:r>
        <w:rPr>
          <w:rFonts w:hint="eastAsia" w:ascii="仿宋_GB2312" w:hAnsi="仿宋_GB2312" w:eastAsia="仿宋_GB2312" w:cs="仿宋_GB2312"/>
          <w:bCs/>
          <w:sz w:val="32"/>
          <w:szCs w:val="32"/>
          <w:lang w:val="en-US" w:eastAsia="zh-CN"/>
        </w:rPr>
        <w:t>。</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kern w:val="2"/>
          <w:position w:val="0"/>
          <w:sz w:val="32"/>
          <w:szCs w:val="32"/>
          <w:lang w:eastAsia="zh-CN"/>
        </w:rPr>
      </w:pPr>
      <w:r>
        <w:rPr>
          <w:rFonts w:hint="eastAsia" w:ascii="仿宋_GB2312" w:hAnsi="仿宋_GB2312" w:eastAsia="仿宋_GB2312" w:cs="仿宋_GB2312"/>
          <w:position w:val="0"/>
          <w:sz w:val="32"/>
          <w:szCs w:val="32"/>
          <w:lang w:eastAsia="zh-CN"/>
        </w:rPr>
        <w:t>无。</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tabs>
          <w:tab w:val="left" w:pos="1911"/>
        </w:tabs>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无</w:t>
      </w:r>
      <w:r>
        <w:rPr>
          <w:rFonts w:hint="eastAsia" w:ascii="仿宋_GB2312" w:hAnsi="仿宋_GB2312" w:cs="仿宋_GB2312"/>
          <w:kern w:val="0"/>
          <w:sz w:val="32"/>
          <w:szCs w:val="32"/>
          <w:lang w:eastAsia="zh-CN"/>
        </w:rPr>
        <w:t>。</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附表：1.专项预算绩效自评打分表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2.专项预算绩效自评实地踏勘点位清单表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3.专项预算项目绩效目标完成情况自评表</w:t>
      </w:r>
    </w:p>
    <w:p>
      <w:pPr>
        <w:keepNext w:val="0"/>
        <w:keepLines w:val="0"/>
        <w:pageBreakBefore w:val="0"/>
        <w:kinsoku/>
        <w:wordWrap/>
        <w:overflowPunct/>
        <w:topLinePunct w:val="0"/>
        <w:bidi w:val="0"/>
        <w:spacing w:line="560" w:lineRule="exact"/>
        <w:ind w:firstLine="3840" w:firstLineChars="1200"/>
        <w:textAlignment w:val="auto"/>
        <w:rPr>
          <w:rFonts w:hint="eastAsia" w:ascii="仿宋_GB2312" w:hAnsi="仿宋_GB2312" w:eastAsia="仿宋_GB2312" w:cs="仿宋_GB2312"/>
          <w:sz w:val="32"/>
          <w:szCs w:val="32"/>
          <w:lang w:val="zh-CN"/>
        </w:rPr>
      </w:pPr>
    </w:p>
    <w:p>
      <w:pPr>
        <w:spacing w:line="560" w:lineRule="exact"/>
        <w:ind w:firstLine="640" w:firstLineChars="200"/>
        <w:jc w:val="righ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黑水县晴朗乡人民政府</w:t>
      </w:r>
    </w:p>
    <w:p>
      <w:pPr>
        <w:spacing w:line="560" w:lineRule="exact"/>
        <w:ind w:firstLine="640" w:firstLineChars="200"/>
        <w:jc w:val="righ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2025年4月</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0日</w:t>
      </w:r>
    </w:p>
    <w:p>
      <w:pPr>
        <w:snapToGrid w:val="0"/>
        <w:spacing w:line="578" w:lineRule="exact"/>
        <w:rPr>
          <w:rFonts w:eastAsia="黑体"/>
          <w:kern w:val="0"/>
          <w:shd w:val="clear" w:color="auto" w:fill="FFFFFF"/>
          <w:lang w:val="zh-CN"/>
        </w:rPr>
      </w:pPr>
    </w:p>
    <w:p>
      <w:pPr>
        <w:snapToGrid w:val="0"/>
        <w:spacing w:line="578" w:lineRule="exact"/>
        <w:rPr>
          <w:rFonts w:eastAsia="黑体"/>
          <w:kern w:val="0"/>
          <w:shd w:val="clear" w:color="auto" w:fill="FFFFFF"/>
        </w:rPr>
      </w:pPr>
      <w:r>
        <w:rPr>
          <w:rFonts w:eastAsia="黑体"/>
          <w:kern w:val="0"/>
          <w:shd w:val="clear" w:color="auto" w:fill="FFFFFF"/>
          <w:lang w:val="zh-CN"/>
        </w:rPr>
        <w:t>附表</w:t>
      </w:r>
      <w:r>
        <w:rPr>
          <w:rFonts w:eastAsia="黑体"/>
          <w:kern w:val="0"/>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tblPrEx>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w:t>
            </w:r>
            <w:r>
              <w:rPr>
                <w:rFonts w:hint="eastAsia" w:ascii="宋体" w:hAnsi="宋体" w:cs="宋体"/>
                <w:color w:val="000000"/>
                <w:kern w:val="0"/>
                <w:sz w:val="24"/>
                <w:szCs w:val="24"/>
                <w:lang w:eastAsia="zh-CN" w:bidi="ar"/>
              </w:rPr>
              <w:t>中央、省委</w:t>
            </w:r>
            <w:r>
              <w:rPr>
                <w:rFonts w:hint="eastAsia" w:ascii="宋体" w:hAnsi="宋体" w:eastAsia="宋体" w:cs="宋体"/>
                <w:color w:val="000000"/>
                <w:kern w:val="0"/>
                <w:sz w:val="24"/>
                <w:szCs w:val="24"/>
                <w:lang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w:t>
            </w:r>
            <w:r>
              <w:rPr>
                <w:rFonts w:hint="eastAsia" w:ascii="宋体" w:hAnsi="宋体" w:cs="宋体"/>
                <w:color w:val="000000"/>
                <w:kern w:val="0"/>
                <w:sz w:val="24"/>
                <w:szCs w:val="24"/>
                <w:lang w:eastAsia="zh-CN" w:bidi="ar"/>
              </w:rPr>
              <w:t>省委、省政府</w:t>
            </w:r>
            <w:r>
              <w:rPr>
                <w:rFonts w:hint="eastAsia" w:ascii="宋体" w:hAnsi="宋体" w:eastAsia="宋体" w:cs="宋体"/>
                <w:color w:val="000000"/>
                <w:kern w:val="0"/>
                <w:sz w:val="24"/>
                <w:szCs w:val="24"/>
                <w:lang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2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357"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财务管理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财务管理不符合专项资金管理要求。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预算编制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预算编制不符合专项资金管理要求。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执行情况</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资金执行不符合专项资金管理要求。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spacing w:line="578" w:lineRule="exact"/>
      </w:pPr>
      <w:r>
        <w:rPr>
          <w:rFonts w:eastAsia="黑体"/>
          <w:kern w:val="0"/>
          <w:shd w:val="clear" w:color="auto" w:fill="FFFFFF"/>
          <w:lang w:val="zh-CN"/>
        </w:rPr>
        <w:br w:type="page"/>
      </w:r>
      <w:r>
        <w:rPr>
          <w:rFonts w:eastAsia="黑体"/>
          <w:kern w:val="0"/>
          <w:shd w:val="clear" w:color="auto" w:fill="FFFFFF"/>
          <w:lang w:val="zh-CN"/>
        </w:rPr>
        <w:t>附表</w:t>
      </w:r>
      <w:r>
        <w:rPr>
          <w:rFonts w:hint="eastAsia"/>
          <w:kern w:val="0"/>
          <w:shd w:val="clear" w:color="auto" w:fill="FFFFFF"/>
        </w:rPr>
        <w:t>2</w:t>
      </w:r>
    </w:p>
    <w:p>
      <w:pPr>
        <w:spacing w:line="578" w:lineRule="exact"/>
        <w:jc w:val="center"/>
        <w:rPr>
          <w:rFonts w:eastAsia="方正小标宋_GBK"/>
          <w:sz w:val="40"/>
          <w:szCs w:val="40"/>
        </w:rPr>
      </w:pPr>
      <w:r>
        <w:rPr>
          <w:rFonts w:eastAsia="方正小标宋_GBK"/>
          <w:sz w:val="40"/>
          <w:szCs w:val="40"/>
        </w:rPr>
        <w:t>专项预算绩效自评实地踏勘点位清单表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黑体"/>
                <w:sz w:val="24"/>
                <w:szCs w:val="24"/>
              </w:rPr>
            </w:pPr>
            <w:r>
              <w:rPr>
                <w:rFonts w:eastAsia="黑体"/>
                <w:sz w:val="24"/>
                <w:szCs w:val="24"/>
              </w:rPr>
              <w:t>序号</w:t>
            </w:r>
          </w:p>
        </w:tc>
        <w:tc>
          <w:tcPr>
            <w:tcW w:w="5956" w:type="dxa"/>
            <w:noWrap w:val="0"/>
            <w:vAlign w:val="top"/>
          </w:tcPr>
          <w:p>
            <w:pPr>
              <w:spacing w:line="300" w:lineRule="exact"/>
              <w:jc w:val="center"/>
              <w:rPr>
                <w:rFonts w:eastAsia="黑体"/>
                <w:sz w:val="24"/>
                <w:szCs w:val="24"/>
                <w:lang w:val="en"/>
              </w:rPr>
            </w:pPr>
            <w:r>
              <w:rPr>
                <w:rFonts w:eastAsia="黑体"/>
                <w:sz w:val="24"/>
                <w:szCs w:val="24"/>
              </w:rPr>
              <w:t>实地踏勘点位</w:t>
            </w:r>
          </w:p>
        </w:tc>
        <w:tc>
          <w:tcPr>
            <w:tcW w:w="905" w:type="dxa"/>
            <w:noWrap w:val="0"/>
            <w:vAlign w:val="top"/>
          </w:tcPr>
          <w:p>
            <w:pPr>
              <w:spacing w:line="300" w:lineRule="exact"/>
              <w:jc w:val="center"/>
              <w:rPr>
                <w:rFonts w:eastAsia="黑体"/>
                <w:sz w:val="24"/>
                <w:szCs w:val="24"/>
              </w:rPr>
            </w:pPr>
            <w:r>
              <w:rPr>
                <w:rFonts w:eastAsia="黑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w:t>
            </w:r>
          </w:p>
        </w:tc>
        <w:tc>
          <w:tcPr>
            <w:tcW w:w="5956" w:type="dxa"/>
            <w:noWrap w:val="0"/>
            <w:vAlign w:val="top"/>
          </w:tcPr>
          <w:p>
            <w:pPr>
              <w:spacing w:line="300" w:lineRule="exact"/>
              <w:jc w:val="center"/>
              <w:rPr>
                <w:rFonts w:hint="default" w:eastAsia="仿宋_GB2312"/>
                <w:sz w:val="24"/>
                <w:szCs w:val="24"/>
                <w:lang w:val="en-US" w:eastAsia="zh-CN"/>
              </w:rPr>
            </w:pPr>
            <w:r>
              <w:rPr>
                <w:rFonts w:hint="eastAsia"/>
                <w:sz w:val="24"/>
                <w:szCs w:val="24"/>
                <w:lang w:val="en-US" w:eastAsia="zh-CN"/>
              </w:rPr>
              <w:t>黑水县晴朗乡人民政府</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8</w:t>
            </w:r>
          </w:p>
        </w:tc>
        <w:tc>
          <w:tcPr>
            <w:tcW w:w="5956" w:type="dxa"/>
            <w:noWrap w:val="0"/>
            <w:vAlign w:val="top"/>
          </w:tcPr>
          <w:p>
            <w:pPr>
              <w:spacing w:line="300" w:lineRule="exact"/>
              <w:jc w:val="center"/>
              <w:rPr>
                <w:sz w:val="24"/>
                <w:szCs w:val="24"/>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9</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10</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11</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18</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19</w:t>
            </w:r>
          </w:p>
        </w:tc>
        <w:tc>
          <w:tcPr>
            <w:tcW w:w="5956" w:type="dxa"/>
            <w:noWrap w:val="0"/>
            <w:vAlign w:val="top"/>
          </w:tcPr>
          <w:p>
            <w:pPr>
              <w:spacing w:line="300" w:lineRule="exact"/>
              <w:jc w:val="center"/>
              <w:rPr>
                <w:sz w:val="24"/>
                <w:szCs w:val="24"/>
                <w:lang w:val="en"/>
              </w:rPr>
            </w:pPr>
            <w:r>
              <w:rPr>
                <w:rFonts w:hint="eastAsia"/>
                <w:sz w:val="24"/>
                <w:szCs w:val="24"/>
                <w:lang w:val="en"/>
              </w:rPr>
              <w:t>……</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20</w:t>
            </w:r>
          </w:p>
        </w:tc>
        <w:tc>
          <w:tcPr>
            <w:tcW w:w="5956" w:type="dxa"/>
            <w:noWrap w:val="0"/>
            <w:vAlign w:val="top"/>
          </w:tcPr>
          <w:p>
            <w:pPr>
              <w:spacing w:line="300" w:lineRule="exact"/>
              <w:rPr>
                <w:sz w:val="24"/>
                <w:szCs w:val="24"/>
                <w:lang w:val="en"/>
              </w:rPr>
            </w:pPr>
          </w:p>
        </w:tc>
        <w:tc>
          <w:tcPr>
            <w:tcW w:w="905" w:type="dxa"/>
            <w:noWrap w:val="0"/>
            <w:vAlign w:val="top"/>
          </w:tcPr>
          <w:p>
            <w:pPr>
              <w:spacing w:line="300" w:lineRule="exact"/>
              <w:rPr>
                <w:sz w:val="24"/>
                <w:szCs w:val="24"/>
              </w:rPr>
            </w:pPr>
          </w:p>
        </w:tc>
      </w:tr>
    </w:tbl>
    <w:p>
      <w:pPr>
        <w:spacing w:line="400" w:lineRule="exact"/>
        <w:jc w:val="center"/>
        <w:rPr>
          <w:rFonts w:eastAsia="宋体"/>
          <w:sz w:val="21"/>
          <w:szCs w:val="21"/>
        </w:rPr>
      </w:pPr>
      <w:r>
        <w:rPr>
          <w:rFonts w:eastAsia="宋体"/>
          <w:sz w:val="21"/>
          <w:szCs w:val="21"/>
        </w:rPr>
        <w:t>备注：项目</w:t>
      </w:r>
      <w:r>
        <w:rPr>
          <w:rFonts w:hint="eastAsia" w:eastAsia="宋体"/>
          <w:sz w:val="21"/>
          <w:szCs w:val="21"/>
        </w:rPr>
        <w:t>实地踏勘</w:t>
      </w:r>
      <w:r>
        <w:rPr>
          <w:rFonts w:eastAsia="宋体"/>
          <w:sz w:val="21"/>
          <w:szCs w:val="21"/>
        </w:rPr>
        <w:t>点位包括市（州）本级、县（市、区）</w:t>
      </w:r>
      <w:r>
        <w:rPr>
          <w:rFonts w:hint="eastAsia" w:eastAsia="宋体"/>
          <w:sz w:val="21"/>
          <w:szCs w:val="21"/>
        </w:rPr>
        <w:t>本级及有关项目、单位、公司</w:t>
      </w:r>
      <w:r>
        <w:rPr>
          <w:rFonts w:eastAsia="宋体"/>
          <w:sz w:val="21"/>
          <w:szCs w:val="21"/>
        </w:rPr>
        <w:t>等。</w:t>
      </w:r>
    </w:p>
    <w:p>
      <w:pPr>
        <w:snapToGrid w:val="0"/>
        <w:spacing w:line="578" w:lineRule="exact"/>
        <w:rPr>
          <w:rFonts w:eastAsia="黑体"/>
          <w:kern w:val="0"/>
          <w:shd w:val="clear" w:color="auto" w:fill="FFFFFF"/>
          <w:lang w:val="zh-CN"/>
        </w:rPr>
      </w:pPr>
    </w:p>
    <w:p>
      <w:pPr>
        <w:snapToGrid w:val="0"/>
        <w:spacing w:line="578" w:lineRule="exact"/>
        <w:rPr>
          <w:rFonts w:eastAsia="黑体"/>
          <w:kern w:val="0"/>
          <w:shd w:val="clear" w:color="auto" w:fill="FFFFFF"/>
        </w:rPr>
      </w:pPr>
      <w:r>
        <w:rPr>
          <w:rFonts w:eastAsia="黑体"/>
          <w:kern w:val="0"/>
          <w:shd w:val="clear" w:color="auto" w:fill="FFFFFF"/>
          <w:lang w:val="zh-CN"/>
        </w:rPr>
        <w:br w:type="page"/>
      </w:r>
      <w:r>
        <w:rPr>
          <w:rFonts w:eastAsia="黑体"/>
          <w:kern w:val="0"/>
          <w:shd w:val="clear" w:color="auto" w:fill="FFFFFF"/>
          <w:lang w:val="zh-CN"/>
        </w:rPr>
        <w:t>附表</w:t>
      </w:r>
      <w:r>
        <w:rPr>
          <w:rFonts w:hint="eastAsia" w:eastAsia="黑体"/>
          <w:kern w:val="0"/>
          <w:shd w:val="clear" w:color="auto" w:fill="FFFFFF"/>
        </w:rPr>
        <w:t>3</w:t>
      </w:r>
    </w:p>
    <w:tbl>
      <w:tblPr>
        <w:tblStyle w:val="10"/>
        <w:tblW w:w="10233" w:type="dxa"/>
        <w:jc w:val="center"/>
        <w:tblLayout w:type="fixed"/>
        <w:tblCellMar>
          <w:top w:w="15" w:type="dxa"/>
          <w:left w:w="15" w:type="dxa"/>
          <w:bottom w:w="15" w:type="dxa"/>
          <w:right w:w="15" w:type="dxa"/>
        </w:tblCellMar>
      </w:tblPr>
      <w:tblGrid>
        <w:gridCol w:w="500"/>
        <w:gridCol w:w="1490"/>
        <w:gridCol w:w="1283"/>
        <w:gridCol w:w="1641"/>
        <w:gridCol w:w="380"/>
        <w:gridCol w:w="1219"/>
        <w:gridCol w:w="381"/>
        <w:gridCol w:w="793"/>
        <w:gridCol w:w="369"/>
        <w:gridCol w:w="326"/>
        <w:gridCol w:w="1851"/>
      </w:tblGrid>
      <w:tr>
        <w:trPr>
          <w:trHeight w:val="576" w:hRule="atLeast"/>
          <w:jc w:val="center"/>
        </w:trPr>
        <w:tc>
          <w:tcPr>
            <w:tcW w:w="10233" w:type="dxa"/>
            <w:gridSpan w:val="11"/>
            <w:noWrap w:val="0"/>
            <w:vAlign w:val="center"/>
          </w:tcPr>
          <w:p>
            <w:pPr>
              <w:keepNext w:val="0"/>
              <w:keepLines w:val="0"/>
              <w:widowControl/>
              <w:suppressLineNumbers w:val="0"/>
              <w:jc w:val="center"/>
              <w:textAlignment w:val="center"/>
              <w:rPr>
                <w:rFonts w:eastAsia="黑体"/>
                <w:color w:val="000000"/>
                <w:sz w:val="30"/>
                <w:szCs w:val="30"/>
              </w:rPr>
            </w:pPr>
            <w:r>
              <w:rPr>
                <w:rFonts w:hint="default" w:ascii="黑体" w:hAnsi="宋体" w:eastAsia="黑体" w:cs="黑体"/>
                <w:b/>
                <w:bCs/>
                <w:i w:val="0"/>
                <w:iCs w:val="0"/>
                <w:color w:val="000000"/>
                <w:kern w:val="0"/>
                <w:sz w:val="30"/>
                <w:szCs w:val="30"/>
                <w:u w:val="none"/>
                <w:lang w:val="en-US" w:eastAsia="zh-CN" w:bidi="ar"/>
              </w:rPr>
              <w:t>部门预算项目支出绩效自评表（2024年度）</w:t>
            </w:r>
          </w:p>
        </w:tc>
      </w:tr>
      <w:tr>
        <w:tblPrEx>
          <w:tblCellMar>
            <w:top w:w="15" w:type="dxa"/>
            <w:left w:w="15" w:type="dxa"/>
            <w:bottom w:w="15" w:type="dxa"/>
            <w:right w:w="15" w:type="dxa"/>
          </w:tblCellMar>
        </w:tblPrEx>
        <w:trPr>
          <w:trHeight w:val="23"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项目名称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51322825T000012887349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彭州市人武部捐赠资金</w:t>
            </w:r>
          </w:p>
        </w:tc>
      </w:tr>
      <w:tr>
        <w:tblPrEx>
          <w:tblCellMar>
            <w:top w:w="15" w:type="dxa"/>
            <w:left w:w="15" w:type="dxa"/>
            <w:bottom w:w="15" w:type="dxa"/>
            <w:right w:w="15" w:type="dxa"/>
          </w:tblCellMar>
        </w:tblPrEx>
        <w:trPr>
          <w:trHeight w:val="458"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主管部门</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黑水县晴朗乡</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实施单位 （盖章）</w:t>
            </w:r>
          </w:p>
        </w:tc>
        <w:tc>
          <w:tcPr>
            <w:tcW w:w="254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黑水县晴朗乡人民政府（事业）</w:t>
            </w:r>
          </w:p>
        </w:tc>
      </w:tr>
      <w:tr>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项目基本情况</w:t>
            </w: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hint="default" w:ascii="黑体" w:hAnsi="黑体" w:eastAsia="黑体" w:cs="黑体"/>
                <w:i w:val="0"/>
                <w:iCs w:val="0"/>
                <w:color w:val="000000"/>
                <w:kern w:val="0"/>
                <w:sz w:val="18"/>
                <w:szCs w:val="18"/>
                <w:u w:val="none"/>
                <w:lang w:val="en-US" w:eastAsia="zh-CN" w:bidi="ar"/>
              </w:rPr>
              <w:t>年度目标完成情况</w:t>
            </w:r>
          </w:p>
        </w:tc>
      </w:tr>
      <w:tr>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2023年彭州市人武部捐赠资金解决晴朗乡八子村土地整理土地调理剂、120亩撂荒地复耕、荞麦种子、复合肥等费用。</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2.项目实施内容及过程概述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预算执行情况（10分）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年度预算数（万元）</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调整后预算数</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预算执行数</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预算执行率</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原因</w:t>
            </w:r>
          </w:p>
        </w:tc>
      </w:tr>
      <w:tr>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总额</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8.77</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8.77</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restart"/>
            <w:tcBorders>
              <w:top w:val="single" w:color="000000" w:sz="4" w:space="0"/>
              <w:left w:val="single" w:color="000000" w:sz="4" w:space="0"/>
              <w:bottom w:val="single" w:color="000000" w:sz="4" w:space="0"/>
              <w:right w:val="single" w:color="000000" w:sz="4" w:space="0"/>
            </w:tcBorders>
            <w:noWrap w:val="0"/>
            <w:vAlign w:val="center"/>
          </w:tcPr>
          <w:p/>
        </w:tc>
      </w:tr>
      <w:tr>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其中：财政资金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财政专户管理资金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单位资金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8.77</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8.77</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其他资金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绩效指标（90分）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一级指标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三级指标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产出指标</w:t>
            </w:r>
          </w:p>
        </w:tc>
        <w:tc>
          <w:tcPr>
            <w:tcW w:w="128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撂荒地全域复垦</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亩</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购买荞麦种子</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0.5</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吨</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0.5</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购买复合肥，改善土壤肥力</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吨</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rPr>
          <w:trHeight w:val="608" w:hRule="atLeast"/>
          <w:jc w:val="center"/>
        </w:trPr>
        <w:tc>
          <w:tcPr>
            <w:tcW w:w="50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auto"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成都理工大学捐赠傲土调理剂</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吨</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283"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项目（工程）验收合格率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283" w:type="dxa"/>
            <w:tcBorders>
              <w:top w:val="single" w:color="000000" w:sz="4" w:space="0"/>
              <w:left w:val="single" w:color="auto"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6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项目开工率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r>
      <w:tr>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vMerge w:val="restart"/>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效益指标</w:t>
            </w:r>
          </w:p>
        </w:tc>
        <w:tc>
          <w:tcPr>
            <w:tcW w:w="128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受益建档立卡贫困人口数</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50</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人</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0"/>
                <w:sz w:val="18"/>
                <w:szCs w:val="18"/>
                <w:u w:val="none"/>
                <w:lang w:val="en-US" w:eastAsia="zh-CN" w:bidi="ar"/>
              </w:rPr>
            </w:pPr>
          </w:p>
        </w:tc>
      </w:tr>
      <w:tr>
        <w:trPr>
          <w:trHeight w:val="478"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right w:val="single" w:color="auto"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c>
          <w:tcPr>
            <w:tcW w:w="128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生态效益指标</w:t>
            </w: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改善农村生态及耕种环境</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46</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46</w:t>
            </w:r>
          </w:p>
        </w:tc>
        <w:tc>
          <w:tcPr>
            <w:tcW w:w="36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left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28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受益群众满意</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8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6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left w:val="single" w:color="auto" w:sz="4" w:space="0"/>
              <w:bottom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成本指标</w:t>
            </w:r>
          </w:p>
        </w:tc>
        <w:tc>
          <w:tcPr>
            <w:tcW w:w="128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6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购买种子肥料</w:t>
            </w:r>
          </w:p>
        </w:tc>
        <w:tc>
          <w:tcPr>
            <w:tcW w:w="3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2.85</w:t>
            </w:r>
          </w:p>
        </w:tc>
        <w:tc>
          <w:tcPr>
            <w:tcW w:w="3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万元</w:t>
            </w:r>
          </w:p>
        </w:tc>
        <w:tc>
          <w:tcPr>
            <w:tcW w:w="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2.85</w:t>
            </w:r>
          </w:p>
        </w:tc>
        <w:tc>
          <w:tcPr>
            <w:tcW w:w="3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auto" w:sz="4" w:space="0"/>
              <w:left w:val="single" w:color="auto" w:sz="4" w:space="0"/>
              <w:bottom w:val="single" w:color="auto" w:sz="4" w:space="0"/>
              <w:right w:val="single" w:color="auto" w:sz="4" w:space="0"/>
            </w:tcBorders>
            <w:noWrap w:val="0"/>
            <w:vAlign w:val="center"/>
          </w:tcPr>
          <w:p>
            <w:pPr>
              <w:jc w:val="center"/>
            </w:pPr>
          </w:p>
        </w:tc>
      </w:tr>
      <w:tr>
        <w:trPr>
          <w:trHeight w:val="23" w:hRule="atLeast"/>
          <w:jc w:val="center"/>
        </w:trPr>
        <w:tc>
          <w:tcPr>
            <w:tcW w:w="500" w:type="dxa"/>
            <w:vMerge w:val="continue"/>
            <w:tcBorders>
              <w:left w:val="single" w:color="auto" w:sz="4" w:space="0"/>
              <w:bottom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vMerge w:val="continue"/>
            <w:tcBorders>
              <w:left w:val="single" w:color="auto" w:sz="4" w:space="0"/>
              <w:bottom w:val="single" w:color="auto" w:sz="4" w:space="0"/>
              <w:right w:val="single" w:color="auto" w:sz="4" w:space="0"/>
            </w:tcBorders>
            <w:noWrap w:val="0"/>
            <w:vAlign w:val="center"/>
          </w:tcPr>
          <w:p>
            <w:pPr>
              <w:jc w:val="center"/>
            </w:pPr>
          </w:p>
        </w:tc>
        <w:tc>
          <w:tcPr>
            <w:tcW w:w="1283" w:type="dxa"/>
            <w:vMerge w:val="continue"/>
            <w:tcBorders>
              <w:left w:val="single" w:color="auto" w:sz="4" w:space="0"/>
              <w:bottom w:val="single" w:color="auto" w:sz="4" w:space="0"/>
              <w:right w:val="single" w:color="auto" w:sz="4" w:space="0"/>
            </w:tcBorders>
            <w:noWrap w:val="0"/>
            <w:vAlign w:val="center"/>
          </w:tcPr>
          <w:p>
            <w:pPr>
              <w:jc w:val="center"/>
            </w:pP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理工大捐赠物品运费</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0.115</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万元</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0.115</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bl>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黑水县晴朗乡人民政府</w:t>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zh-CN"/>
        </w:rPr>
        <w:t>晴朗乡2024年红星村治理滑坡项目</w:t>
      </w:r>
      <w:r>
        <w:rPr>
          <w:rFonts w:hint="eastAsia" w:ascii="方正小标宋_GBK" w:hAnsi="方正小标宋_GBK" w:eastAsia="方正小标宋_GBK" w:cs="方正小标宋_GBK"/>
          <w:sz w:val="44"/>
          <w:szCs w:val="44"/>
        </w:rPr>
        <w:t>专项预算绩效自评报告</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p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（一）设立背景及基本情况。</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黑水县晴朗乡红星村治理滑坡项目，黑水县晴朗乡红星村治理滑坡项目，主要建设加固晴朗乡成理桥及周边引道，新建浆砌片石挡土墙：280.65m3，混凝土挡墙：32.4m3。建设费用共计146905.16元，资金来源：成都理工大学捐赠资金。</w:t>
      </w:r>
      <w:r>
        <w:rPr>
          <w:rFonts w:hint="eastAsia" w:ascii="仿宋_GB2312" w:hAnsi="仿宋_GB2312" w:eastAsia="仿宋_GB2312" w:cs="仿宋_GB2312"/>
          <w:sz w:val="32"/>
          <w:szCs w:val="32"/>
          <w:lang w:val="en-US" w:eastAsia="zh-CN"/>
        </w:rPr>
        <w:t>晴朗乡人民政府</w:t>
      </w:r>
      <w:r>
        <w:rPr>
          <w:rFonts w:hint="eastAsia" w:ascii="仿宋_GB2312" w:hAnsi="仿宋_GB2312" w:eastAsia="仿宋_GB2312" w:cs="仿宋_GB2312"/>
          <w:sz w:val="32"/>
          <w:szCs w:val="32"/>
        </w:rPr>
        <w:t>承担专项资金绩效管理的主体责任，主要负责</w:t>
      </w:r>
      <w:r>
        <w:rPr>
          <w:rFonts w:hint="eastAsia" w:ascii="仿宋_GB2312" w:hAnsi="仿宋_GB2312" w:eastAsia="仿宋_GB2312" w:cs="仿宋_GB2312"/>
          <w:sz w:val="32"/>
          <w:szCs w:val="32"/>
          <w:lang w:val="en-US" w:eastAsia="zh-CN"/>
        </w:rPr>
        <w:t>根据文件要求执行</w:t>
      </w:r>
      <w:r>
        <w:rPr>
          <w:rFonts w:hint="eastAsia" w:ascii="仿宋_GB2312" w:hAnsi="仿宋_GB2312" w:eastAsia="仿宋_GB2312" w:cs="仿宋_GB2312"/>
          <w:sz w:val="32"/>
          <w:szCs w:val="32"/>
        </w:rPr>
        <w:t>专项资金分配方案，制定项目管理制度，组织项目评审和实施，开展项目验收、绩效评价和监督检查等工作。</w:t>
      </w:r>
    </w:p>
    <w:p>
      <w:pPr>
        <w:spacing w:line="560" w:lineRule="exact"/>
        <w:ind w:firstLine="642" w:firstLineChars="200"/>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（二）</w:t>
      </w:r>
      <w:r>
        <w:rPr>
          <w:rFonts w:hint="eastAsia" w:ascii="方正楷体_GBK" w:hAnsi="方正楷体_GBK" w:eastAsia="方正楷体_GBK" w:cs="方正楷体_GBK"/>
          <w:b/>
          <w:sz w:val="32"/>
          <w:szCs w:val="32"/>
        </w:rPr>
        <w:t>实施目的及支持方向。</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晴朗乡红星村治理滑坡项目，主要建设加固晴朗乡成理桥及周边引道，新建浆砌片石挡土墙：280.65m3，混凝土挡墙：32.4m3。建设费用共计146905.16元。</w:t>
      </w:r>
    </w:p>
    <w:p>
      <w:pPr>
        <w:numPr>
          <w:ilvl w:val="0"/>
          <w:numId w:val="0"/>
        </w:num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（三）</w:t>
      </w:r>
      <w:r>
        <w:rPr>
          <w:rFonts w:hint="eastAsia" w:ascii="方正楷体_GBK" w:hAnsi="方正楷体_GBK" w:eastAsia="方正楷体_GBK" w:cs="方正楷体_GBK"/>
          <w:b/>
          <w:sz w:val="32"/>
          <w:szCs w:val="32"/>
        </w:rPr>
        <w:t>预算安排及分配管理</w:t>
      </w:r>
      <w:r>
        <w:rPr>
          <w:rFonts w:hint="eastAsia" w:ascii="方正楷体_GBK" w:hAnsi="方正楷体_GBK" w:eastAsia="方正楷体_GBK" w:cs="方正楷体_GBK"/>
          <w:b/>
          <w:sz w:val="32"/>
          <w:szCs w:val="32"/>
          <w:lang w:val="zh-CN"/>
        </w:rPr>
        <w:t>。</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预算申报项目资金为14.69万元，批复金额为14.69万元，实际使用金额14.69万元，项目资金符合资金管理办法等相关规定。资金按批复金额在项目实施前全部到位，与资金计划相契合，资金到位率、到位及时性均为100%，保障项目能够如期开展。资金由乡政府监管，各村结合实际报销。</w:t>
      </w:r>
    </w:p>
    <w:p>
      <w:pPr>
        <w:keepNext w:val="0"/>
        <w:keepLines w:val="0"/>
        <w:pageBreakBefore w:val="0"/>
        <w:numPr>
          <w:ilvl w:val="0"/>
          <w:numId w:val="1"/>
        </w:numPr>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项目绩效目标设置。</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保障工作经费及时到位，</w:t>
      </w:r>
      <w:r>
        <w:rPr>
          <w:rFonts w:hint="eastAsia" w:ascii="仿宋_GB2312" w:hAnsi="仿宋_GB2312" w:eastAsia="仿宋_GB2312" w:cs="仿宋_GB2312"/>
          <w:sz w:val="32"/>
          <w:szCs w:val="32"/>
          <w:lang w:val="zh-CN" w:eastAsia="zh-CN"/>
        </w:rPr>
        <w:t>保障</w:t>
      </w:r>
      <w:r>
        <w:rPr>
          <w:rFonts w:hint="eastAsia" w:ascii="仿宋_GB2312" w:hAnsi="仿宋_GB2312" w:eastAsia="仿宋_GB2312" w:cs="仿宋_GB2312"/>
          <w:sz w:val="32"/>
          <w:szCs w:val="32"/>
          <w:lang w:val="en-US" w:eastAsia="zh-CN"/>
        </w:rPr>
        <w:t>晴朗</w:t>
      </w:r>
      <w:r>
        <w:rPr>
          <w:rFonts w:hint="eastAsia" w:ascii="仿宋_GB2312" w:hAnsi="仿宋_GB2312" w:eastAsia="仿宋_GB2312" w:cs="仿宋_GB2312"/>
          <w:sz w:val="32"/>
          <w:szCs w:val="32"/>
          <w:lang w:val="zh-CN" w:eastAsia="zh-CN"/>
        </w:rPr>
        <w:t>乡</w:t>
      </w:r>
      <w:r>
        <w:rPr>
          <w:rFonts w:hint="eastAsia" w:ascii="仿宋_GB2312" w:hAnsi="仿宋_GB2312" w:eastAsia="仿宋_GB2312" w:cs="仿宋_GB2312"/>
          <w:sz w:val="32"/>
          <w:szCs w:val="32"/>
          <w:lang w:val="en-US" w:eastAsia="zh-CN"/>
        </w:rPr>
        <w:t>工作高效运行</w:t>
      </w:r>
      <w:r>
        <w:rPr>
          <w:rFonts w:hint="eastAsia" w:ascii="仿宋_GB2312" w:hAnsi="仿宋_GB2312" w:eastAsia="仿宋_GB2312" w:cs="仿宋_GB2312"/>
          <w:sz w:val="32"/>
          <w:szCs w:val="32"/>
          <w:lang w:val="zh-CN" w:eastAsia="zh-CN"/>
        </w:rPr>
        <w:t>，充分发挥职工履职积极性，确保工作</w:t>
      </w:r>
      <w:r>
        <w:rPr>
          <w:rFonts w:hint="eastAsia" w:ascii="仿宋_GB2312" w:hAnsi="仿宋_GB2312" w:eastAsia="仿宋_GB2312" w:cs="仿宋_GB2312"/>
          <w:sz w:val="32"/>
          <w:szCs w:val="32"/>
          <w:lang w:val="en-US" w:eastAsia="zh-CN"/>
        </w:rPr>
        <w:t>成效</w:t>
      </w:r>
      <w:r>
        <w:rPr>
          <w:rFonts w:hint="eastAsia" w:ascii="仿宋_GB2312" w:hAnsi="仿宋_GB2312" w:eastAsia="仿宋_GB2312" w:cs="仿宋_GB2312"/>
          <w:sz w:val="32"/>
          <w:szCs w:val="32"/>
          <w:lang w:val="zh-CN" w:eastAsia="zh-CN"/>
        </w:rPr>
        <w:t>不断提升。</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二、评价实施</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（一）评价目的。</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对预算资金的投入、过程、产出、效果四个方面进行绩效评价，反映项目规范性、绩效目标设立的合理性和科学性、资金到位、支出情况，形成真实完整数据准确、分析透彻、逻辑清晰、客观公正的绩效评价结论为项目后续资金投入、分配和管理提供决策依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同时作为以后年度晴朗乡编制预算和安排财政项目资金的重要依据逐步树立以结果为导向、讲求绩效的观念。</w:t>
      </w:r>
    </w:p>
    <w:p>
      <w:pPr>
        <w:pStyle w:val="2"/>
        <w:keepNext w:val="0"/>
        <w:keepLines w:val="0"/>
        <w:pageBreakBefore w:val="0"/>
        <w:kinsoku/>
        <w:wordWrap/>
        <w:overflowPunct/>
        <w:topLinePunct w:val="0"/>
        <w:bidi w:val="0"/>
        <w:spacing w:line="560" w:lineRule="exact"/>
        <w:ind w:left="0" w:leftChars="0"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（二）预设问题及评价重点。</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本次评价主要针对该项目的规划编制的内容完整性和项目实施工作的质量问题，结合该项目资金的使用情况来完整</w:t>
      </w:r>
      <w:r>
        <w:rPr>
          <w:rFonts w:hint="eastAsia" w:ascii="仿宋_GB2312" w:hAnsi="仿宋_GB2312" w:eastAsia="仿宋_GB2312" w:cs="仿宋_GB2312"/>
          <w:sz w:val="32"/>
          <w:szCs w:val="32"/>
          <w:lang w:eastAsia="zh-CN"/>
        </w:rPr>
        <w:t>地</w:t>
      </w:r>
      <w:r>
        <w:rPr>
          <w:rFonts w:hint="eastAsia" w:ascii="仿宋_GB2312" w:hAnsi="仿宋_GB2312" w:eastAsia="仿宋_GB2312" w:cs="仿宋_GB2312"/>
          <w:sz w:val="32"/>
          <w:szCs w:val="32"/>
        </w:rPr>
        <w:t>体现。</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仿宋_GB2312" w:hAnsi="仿宋_GB2312" w:eastAsia="仿宋_GB2312" w:cs="仿宋_GB2312"/>
          <w:b/>
          <w:sz w:val="32"/>
          <w:szCs w:val="32"/>
          <w:lang w:val="zh-CN"/>
        </w:rPr>
      </w:pPr>
      <w:r>
        <w:rPr>
          <w:rFonts w:hint="eastAsia" w:ascii="方正楷体_GBK" w:hAnsi="方正楷体_GBK" w:eastAsia="方正楷体_GBK" w:cs="方正楷体_GBK"/>
          <w:b/>
          <w:sz w:val="32"/>
          <w:szCs w:val="32"/>
          <w:lang w:val="zh-CN"/>
        </w:rPr>
        <w:t>（三）评价选点。</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晴朗乡2024年</w:t>
      </w:r>
      <w:r>
        <w:rPr>
          <w:rFonts w:hint="eastAsia" w:ascii="仿宋_GB2312" w:hAnsi="仿宋_GB2312" w:eastAsia="仿宋_GB2312" w:cs="仿宋_GB2312"/>
          <w:sz w:val="32"/>
          <w:szCs w:val="32"/>
          <w:lang w:eastAsia="zh-CN"/>
        </w:rPr>
        <w:t>黑水县晴朗乡红星村治理滑坡项目</w:t>
      </w:r>
      <w:r>
        <w:rPr>
          <w:rFonts w:hint="eastAsia" w:ascii="仿宋_GB2312" w:hAnsi="仿宋_GB2312" w:eastAsia="仿宋_GB2312" w:cs="仿宋_GB2312"/>
          <w:sz w:val="32"/>
          <w:szCs w:val="32"/>
        </w:rPr>
        <w:t>主要开展地点为</w:t>
      </w:r>
      <w:r>
        <w:rPr>
          <w:rFonts w:hint="eastAsia" w:ascii="仿宋_GB2312" w:hAnsi="仿宋_GB2312" w:eastAsia="仿宋_GB2312" w:cs="仿宋_GB2312"/>
          <w:sz w:val="32"/>
          <w:szCs w:val="32"/>
          <w:lang w:eastAsia="zh-CN"/>
        </w:rPr>
        <w:t>黑水</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val="en-US" w:eastAsia="zh-CN"/>
        </w:rPr>
        <w:t>晴朗乡</w:t>
      </w:r>
      <w:r>
        <w:rPr>
          <w:rFonts w:hint="eastAsia" w:ascii="仿宋_GB2312" w:hAnsi="仿宋_GB2312" w:eastAsia="仿宋_GB2312" w:cs="仿宋_GB2312"/>
          <w:sz w:val="32"/>
          <w:szCs w:val="32"/>
        </w:rPr>
        <w:t>，本次绩效评价主体为</w:t>
      </w:r>
      <w:r>
        <w:rPr>
          <w:rFonts w:hint="eastAsia" w:ascii="仿宋_GB2312" w:hAnsi="仿宋_GB2312" w:eastAsia="仿宋_GB2312" w:cs="仿宋_GB2312"/>
          <w:sz w:val="32"/>
          <w:szCs w:val="32"/>
          <w:lang w:val="en-US" w:eastAsia="zh-CN"/>
        </w:rPr>
        <w:t>黑水县晴朗乡人民政府</w:t>
      </w:r>
      <w:r>
        <w:rPr>
          <w:rFonts w:hint="eastAsia" w:ascii="仿宋_GB2312" w:hAnsi="仿宋_GB2312" w:eastAsia="仿宋_GB2312" w:cs="仿宋_GB2312"/>
          <w:sz w:val="32"/>
          <w:szCs w:val="32"/>
        </w:rPr>
        <w:t>，项目不</w:t>
      </w:r>
      <w:r>
        <w:rPr>
          <w:rFonts w:hint="eastAsia" w:ascii="仿宋_GB2312" w:hAnsi="仿宋_GB2312" w:eastAsia="仿宋_GB2312" w:cs="仿宋_GB2312"/>
          <w:sz w:val="32"/>
          <w:szCs w:val="32"/>
          <w:lang w:eastAsia="zh-CN"/>
        </w:rPr>
        <w:t>涉及其他单位</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（四）</w:t>
      </w:r>
      <w:r>
        <w:rPr>
          <w:rFonts w:hint="eastAsia" w:ascii="方正楷体_GBK" w:hAnsi="方正楷体_GBK" w:eastAsia="方正楷体_GBK" w:cs="方正楷体_GBK"/>
          <w:b/>
          <w:sz w:val="32"/>
          <w:szCs w:val="32"/>
          <w:lang w:val="zh-CN"/>
        </w:rPr>
        <w:t>评价方法。</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采用先进的绩效评价方法和科学的数据分析是取得正确客观评价结论的重要保障，结合</w:t>
      </w:r>
      <w:r>
        <w:rPr>
          <w:rFonts w:hint="eastAsia" w:ascii="仿宋_GB2312" w:hAnsi="仿宋_GB2312" w:eastAsia="仿宋_GB2312" w:cs="仿宋_GB2312"/>
          <w:sz w:val="32"/>
          <w:szCs w:val="32"/>
          <w:lang w:val="en-US" w:eastAsia="zh-CN"/>
        </w:rPr>
        <w:t>晴朗乡2024年沙窝村生活污水治理经费专项工作经费项目</w:t>
      </w:r>
      <w:r>
        <w:rPr>
          <w:rFonts w:hint="eastAsia" w:ascii="仿宋_GB2312" w:hAnsi="仿宋_GB2312" w:eastAsia="仿宋_GB2312" w:cs="仿宋_GB2312"/>
          <w:sz w:val="32"/>
          <w:szCs w:val="32"/>
        </w:rPr>
        <w:t>的特点，经与</w:t>
      </w:r>
      <w:r>
        <w:rPr>
          <w:rFonts w:hint="eastAsia" w:ascii="仿宋_GB2312" w:hAnsi="仿宋_GB2312" w:eastAsia="仿宋_GB2312" w:cs="仿宋_GB2312"/>
          <w:sz w:val="32"/>
          <w:szCs w:val="32"/>
          <w:lang w:val="zh-CN"/>
        </w:rPr>
        <w:t>评价组织</w:t>
      </w:r>
      <w:r>
        <w:rPr>
          <w:rFonts w:hint="eastAsia" w:ascii="仿宋_GB2312" w:hAnsi="仿宋_GB2312" w:eastAsia="仿宋_GB2312" w:cs="仿宋_GB2312"/>
          <w:sz w:val="32"/>
          <w:szCs w:val="32"/>
        </w:rPr>
        <w:t>沟通后采取以下绩效评价方法：</w:t>
      </w:r>
    </w:p>
    <w:p>
      <w:pPr>
        <w:keepNext w:val="0"/>
        <w:keepLines w:val="0"/>
        <w:pageBreakBefore w:val="0"/>
        <w:kinsoku/>
        <w:wordWrap/>
        <w:overflowPunct/>
        <w:topLinePunct w:val="0"/>
        <w:bidi w:val="0"/>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1.公众评判法</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晴朗乡2024年沙窝村生活污水治理经费</w:t>
      </w:r>
      <w:r>
        <w:rPr>
          <w:rFonts w:hint="eastAsia" w:ascii="仿宋_GB2312" w:hAnsi="仿宋_GB2312" w:eastAsia="仿宋_GB2312" w:cs="仿宋_GB2312"/>
          <w:sz w:val="32"/>
          <w:szCs w:val="32"/>
          <w:lang w:val="zh-CN" w:eastAsia="zh-CN"/>
        </w:rPr>
        <w:t>具有较为清晰的服务群体，且该项目绩效状况的优劣，很大程度上体现在</w:t>
      </w:r>
      <w:r>
        <w:rPr>
          <w:rFonts w:hint="eastAsia" w:ascii="仿宋_GB2312" w:hAnsi="仿宋_GB2312" w:eastAsia="仿宋_GB2312" w:cs="仿宋_GB2312"/>
          <w:sz w:val="32"/>
          <w:szCs w:val="32"/>
          <w:lang w:val="en-US" w:eastAsia="zh-CN"/>
        </w:rPr>
        <w:t>晴朗乡2024年沙窝村生活污水治理经费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晴朗乡2024年沙窝村生活污水治理经费</w:t>
      </w:r>
      <w:r>
        <w:rPr>
          <w:rFonts w:hint="eastAsia" w:ascii="仿宋_GB2312" w:hAnsi="仿宋_GB2312" w:eastAsia="仿宋_GB2312" w:cs="仿宋_GB2312"/>
          <w:sz w:val="32"/>
          <w:szCs w:val="32"/>
          <w:lang w:val="zh-CN" w:eastAsia="zh-CN"/>
        </w:rPr>
        <w:t>覆盖率。为此，与该项目评价的具体指标相对应，按照一定比例，以电</w:t>
      </w:r>
      <w:r>
        <w:rPr>
          <w:rFonts w:hint="eastAsia" w:ascii="仿宋_GB2312" w:hAnsi="仿宋_GB2312" w:eastAsia="仿宋_GB2312" w:cs="仿宋_GB2312"/>
          <w:sz w:val="32"/>
          <w:szCs w:val="32"/>
          <w:lang w:val="en-US" w:eastAsia="zh-CN"/>
        </w:rPr>
        <w:t>话</w:t>
      </w:r>
      <w:r>
        <w:rPr>
          <w:rFonts w:hint="eastAsia" w:ascii="仿宋_GB2312" w:hAnsi="仿宋_GB2312" w:eastAsia="仿宋_GB2312" w:cs="仿宋_GB2312"/>
          <w:sz w:val="32"/>
          <w:szCs w:val="32"/>
          <w:lang w:val="zh-CN" w:eastAsia="zh-CN"/>
        </w:rPr>
        <w:t>询问等方式进行调查，收集、分析所取得的样本数据，从而推断确定目标群体的满意度，进而评价满意度指标。</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2.成本效益分析法</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zh-CN" w:eastAsia="zh-CN"/>
        </w:rPr>
        <w:t>本项目将资金投入与</w:t>
      </w:r>
      <w:r>
        <w:rPr>
          <w:rFonts w:hint="eastAsia" w:ascii="仿宋_GB2312" w:hAnsi="仿宋_GB2312" w:eastAsia="仿宋_GB2312" w:cs="仿宋_GB2312"/>
          <w:sz w:val="32"/>
          <w:szCs w:val="32"/>
          <w:lang w:val="en-US" w:eastAsia="zh-CN"/>
        </w:rPr>
        <w:t>晴朗乡2024年沙窝村生活污水治理经费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晴朗乡2024年沙窝村生活污水治理经费</w:t>
      </w:r>
      <w:r>
        <w:rPr>
          <w:rFonts w:hint="eastAsia" w:ascii="仿宋_GB2312" w:hAnsi="仿宋_GB2312" w:eastAsia="仿宋_GB2312" w:cs="仿宋_GB2312"/>
          <w:sz w:val="32"/>
          <w:szCs w:val="32"/>
          <w:lang w:val="zh-CN" w:eastAsia="zh-CN"/>
        </w:rPr>
        <w:t>覆盖率、补助标准等进行关联性分析。</w:t>
      </w:r>
    </w:p>
    <w:p>
      <w:pPr>
        <w:pStyle w:val="4"/>
        <w:keepNext w:val="0"/>
        <w:keepLines w:val="0"/>
        <w:pageBreakBefore w:val="0"/>
        <w:kinsoku/>
        <w:wordWrap/>
        <w:overflowPunct/>
        <w:topLinePunct w:val="0"/>
        <w:bidi w:val="0"/>
        <w:spacing w:line="560" w:lineRule="exact"/>
        <w:ind w:firstLine="600"/>
        <w:textAlignment w:val="auto"/>
        <w:rPr>
          <w:rFonts w:hint="eastAsia" w:ascii="方正楷体_GBK" w:hAnsi="方正楷体_GBK" w:eastAsia="方正楷体_GBK" w:cs="方正楷体_GBK"/>
          <w:b/>
          <w:bCs w:val="0"/>
          <w:sz w:val="32"/>
          <w:szCs w:val="32"/>
        </w:rPr>
      </w:pPr>
      <w:r>
        <w:rPr>
          <w:rFonts w:hint="eastAsia" w:ascii="方正楷体_GBK" w:hAnsi="方正楷体_GBK" w:eastAsia="方正楷体_GBK" w:cs="方正楷体_GBK"/>
          <w:b/>
          <w:bCs w:val="0"/>
          <w:sz w:val="32"/>
          <w:szCs w:val="32"/>
          <w:lang w:val="zh-CN"/>
        </w:rPr>
        <w:t>（五）评价组织。</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1.领导小组职责：</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（1）研究和决定单位管理绩效评价中的重大问题。</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（2）组织协调绩效评价工作，确保评价的顺利进行。</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（3）对工作目标、绩效考核结果和等次、奖惩方案进行审核，并报乡党委和政府审定。</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2.办公室职责：</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（1）提出政府绩效评价的工作方案，并负责具体组织实施。</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（2）综合评价信息，提出评价结果等次认定方案及奖惩方案等。</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（3）负责绩效评价的日常工作，包括宣传、沟通、协调等。</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（4）根据评价结果撰写绩效评价报告，并递交给领导小组。</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3.具体执行人员职责：</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（1）组长：审批绩效自评方案，监督、检查、核实绩效自评结果。</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三、绩效分析</w:t>
      </w:r>
      <w:r>
        <w:rPr>
          <w:rFonts w:hint="eastAsia" w:ascii="黑体" w:hAnsi="黑体" w:eastAsia="黑体" w:cs="黑体"/>
          <w:sz w:val="32"/>
          <w:szCs w:val="32"/>
          <w:lang w:val="zh-CN"/>
        </w:rPr>
        <w:tab/>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根据项目预算绩效评价指标体系“通用指标”“专用指标”“个性指标”涉及二、三级指标进行逐项绩效分析并评分</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60" w:lineRule="exact"/>
        <w:ind w:firstLine="640"/>
        <w:textAlignment w:val="auto"/>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（一）</w:t>
      </w:r>
      <w:r>
        <w:rPr>
          <w:rFonts w:hint="eastAsia" w:ascii="方正楷体_GBK" w:hAnsi="方正楷体_GBK" w:eastAsia="方正楷体_GBK" w:cs="方正楷体_GBK"/>
          <w:b/>
          <w:sz w:val="32"/>
          <w:szCs w:val="32"/>
        </w:rPr>
        <w:t>通用指标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项目决策。</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rPr>
        <w:t>项目决策程序严密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村干部</w:t>
      </w:r>
      <w:r>
        <w:rPr>
          <w:rFonts w:hint="eastAsia" w:ascii="仿宋_GB2312" w:hAnsi="仿宋_GB2312" w:eastAsia="仿宋_GB2312" w:cs="仿宋_GB2312"/>
          <w:sz w:val="32"/>
          <w:szCs w:val="32"/>
          <w:lang w:val="en-US" w:eastAsia="zh-CN"/>
        </w:rPr>
        <w:t>体检费</w:t>
      </w:r>
      <w:r>
        <w:rPr>
          <w:rFonts w:hint="eastAsia" w:ascii="仿宋_GB2312" w:hAnsi="仿宋_GB2312" w:eastAsia="仿宋_GB2312" w:cs="仿宋_GB2312"/>
          <w:sz w:val="32"/>
          <w:szCs w:val="32"/>
          <w:lang w:val="zh-CN"/>
        </w:rPr>
        <w:t>项目设立、调整延续等方面符合资金管理基本规范和决策程序要求；项目规划符合中央、省委、省政府有关决策部署安排；项目总体绩效目标设置合理，绩效目标科学合理、规范完整、量化细化、预算匹配；</w:t>
      </w:r>
      <w:r>
        <w:rPr>
          <w:rFonts w:hint="eastAsia" w:ascii="仿宋_GB2312" w:hAnsi="仿宋_GB2312" w:eastAsia="仿宋_GB2312" w:cs="仿宋_GB2312"/>
          <w:sz w:val="32"/>
          <w:szCs w:val="32"/>
        </w:rPr>
        <w:t>该项目</w:t>
      </w:r>
      <w:r>
        <w:rPr>
          <w:rFonts w:hint="eastAsia" w:ascii="仿宋_GB2312" w:hAnsi="仿宋_GB2312" w:eastAsia="仿宋_GB2312" w:cs="仿宋_GB2312"/>
          <w:sz w:val="32"/>
          <w:szCs w:val="32"/>
          <w:lang w:val="zh-CN"/>
        </w:rPr>
        <w:t>属于政府支持范围，且符合财政事权支出责任划分规定，资金投向与项目总体规划、相关行业事业发展相匹配；聚焦重大任务、重点领域、重点环节和重点项目，体现“集中力量办大事”原则；</w:t>
      </w:r>
      <w:r>
        <w:rPr>
          <w:rFonts w:hint="eastAsia" w:ascii="仿宋_GB2312" w:hAnsi="仿宋_GB2312" w:eastAsia="仿宋_GB2312" w:cs="仿宋_GB2312"/>
          <w:sz w:val="32"/>
          <w:szCs w:val="32"/>
        </w:rPr>
        <w:t>该项目</w:t>
      </w:r>
      <w:r>
        <w:rPr>
          <w:rFonts w:hint="eastAsia" w:ascii="仿宋_GB2312" w:hAnsi="仿宋_GB2312" w:eastAsia="仿宋_GB2312" w:cs="仿宋_GB2312"/>
          <w:sz w:val="32"/>
          <w:szCs w:val="32"/>
          <w:lang w:val="zh-CN"/>
        </w:rPr>
        <w:t>未与其他同类项目或部门内部相关项目交叉重复。共计</w:t>
      </w:r>
      <w:r>
        <w:rPr>
          <w:rFonts w:hint="eastAsia" w:ascii="仿宋_GB2312" w:hAnsi="仿宋_GB2312" w:eastAsia="仿宋_GB2312" w:cs="仿宋_GB2312"/>
          <w:sz w:val="32"/>
          <w:szCs w:val="32"/>
        </w:rPr>
        <w:t>得分18分。</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项目管理。</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rPr>
        <w:t>资金管理办法等管理制度体系健全完善，不存在管理制度缺失、管理办法过期情况；项目资金分配因素选取、权重设置、区域分布，项目管理、审批符合管理要求；管资金</w:t>
      </w:r>
      <w:r>
        <w:rPr>
          <w:rFonts w:hint="eastAsia" w:ascii="仿宋_GB2312" w:hAnsi="仿宋_GB2312" w:eastAsia="仿宋_GB2312" w:cs="仿宋_GB2312"/>
          <w:sz w:val="32"/>
          <w:szCs w:val="32"/>
          <w:lang w:eastAsia="zh-CN"/>
        </w:rPr>
        <w:t>、管</w:t>
      </w:r>
      <w:r>
        <w:rPr>
          <w:rFonts w:hint="eastAsia" w:ascii="仿宋_GB2312" w:hAnsi="仿宋_GB2312" w:eastAsia="仿宋_GB2312" w:cs="仿宋_GB2312"/>
          <w:sz w:val="32"/>
          <w:szCs w:val="32"/>
        </w:rPr>
        <w:t>项目、政策管绩效，项目绩效监管按要求开展，指导有力有效。</w:t>
      </w:r>
      <w:r>
        <w:rPr>
          <w:rFonts w:hint="eastAsia" w:ascii="仿宋_GB2312" w:hAnsi="仿宋_GB2312" w:eastAsia="仿宋_GB2312" w:cs="仿宋_GB2312"/>
          <w:sz w:val="32"/>
          <w:szCs w:val="32"/>
          <w:lang w:val="zh-CN"/>
        </w:rPr>
        <w:t>共计</w:t>
      </w:r>
      <w:r>
        <w:rPr>
          <w:rFonts w:hint="eastAsia" w:ascii="仿宋_GB2312" w:hAnsi="仿宋_GB2312" w:eastAsia="仿宋_GB2312" w:cs="仿宋_GB2312"/>
          <w:sz w:val="32"/>
          <w:szCs w:val="32"/>
        </w:rPr>
        <w:t>得分18分。</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项目实施。</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rPr>
        <w:t>项目资金财政拨付、单位执行和地方配套到位；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_GB2312" w:hAnsi="仿宋_GB2312" w:eastAsia="仿宋_GB2312" w:cs="仿宋_GB2312"/>
          <w:sz w:val="32"/>
          <w:szCs w:val="32"/>
          <w:lang w:val="zh-CN"/>
        </w:rPr>
        <w:t>共计</w:t>
      </w:r>
      <w:r>
        <w:rPr>
          <w:rFonts w:hint="eastAsia" w:ascii="仿宋_GB2312" w:hAnsi="仿宋_GB2312" w:eastAsia="仿宋_GB2312" w:cs="仿宋_GB2312"/>
          <w:sz w:val="32"/>
          <w:szCs w:val="32"/>
        </w:rPr>
        <w:t>得分9分。</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项目结果。</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rPr>
        <w:t>项目完成预期目标，实施结果与绩效目标相匹配，反映目标实现100%；项目实际完成时间按计划时间完成。</w:t>
      </w:r>
      <w:r>
        <w:rPr>
          <w:rFonts w:hint="eastAsia" w:ascii="仿宋_GB2312" w:hAnsi="仿宋_GB2312" w:eastAsia="仿宋_GB2312" w:cs="仿宋_GB2312"/>
          <w:sz w:val="32"/>
          <w:szCs w:val="32"/>
          <w:lang w:val="zh-CN"/>
        </w:rPr>
        <w:t>共计</w:t>
      </w:r>
      <w:r>
        <w:rPr>
          <w:rFonts w:hint="eastAsia" w:ascii="仿宋_GB2312" w:hAnsi="仿宋_GB2312" w:eastAsia="仿宋_GB2312" w:cs="仿宋_GB2312"/>
          <w:sz w:val="32"/>
          <w:szCs w:val="32"/>
        </w:rPr>
        <w:t>得分9分。</w:t>
      </w:r>
    </w:p>
    <w:p>
      <w:pPr>
        <w:keepNext w:val="0"/>
        <w:keepLines w:val="0"/>
        <w:pageBreakBefore w:val="0"/>
        <w:numPr>
          <w:ilvl w:val="0"/>
          <w:numId w:val="0"/>
        </w:numPr>
        <w:kinsoku/>
        <w:wordWrap/>
        <w:overflowPunct/>
        <w:topLinePunct w:val="0"/>
        <w:bidi w:val="0"/>
        <w:spacing w:line="560" w:lineRule="exact"/>
        <w:ind w:firstLine="642" w:firstLineChars="20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eastAsia="zh-CN" w:bidi="ar-SA"/>
        </w:rPr>
        <w:t>（二）</w:t>
      </w:r>
      <w:r>
        <w:rPr>
          <w:rFonts w:hint="eastAsia" w:ascii="方正楷体_GBK" w:hAnsi="方正楷体_GBK" w:eastAsia="方正楷体_GBK" w:cs="方正楷体_GBK"/>
          <w:b/>
          <w:sz w:val="32"/>
          <w:szCs w:val="32"/>
        </w:rPr>
        <w:t>专用指标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根据</w:t>
      </w:r>
      <w:r>
        <w:rPr>
          <w:rFonts w:hint="eastAsia" w:ascii="仿宋_GB2312" w:hAnsi="仿宋_GB2312" w:eastAsia="仿宋_GB2312" w:cs="仿宋_GB2312"/>
          <w:sz w:val="32"/>
          <w:szCs w:val="32"/>
        </w:rPr>
        <w:t>专项预算项目资金支持对象选择所属指标进行绩效分析。支持对象</w:t>
      </w:r>
      <w:r>
        <w:rPr>
          <w:rFonts w:hint="eastAsia" w:ascii="仿宋_GB2312" w:hAnsi="仿宋_GB2312" w:eastAsia="仿宋_GB2312" w:cs="仿宋_GB2312"/>
          <w:sz w:val="32"/>
          <w:szCs w:val="32"/>
          <w:lang w:val="zh-CN"/>
        </w:rPr>
        <w:t>包括产业发展、民生保障、基础设施、行政运转等方面。</w:t>
      </w:r>
      <w:r>
        <w:rPr>
          <w:rFonts w:hint="eastAsia" w:ascii="仿宋_GB2312" w:hAnsi="仿宋_GB2312" w:eastAsia="仿宋_GB2312" w:cs="仿宋_GB2312"/>
          <w:sz w:val="32"/>
          <w:szCs w:val="32"/>
          <w:lang w:val="en-US" w:eastAsia="zh-CN"/>
        </w:rPr>
        <w:t>该项目属</w:t>
      </w:r>
      <w:r>
        <w:rPr>
          <w:rFonts w:hint="eastAsia" w:ascii="仿宋_GB2312" w:hAnsi="仿宋_GB2312" w:eastAsia="仿宋_GB2312" w:cs="仿宋_GB2312"/>
          <w:sz w:val="32"/>
          <w:szCs w:val="32"/>
          <w:lang w:val="zh-CN"/>
        </w:rPr>
        <w:t>民生保障。</w:t>
      </w:r>
      <w:r>
        <w:rPr>
          <w:rFonts w:hint="eastAsia" w:ascii="仿宋_GB2312" w:hAnsi="仿宋_GB2312" w:eastAsia="仿宋_GB2312" w:cs="仿宋_GB2312"/>
          <w:sz w:val="32"/>
          <w:szCs w:val="32"/>
        </w:rPr>
        <w:t>项目资金分配均衡；资金实际支持对象符合管理要求，符合支持对象范围；资金实际补贴标准符合资金管理办法规定的补助标准并及时按标准兑现；资金涉及相关受益群体、支持对象满意。共计得分30分。</w:t>
      </w:r>
    </w:p>
    <w:p>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sz w:val="32"/>
          <w:szCs w:val="32"/>
          <w:lang w:val="zh-CN"/>
        </w:rPr>
        <w:t>（三）</w:t>
      </w:r>
      <w:r>
        <w:rPr>
          <w:rFonts w:hint="eastAsia" w:ascii="方正楷体_GBK" w:hAnsi="方正楷体_GBK" w:eastAsia="方正楷体_GBK" w:cs="方正楷体_GBK"/>
          <w:b/>
          <w:sz w:val="32"/>
          <w:szCs w:val="32"/>
        </w:rPr>
        <w:t>个性指标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财务管理：</w:t>
      </w:r>
      <w:r>
        <w:rPr>
          <w:rFonts w:hint="eastAsia" w:ascii="仿宋_GB2312" w:hAnsi="仿宋_GB2312" w:eastAsia="仿宋_GB2312" w:cs="仿宋_GB2312"/>
          <w:sz w:val="32"/>
          <w:szCs w:val="32"/>
          <w:lang w:val="en-US" w:eastAsia="zh-CN"/>
        </w:rPr>
        <w:t>该项目财务管理制度健全，资金拨付效率高，财务资料完整。该项目</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rPr>
        <w:t>分。</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预算编制：</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rPr>
        <w:t>预算</w:t>
      </w:r>
      <w:r>
        <w:rPr>
          <w:rFonts w:hint="eastAsia" w:ascii="仿宋_GB2312" w:hAnsi="仿宋_GB2312" w:eastAsia="仿宋_GB2312" w:cs="仿宋_GB2312"/>
          <w:sz w:val="32"/>
          <w:szCs w:val="32"/>
          <w:lang w:val="zh-CN"/>
        </w:rPr>
        <w:t>编制合理，投</w:t>
      </w:r>
      <w:r>
        <w:rPr>
          <w:rFonts w:hint="eastAsia" w:ascii="仿宋_GB2312" w:hAnsi="仿宋_GB2312" w:eastAsia="仿宋_GB2312" w:cs="仿宋_GB2312"/>
          <w:sz w:val="32"/>
          <w:szCs w:val="32"/>
          <w:lang w:val="en-US" w:eastAsia="zh-CN"/>
        </w:rPr>
        <w:t>资到位及时。</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分。</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执行情况：资金已按期拨付，实际执行情况与预算相符，项目实施后已达到预期效果。该项指标得分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sz w:val="32"/>
          <w:szCs w:val="32"/>
          <w:lang w:val="en-US" w:eastAsia="zh-CN"/>
        </w:rPr>
        <w:t>按照绩效自评工作要求，秉承客观公正、实事求是的原则开展项目绩效自评工作，经对各类指标进行评分和汇总分析，本项目的绩效评价结果为“优”，综合评分 99分。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kern w:val="2"/>
          <w:position w:val="0"/>
          <w:sz w:val="32"/>
          <w:szCs w:val="32"/>
          <w:lang w:eastAsia="zh-CN"/>
        </w:rPr>
      </w:pPr>
      <w:r>
        <w:rPr>
          <w:rFonts w:hint="eastAsia" w:ascii="仿宋_GB2312" w:hAnsi="仿宋_GB2312" w:eastAsia="仿宋_GB2312" w:cs="仿宋_GB2312"/>
          <w:position w:val="0"/>
          <w:sz w:val="32"/>
          <w:szCs w:val="32"/>
          <w:lang w:eastAsia="zh-CN"/>
        </w:rPr>
        <w:t>无。</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tabs>
          <w:tab w:val="left" w:pos="1911"/>
        </w:tabs>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无</w:t>
      </w:r>
      <w:r>
        <w:rPr>
          <w:rFonts w:hint="eastAsia" w:ascii="仿宋_GB2312" w:hAnsi="仿宋_GB2312" w:cs="仿宋_GB2312"/>
          <w:kern w:val="0"/>
          <w:sz w:val="32"/>
          <w:szCs w:val="32"/>
          <w:lang w:eastAsia="zh-CN"/>
        </w:rPr>
        <w:t>。</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附表：1.专项预算绩效自评打分表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2.专项预算绩效自评实地踏勘点位清单表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color w:val="000000"/>
          <w:kern w:val="0"/>
          <w:sz w:val="32"/>
          <w:szCs w:val="32"/>
          <w:shd w:val="clear" w:color="auto" w:fill="FFFFFF"/>
        </w:rPr>
        <w:t>3.专项预算项目绩效目标完成情况自评表</w:t>
      </w:r>
    </w:p>
    <w:p>
      <w:pPr>
        <w:keepNext w:val="0"/>
        <w:keepLines w:val="0"/>
        <w:pageBreakBefore w:val="0"/>
        <w:kinsoku/>
        <w:wordWrap/>
        <w:overflowPunct/>
        <w:topLinePunct w:val="0"/>
        <w:bidi w:val="0"/>
        <w:spacing w:line="560" w:lineRule="exact"/>
        <w:ind w:firstLine="640" w:firstLineChars="200"/>
        <w:jc w:val="righ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黑水县晴朗乡人民政府</w:t>
      </w:r>
    </w:p>
    <w:p>
      <w:pPr>
        <w:keepNext w:val="0"/>
        <w:keepLines w:val="0"/>
        <w:pageBreakBefore w:val="0"/>
        <w:kinsoku/>
        <w:wordWrap/>
        <w:overflowPunct/>
        <w:topLinePunct w:val="0"/>
        <w:bidi w:val="0"/>
        <w:spacing w:line="560" w:lineRule="exact"/>
        <w:ind w:firstLine="640" w:firstLineChars="200"/>
        <w:jc w:val="righ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2025年4月</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0日</w:t>
      </w:r>
    </w:p>
    <w:p>
      <w:pPr>
        <w:snapToGrid w:val="0"/>
        <w:spacing w:line="578" w:lineRule="exact"/>
        <w:rPr>
          <w:rFonts w:eastAsia="黑体"/>
          <w:kern w:val="0"/>
          <w:shd w:val="clear" w:color="auto" w:fill="FFFFFF"/>
        </w:rPr>
      </w:pPr>
      <w:r>
        <w:rPr>
          <w:rFonts w:eastAsia="黑体"/>
          <w:kern w:val="0"/>
          <w:shd w:val="clear" w:color="auto" w:fill="FFFFFF"/>
          <w:lang w:val="zh-CN"/>
        </w:rPr>
        <w:t>附表</w:t>
      </w:r>
      <w:r>
        <w:rPr>
          <w:rFonts w:eastAsia="黑体"/>
          <w:kern w:val="0"/>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tblPrEx>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w:t>
            </w:r>
            <w:r>
              <w:rPr>
                <w:rFonts w:hint="eastAsia" w:ascii="宋体" w:hAnsi="宋体" w:cs="宋体"/>
                <w:color w:val="000000"/>
                <w:kern w:val="0"/>
                <w:sz w:val="24"/>
                <w:szCs w:val="24"/>
                <w:lang w:eastAsia="zh-CN" w:bidi="ar"/>
              </w:rPr>
              <w:t>中央、省委</w:t>
            </w:r>
            <w:r>
              <w:rPr>
                <w:rFonts w:hint="eastAsia" w:ascii="宋体" w:hAnsi="宋体" w:eastAsia="宋体" w:cs="宋体"/>
                <w:color w:val="000000"/>
                <w:kern w:val="0"/>
                <w:sz w:val="24"/>
                <w:szCs w:val="24"/>
                <w:lang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w:t>
            </w:r>
            <w:r>
              <w:rPr>
                <w:rFonts w:hint="eastAsia" w:ascii="宋体" w:hAnsi="宋体" w:cs="宋体"/>
                <w:color w:val="000000"/>
                <w:kern w:val="0"/>
                <w:sz w:val="24"/>
                <w:szCs w:val="24"/>
                <w:lang w:eastAsia="zh-CN" w:bidi="ar"/>
              </w:rPr>
              <w:t>省委、省政府</w:t>
            </w:r>
            <w:r>
              <w:rPr>
                <w:rFonts w:hint="eastAsia" w:ascii="宋体" w:hAnsi="宋体" w:eastAsia="宋体" w:cs="宋体"/>
                <w:color w:val="000000"/>
                <w:kern w:val="0"/>
                <w:sz w:val="24"/>
                <w:szCs w:val="24"/>
                <w:lang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2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357"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财务管理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财务管理不符合专项资金管理要求。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预算编制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预算编制不符合专项资金管理要求。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执行情况</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资金执行不符合专项资金管理要求。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spacing w:line="578" w:lineRule="exact"/>
      </w:pPr>
      <w:r>
        <w:rPr>
          <w:rFonts w:eastAsia="黑体"/>
          <w:kern w:val="0"/>
          <w:shd w:val="clear" w:color="auto" w:fill="FFFFFF"/>
          <w:lang w:val="zh-CN"/>
        </w:rPr>
        <w:br w:type="page"/>
      </w:r>
      <w:r>
        <w:rPr>
          <w:rFonts w:eastAsia="黑体"/>
          <w:kern w:val="0"/>
          <w:shd w:val="clear" w:color="auto" w:fill="FFFFFF"/>
          <w:lang w:val="zh-CN"/>
        </w:rPr>
        <w:t>附表</w:t>
      </w:r>
      <w:r>
        <w:rPr>
          <w:rFonts w:hint="eastAsia"/>
          <w:kern w:val="0"/>
          <w:shd w:val="clear" w:color="auto" w:fill="FFFFFF"/>
        </w:rPr>
        <w:t>2</w:t>
      </w:r>
    </w:p>
    <w:p>
      <w:pPr>
        <w:spacing w:line="578" w:lineRule="exact"/>
        <w:jc w:val="center"/>
        <w:rPr>
          <w:rFonts w:eastAsia="方正小标宋_GBK"/>
          <w:sz w:val="40"/>
          <w:szCs w:val="40"/>
        </w:rPr>
      </w:pPr>
      <w:r>
        <w:rPr>
          <w:rFonts w:eastAsia="方正小标宋_GBK"/>
          <w:sz w:val="40"/>
          <w:szCs w:val="40"/>
        </w:rPr>
        <w:t>专项预算绩效自评实地踏勘点位清单表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黑体"/>
                <w:sz w:val="24"/>
                <w:szCs w:val="24"/>
              </w:rPr>
            </w:pPr>
            <w:r>
              <w:rPr>
                <w:rFonts w:eastAsia="黑体"/>
                <w:sz w:val="24"/>
                <w:szCs w:val="24"/>
              </w:rPr>
              <w:t>序号</w:t>
            </w:r>
          </w:p>
        </w:tc>
        <w:tc>
          <w:tcPr>
            <w:tcW w:w="5956" w:type="dxa"/>
            <w:noWrap w:val="0"/>
            <w:vAlign w:val="top"/>
          </w:tcPr>
          <w:p>
            <w:pPr>
              <w:spacing w:line="300" w:lineRule="exact"/>
              <w:jc w:val="center"/>
              <w:rPr>
                <w:rFonts w:eastAsia="黑体"/>
                <w:sz w:val="24"/>
                <w:szCs w:val="24"/>
                <w:lang w:val="en"/>
              </w:rPr>
            </w:pPr>
            <w:r>
              <w:rPr>
                <w:rFonts w:eastAsia="黑体"/>
                <w:sz w:val="24"/>
                <w:szCs w:val="24"/>
              </w:rPr>
              <w:t>实地踏勘点位</w:t>
            </w:r>
          </w:p>
        </w:tc>
        <w:tc>
          <w:tcPr>
            <w:tcW w:w="905" w:type="dxa"/>
            <w:noWrap w:val="0"/>
            <w:vAlign w:val="top"/>
          </w:tcPr>
          <w:p>
            <w:pPr>
              <w:spacing w:line="300" w:lineRule="exact"/>
              <w:jc w:val="center"/>
              <w:rPr>
                <w:rFonts w:eastAsia="黑体"/>
                <w:sz w:val="24"/>
                <w:szCs w:val="24"/>
              </w:rPr>
            </w:pPr>
            <w:r>
              <w:rPr>
                <w:rFonts w:eastAsia="黑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w:t>
            </w:r>
          </w:p>
        </w:tc>
        <w:tc>
          <w:tcPr>
            <w:tcW w:w="5956" w:type="dxa"/>
            <w:noWrap w:val="0"/>
            <w:vAlign w:val="top"/>
          </w:tcPr>
          <w:p>
            <w:pPr>
              <w:spacing w:line="300" w:lineRule="exact"/>
              <w:jc w:val="center"/>
              <w:rPr>
                <w:rFonts w:hint="default" w:eastAsia="仿宋_GB2312"/>
                <w:sz w:val="24"/>
                <w:szCs w:val="24"/>
                <w:lang w:val="en-US" w:eastAsia="zh-CN"/>
              </w:rPr>
            </w:pPr>
            <w:r>
              <w:rPr>
                <w:rFonts w:hint="eastAsia"/>
                <w:sz w:val="24"/>
                <w:szCs w:val="24"/>
                <w:lang w:val="en-US" w:eastAsia="zh-CN"/>
              </w:rPr>
              <w:t>黑水县晴朗乡人民政府</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8</w:t>
            </w:r>
          </w:p>
        </w:tc>
        <w:tc>
          <w:tcPr>
            <w:tcW w:w="5956" w:type="dxa"/>
            <w:noWrap w:val="0"/>
            <w:vAlign w:val="top"/>
          </w:tcPr>
          <w:p>
            <w:pPr>
              <w:spacing w:line="300" w:lineRule="exact"/>
              <w:jc w:val="center"/>
              <w:rPr>
                <w:sz w:val="24"/>
                <w:szCs w:val="24"/>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9</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10</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11</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18</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19</w:t>
            </w:r>
          </w:p>
        </w:tc>
        <w:tc>
          <w:tcPr>
            <w:tcW w:w="5956" w:type="dxa"/>
            <w:noWrap w:val="0"/>
            <w:vAlign w:val="top"/>
          </w:tcPr>
          <w:p>
            <w:pPr>
              <w:spacing w:line="300" w:lineRule="exact"/>
              <w:jc w:val="center"/>
              <w:rPr>
                <w:sz w:val="24"/>
                <w:szCs w:val="24"/>
                <w:lang w:val="en"/>
              </w:rPr>
            </w:pPr>
            <w:r>
              <w:rPr>
                <w:rFonts w:hint="eastAsia"/>
                <w:sz w:val="24"/>
                <w:szCs w:val="24"/>
                <w:lang w:val="en"/>
              </w:rPr>
              <w:t>……</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20</w:t>
            </w:r>
          </w:p>
        </w:tc>
        <w:tc>
          <w:tcPr>
            <w:tcW w:w="5956" w:type="dxa"/>
            <w:noWrap w:val="0"/>
            <w:vAlign w:val="top"/>
          </w:tcPr>
          <w:p>
            <w:pPr>
              <w:spacing w:line="300" w:lineRule="exact"/>
              <w:rPr>
                <w:sz w:val="24"/>
                <w:szCs w:val="24"/>
                <w:lang w:val="en"/>
              </w:rPr>
            </w:pPr>
          </w:p>
        </w:tc>
        <w:tc>
          <w:tcPr>
            <w:tcW w:w="905" w:type="dxa"/>
            <w:noWrap w:val="0"/>
            <w:vAlign w:val="top"/>
          </w:tcPr>
          <w:p>
            <w:pPr>
              <w:spacing w:line="300" w:lineRule="exact"/>
              <w:rPr>
                <w:sz w:val="24"/>
                <w:szCs w:val="24"/>
              </w:rPr>
            </w:pPr>
          </w:p>
        </w:tc>
      </w:tr>
    </w:tbl>
    <w:p>
      <w:pPr>
        <w:spacing w:line="400" w:lineRule="exact"/>
        <w:jc w:val="center"/>
        <w:rPr>
          <w:rFonts w:eastAsia="宋体"/>
          <w:sz w:val="21"/>
          <w:szCs w:val="21"/>
        </w:rPr>
      </w:pPr>
      <w:r>
        <w:rPr>
          <w:rFonts w:eastAsia="宋体"/>
          <w:sz w:val="21"/>
          <w:szCs w:val="21"/>
        </w:rPr>
        <w:t>备注：项目</w:t>
      </w:r>
      <w:r>
        <w:rPr>
          <w:rFonts w:hint="eastAsia" w:eastAsia="宋体"/>
          <w:sz w:val="21"/>
          <w:szCs w:val="21"/>
        </w:rPr>
        <w:t>实地踏勘</w:t>
      </w:r>
      <w:r>
        <w:rPr>
          <w:rFonts w:eastAsia="宋体"/>
          <w:sz w:val="21"/>
          <w:szCs w:val="21"/>
        </w:rPr>
        <w:t>点位包括市（州）本级、县（市、区）</w:t>
      </w:r>
      <w:r>
        <w:rPr>
          <w:rFonts w:hint="eastAsia" w:eastAsia="宋体"/>
          <w:sz w:val="21"/>
          <w:szCs w:val="21"/>
        </w:rPr>
        <w:t>本级及有关项目、单位、公司</w:t>
      </w:r>
      <w:r>
        <w:rPr>
          <w:rFonts w:eastAsia="宋体"/>
          <w:sz w:val="21"/>
          <w:szCs w:val="21"/>
        </w:rPr>
        <w:t>等。</w:t>
      </w:r>
    </w:p>
    <w:p>
      <w:pPr>
        <w:snapToGrid w:val="0"/>
        <w:spacing w:line="578" w:lineRule="exact"/>
        <w:rPr>
          <w:rFonts w:eastAsia="黑体"/>
          <w:kern w:val="0"/>
          <w:shd w:val="clear" w:color="auto" w:fill="FFFFFF"/>
          <w:lang w:val="zh-CN"/>
        </w:rPr>
      </w:pPr>
    </w:p>
    <w:p>
      <w:pPr>
        <w:snapToGrid w:val="0"/>
        <w:spacing w:line="578" w:lineRule="exact"/>
        <w:rPr>
          <w:rFonts w:eastAsia="黑体"/>
          <w:kern w:val="0"/>
          <w:shd w:val="clear" w:color="auto" w:fill="FFFFFF"/>
        </w:rPr>
      </w:pPr>
      <w:r>
        <w:rPr>
          <w:rFonts w:eastAsia="黑体"/>
          <w:kern w:val="0"/>
          <w:shd w:val="clear" w:color="auto" w:fill="FFFFFF"/>
          <w:lang w:val="zh-CN"/>
        </w:rPr>
        <w:br w:type="page"/>
      </w:r>
      <w:r>
        <w:rPr>
          <w:rFonts w:eastAsia="黑体"/>
          <w:kern w:val="0"/>
          <w:shd w:val="clear" w:color="auto" w:fill="FFFFFF"/>
          <w:lang w:val="zh-CN"/>
        </w:rPr>
        <w:t>附表</w:t>
      </w:r>
      <w:r>
        <w:rPr>
          <w:rFonts w:hint="eastAsia" w:eastAsia="黑体"/>
          <w:kern w:val="0"/>
          <w:shd w:val="clear" w:color="auto" w:fill="FFFFFF"/>
        </w:rPr>
        <w:t>3</w:t>
      </w:r>
    </w:p>
    <w:tbl>
      <w:tblPr>
        <w:tblStyle w:val="10"/>
        <w:tblW w:w="10233" w:type="dxa"/>
        <w:jc w:val="center"/>
        <w:tblLayout w:type="fixed"/>
        <w:tblCellMar>
          <w:top w:w="15" w:type="dxa"/>
          <w:left w:w="15" w:type="dxa"/>
          <w:bottom w:w="15" w:type="dxa"/>
          <w:right w:w="15" w:type="dxa"/>
        </w:tblCellMar>
      </w:tblPr>
      <w:tblGrid>
        <w:gridCol w:w="500"/>
        <w:gridCol w:w="1490"/>
        <w:gridCol w:w="1283"/>
        <w:gridCol w:w="1641"/>
        <w:gridCol w:w="380"/>
        <w:gridCol w:w="1219"/>
        <w:gridCol w:w="381"/>
        <w:gridCol w:w="793"/>
        <w:gridCol w:w="369"/>
        <w:gridCol w:w="326"/>
        <w:gridCol w:w="1851"/>
      </w:tblGrid>
      <w:tr>
        <w:tblPrEx>
          <w:tblCellMar>
            <w:top w:w="15" w:type="dxa"/>
            <w:left w:w="15" w:type="dxa"/>
            <w:bottom w:w="15" w:type="dxa"/>
            <w:right w:w="15" w:type="dxa"/>
          </w:tblCellMar>
        </w:tblPrEx>
        <w:trPr>
          <w:trHeight w:val="576" w:hRule="atLeast"/>
          <w:jc w:val="center"/>
        </w:trPr>
        <w:tc>
          <w:tcPr>
            <w:tcW w:w="10233" w:type="dxa"/>
            <w:gridSpan w:val="11"/>
            <w:noWrap w:val="0"/>
            <w:vAlign w:val="center"/>
          </w:tcPr>
          <w:p>
            <w:pPr>
              <w:keepNext w:val="0"/>
              <w:keepLines w:val="0"/>
              <w:widowControl/>
              <w:suppressLineNumbers w:val="0"/>
              <w:jc w:val="center"/>
              <w:textAlignment w:val="center"/>
              <w:rPr>
                <w:rFonts w:eastAsia="黑体"/>
                <w:color w:val="000000"/>
                <w:sz w:val="30"/>
                <w:szCs w:val="30"/>
              </w:rPr>
            </w:pPr>
            <w:r>
              <w:rPr>
                <w:rFonts w:hint="default" w:ascii="黑体" w:hAnsi="宋体" w:eastAsia="黑体" w:cs="黑体"/>
                <w:b/>
                <w:bCs/>
                <w:i w:val="0"/>
                <w:iCs w:val="0"/>
                <w:color w:val="000000"/>
                <w:kern w:val="0"/>
                <w:sz w:val="30"/>
                <w:szCs w:val="30"/>
                <w:u w:val="none"/>
                <w:lang w:val="en-US" w:eastAsia="zh-CN" w:bidi="ar"/>
              </w:rPr>
              <w:t>部门预算项目支出绩效自评表（2024年度）</w:t>
            </w:r>
          </w:p>
        </w:tc>
      </w:tr>
      <w:tr>
        <w:tblPrEx>
          <w:tblCellMar>
            <w:top w:w="15" w:type="dxa"/>
            <w:left w:w="15" w:type="dxa"/>
            <w:bottom w:w="15" w:type="dxa"/>
            <w:right w:w="15" w:type="dxa"/>
          </w:tblCellMar>
        </w:tblPrEx>
        <w:trPr>
          <w:trHeight w:val="23"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项目名称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51322824T000012050092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黑水县晴朗乡红星村治理滑坡项目</w:t>
            </w:r>
          </w:p>
        </w:tc>
      </w:tr>
      <w:tr>
        <w:trPr>
          <w:trHeight w:val="458"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主管部门</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黑水县晴朗乡</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实施单位 （盖章）</w:t>
            </w:r>
          </w:p>
        </w:tc>
        <w:tc>
          <w:tcPr>
            <w:tcW w:w="254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黑水县晴朗乡人民政府（行政及参公）</w:t>
            </w:r>
          </w:p>
        </w:tc>
      </w:tr>
      <w:tr>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项目基本情况</w:t>
            </w: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黑水县晴朗乡红星村治理滑坡项目，主要建设加固晴朗乡成理桥及周边引道，新建浆砌片石挡土墙：280.65m3，混凝土挡墙：32.4m3。建设费用共计146905.16元，资金来源：成都理工大学捐赠资金。</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已完成。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2.项目实施内容及过程概述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晴朗乡红星村治理滑坡项目，主要建设加固晴朗乡成理桥及周边引道，新建浆砌片石挡土墙：280.65m3，混凝土挡墙：32.4m3。建设费用共计146905.16元。</w:t>
            </w:r>
          </w:p>
        </w:tc>
      </w:tr>
      <w:tr>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预算执行情况（10分）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年度预算数（万元）</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调整后预算数</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预算执行数</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预算执行率</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原因</w:t>
            </w:r>
          </w:p>
        </w:tc>
      </w:tr>
      <w:tr>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总额</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14.69</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14.69</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restart"/>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其中：财政资金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财政专户管理资金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单位资金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14.69</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14.69</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其他资金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绩效指标（90分）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一级指标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三级指标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产出指标</w:t>
            </w:r>
          </w:p>
        </w:tc>
        <w:tc>
          <w:tcPr>
            <w:tcW w:w="128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浆砌片石挡土墙</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280.65</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立方米</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280.65</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混凝土挡墙</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32.4</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立方米</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32.4</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项目（工程</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验收合格率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608" w:hRule="atLeast"/>
          <w:jc w:val="center"/>
        </w:trPr>
        <w:tc>
          <w:tcPr>
            <w:tcW w:w="50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eastAsia="宋体"/>
                <w:color w:val="000000"/>
                <w:sz w:val="24"/>
                <w:szCs w:val="24"/>
              </w:rPr>
            </w:pPr>
          </w:p>
        </w:tc>
        <w:tc>
          <w:tcPr>
            <w:tcW w:w="1283"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时效指标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项目（工程</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开工率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效益指标</w:t>
            </w:r>
          </w:p>
        </w:tc>
        <w:tc>
          <w:tcPr>
            <w:tcW w:w="1283"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经济效益指标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带动周边群众务工</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rPr>
            </w:pPr>
            <w:r>
              <w:rPr>
                <w:rFonts w:ascii="宋体" w:hAnsi="宋体" w:eastAsia="宋体" w:cs="宋体"/>
                <w:i w:val="0"/>
                <w:iCs w:val="0"/>
                <w:color w:val="000000"/>
                <w:kern w:val="0"/>
                <w:sz w:val="18"/>
                <w:szCs w:val="18"/>
                <w:u w:val="none"/>
                <w:lang w:val="en-US" w:eastAsia="zh-CN" w:bidi="ar"/>
              </w:rPr>
              <w:t>20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人次</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20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rPr>
            </w:pPr>
          </w:p>
        </w:tc>
      </w:tr>
      <w:tr>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283" w:type="dxa"/>
            <w:tcBorders>
              <w:top w:val="single" w:color="000000" w:sz="4" w:space="0"/>
              <w:left w:val="single" w:color="auto"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可持续影响指标</w:t>
            </w:r>
          </w:p>
        </w:tc>
        <w:tc>
          <w:tcPr>
            <w:tcW w:w="16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工程设计使用年限</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3</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年</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r>
      <w:tr>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vMerge w:val="restart"/>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283" w:type="dxa"/>
            <w:vMerge w:val="restart"/>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受益贫困人口满意度</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478"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right w:val="single" w:color="auto"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c>
          <w:tcPr>
            <w:tcW w:w="1283" w:type="dxa"/>
            <w:vMerge w:val="continue"/>
            <w:tcBorders>
              <w:left w:val="single" w:color="auto" w:sz="4" w:space="0"/>
              <w:right w:val="single" w:color="auto" w:sz="4" w:space="0"/>
            </w:tcBorders>
            <w:noWrap w:val="0"/>
            <w:vAlign w:val="center"/>
          </w:tcPr>
          <w:p>
            <w:pPr>
              <w:jc w:val="center"/>
            </w:pP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受益群众满意度</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6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left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restart"/>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成本指标</w:t>
            </w:r>
          </w:p>
        </w:tc>
        <w:tc>
          <w:tcPr>
            <w:tcW w:w="1283" w:type="dxa"/>
            <w:vMerge w:val="restart"/>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混凝土挡墙每立方米单价</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507</w:t>
            </w:r>
          </w:p>
        </w:tc>
        <w:tc>
          <w:tcPr>
            <w:tcW w:w="38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w:t>
            </w:r>
          </w:p>
        </w:tc>
        <w:tc>
          <w:tcPr>
            <w:tcW w:w="79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507</w:t>
            </w:r>
          </w:p>
        </w:tc>
        <w:tc>
          <w:tcPr>
            <w:tcW w:w="36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left w:val="single" w:color="auto" w:sz="4" w:space="0"/>
              <w:bottom w:val="single" w:color="auto" w:sz="4" w:space="0"/>
              <w:right w:val="single" w:color="auto" w:sz="4" w:space="0"/>
            </w:tcBorders>
            <w:noWrap w:val="0"/>
            <w:vAlign w:val="center"/>
          </w:tcPr>
          <w:p>
            <w:pPr>
              <w:jc w:val="center"/>
            </w:pPr>
          </w:p>
        </w:tc>
      </w:tr>
      <w:tr>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c>
          <w:tcPr>
            <w:tcW w:w="1283"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pPr>
          </w:p>
        </w:tc>
        <w:tc>
          <w:tcPr>
            <w:tcW w:w="16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浆砌片石挡土墙每立方米单价</w:t>
            </w:r>
          </w:p>
        </w:tc>
        <w:tc>
          <w:tcPr>
            <w:tcW w:w="3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434</w:t>
            </w:r>
          </w:p>
        </w:tc>
        <w:tc>
          <w:tcPr>
            <w:tcW w:w="3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w:t>
            </w:r>
          </w:p>
        </w:tc>
        <w:tc>
          <w:tcPr>
            <w:tcW w:w="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434</w:t>
            </w:r>
          </w:p>
        </w:tc>
        <w:tc>
          <w:tcPr>
            <w:tcW w:w="3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auto" w:sz="4" w:space="0"/>
              <w:left w:val="single" w:color="auto" w:sz="4" w:space="0"/>
              <w:bottom w:val="single" w:color="auto" w:sz="4" w:space="0"/>
              <w:right w:val="single" w:color="auto" w:sz="4" w:space="0"/>
            </w:tcBorders>
            <w:noWrap w:val="0"/>
            <w:vAlign w:val="center"/>
          </w:tcPr>
          <w:p>
            <w:pPr>
              <w:jc w:val="center"/>
            </w:pPr>
          </w:p>
        </w:tc>
      </w:tr>
      <w:tr>
        <w:trPr>
          <w:trHeight w:val="23" w:hRule="atLeast"/>
          <w:jc w:val="center"/>
        </w:trPr>
        <w:tc>
          <w:tcPr>
            <w:tcW w:w="7687" w:type="dxa"/>
            <w:gridSpan w:val="8"/>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合计</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tc>
      </w:tr>
    </w:tbl>
    <w:p>
      <w:r>
        <w:br w:type="page"/>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黑水县晴朗乡人民政府</w:t>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zh-CN"/>
        </w:rPr>
        <w:t>晴朗乡2024年黑水县晴朗乡代管资金项目</w:t>
      </w:r>
      <w:r>
        <w:rPr>
          <w:rFonts w:hint="eastAsia" w:ascii="方正小标宋_GBK" w:hAnsi="方正小标宋_GBK" w:eastAsia="方正小标宋_GBK" w:cs="方正小标宋_GBK"/>
          <w:sz w:val="44"/>
          <w:szCs w:val="44"/>
        </w:rPr>
        <w:t>专项预算绩效自评报告</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p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（一）设立背景及基本情况。</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黑水县晴朗乡代管资金，晴朗乡沙窝村安全饮水巩固提升项目于2023年6月完成竣工验收并审计完毕。截至2024年8月20日已到项目质保期，经现场查看未出现质量问题，经乡村两级同意并按照合同要求拨付质量保修金20282.55元。</w:t>
      </w:r>
      <w:r>
        <w:rPr>
          <w:rFonts w:hint="eastAsia" w:ascii="仿宋_GB2312" w:hAnsi="仿宋_GB2312" w:eastAsia="仿宋_GB2312" w:cs="仿宋_GB2312"/>
          <w:sz w:val="32"/>
          <w:szCs w:val="32"/>
          <w:lang w:val="en-US" w:eastAsia="zh-CN"/>
        </w:rPr>
        <w:t>晴朗乡人民政府</w:t>
      </w:r>
      <w:r>
        <w:rPr>
          <w:rFonts w:hint="eastAsia" w:ascii="仿宋_GB2312" w:hAnsi="仿宋_GB2312" w:eastAsia="仿宋_GB2312" w:cs="仿宋_GB2312"/>
          <w:sz w:val="32"/>
          <w:szCs w:val="32"/>
        </w:rPr>
        <w:t>承担专项资金绩效管理的主体责任，主要负责</w:t>
      </w:r>
      <w:r>
        <w:rPr>
          <w:rFonts w:hint="eastAsia" w:ascii="仿宋_GB2312" w:hAnsi="仿宋_GB2312" w:eastAsia="仿宋_GB2312" w:cs="仿宋_GB2312"/>
          <w:sz w:val="32"/>
          <w:szCs w:val="32"/>
          <w:lang w:val="en-US" w:eastAsia="zh-CN"/>
        </w:rPr>
        <w:t>根据文件要求执行</w:t>
      </w:r>
      <w:r>
        <w:rPr>
          <w:rFonts w:hint="eastAsia" w:ascii="仿宋_GB2312" w:hAnsi="仿宋_GB2312" w:eastAsia="仿宋_GB2312" w:cs="仿宋_GB2312"/>
          <w:sz w:val="32"/>
          <w:szCs w:val="32"/>
        </w:rPr>
        <w:t>专项资金分配方案，制定项目管理制度，组织项目评审和实施，开展项目验收、绩效评价和监督检查等工作。</w:t>
      </w:r>
    </w:p>
    <w:p>
      <w:pPr>
        <w:spacing w:line="560" w:lineRule="exact"/>
        <w:ind w:firstLine="642" w:firstLineChars="200"/>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（二）</w:t>
      </w:r>
      <w:r>
        <w:rPr>
          <w:rFonts w:hint="eastAsia" w:ascii="方正楷体_GBK" w:hAnsi="方正楷体_GBK" w:eastAsia="方正楷体_GBK" w:cs="方正楷体_GBK"/>
          <w:b/>
          <w:sz w:val="32"/>
          <w:szCs w:val="32"/>
        </w:rPr>
        <w:t>实施目的及支持方向。</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黑水县晴朗乡代管资金，晴朗乡沙窝村安全饮水巩固提升项目于2023年6月完成竣工验收并审计完毕。截至2024年8月20日已到项目质保期，经现场查看未出现质量问题，经乡村两级同意并按照合同要求拨付质量保修金20282.55元。</w:t>
      </w:r>
    </w:p>
    <w:p>
      <w:pPr>
        <w:numPr>
          <w:ilvl w:val="0"/>
          <w:numId w:val="0"/>
        </w:num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（三）</w:t>
      </w:r>
      <w:r>
        <w:rPr>
          <w:rFonts w:hint="eastAsia" w:ascii="方正楷体_GBK" w:hAnsi="方正楷体_GBK" w:eastAsia="方正楷体_GBK" w:cs="方正楷体_GBK"/>
          <w:b/>
          <w:sz w:val="32"/>
          <w:szCs w:val="32"/>
        </w:rPr>
        <w:t>预算安排及分配管理</w:t>
      </w:r>
      <w:r>
        <w:rPr>
          <w:rFonts w:hint="eastAsia" w:ascii="方正楷体_GBK" w:hAnsi="方正楷体_GBK" w:eastAsia="方正楷体_GBK" w:cs="方正楷体_GBK"/>
          <w:b/>
          <w:sz w:val="32"/>
          <w:szCs w:val="32"/>
          <w:lang w:val="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预算申报项目资金为2.03万元，批复金额为2.03万元，实际使用金额2.03万元，项目资金符合资金管理办法等相关规定。资金按批复金额在项目实施前全部到位，与资金计划相契合，资金到位率、到位及时性均为100%，保障项目能够如期开展。资金由乡政府监管，各村结合实际报销。</w:t>
      </w:r>
    </w:p>
    <w:p>
      <w:pPr>
        <w:keepNext w:val="0"/>
        <w:keepLines w:val="0"/>
        <w:pageBreakBefore w:val="0"/>
        <w:numPr>
          <w:ilvl w:val="0"/>
          <w:numId w:val="1"/>
        </w:numPr>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项目绩效目标设置。</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保障工作经费及时到位，</w:t>
      </w:r>
      <w:r>
        <w:rPr>
          <w:rFonts w:hint="eastAsia" w:ascii="仿宋_GB2312" w:hAnsi="仿宋_GB2312" w:eastAsia="仿宋_GB2312" w:cs="仿宋_GB2312"/>
          <w:sz w:val="32"/>
          <w:szCs w:val="32"/>
          <w:lang w:val="zh-CN" w:eastAsia="zh-CN"/>
        </w:rPr>
        <w:t>保障</w:t>
      </w:r>
      <w:r>
        <w:rPr>
          <w:rFonts w:hint="eastAsia" w:ascii="仿宋_GB2312" w:hAnsi="仿宋_GB2312" w:eastAsia="仿宋_GB2312" w:cs="仿宋_GB2312"/>
          <w:sz w:val="32"/>
          <w:szCs w:val="32"/>
          <w:lang w:val="en-US" w:eastAsia="zh-CN"/>
        </w:rPr>
        <w:t>晴朗</w:t>
      </w:r>
      <w:r>
        <w:rPr>
          <w:rFonts w:hint="eastAsia" w:ascii="仿宋_GB2312" w:hAnsi="仿宋_GB2312" w:eastAsia="仿宋_GB2312" w:cs="仿宋_GB2312"/>
          <w:sz w:val="32"/>
          <w:szCs w:val="32"/>
          <w:lang w:val="zh-CN" w:eastAsia="zh-CN"/>
        </w:rPr>
        <w:t>乡</w:t>
      </w:r>
      <w:r>
        <w:rPr>
          <w:rFonts w:hint="eastAsia" w:ascii="仿宋_GB2312" w:hAnsi="仿宋_GB2312" w:eastAsia="仿宋_GB2312" w:cs="仿宋_GB2312"/>
          <w:sz w:val="32"/>
          <w:szCs w:val="32"/>
          <w:lang w:val="en-US" w:eastAsia="zh-CN"/>
        </w:rPr>
        <w:t>工作高效运行</w:t>
      </w:r>
      <w:r>
        <w:rPr>
          <w:rFonts w:hint="eastAsia" w:ascii="仿宋_GB2312" w:hAnsi="仿宋_GB2312" w:eastAsia="仿宋_GB2312" w:cs="仿宋_GB2312"/>
          <w:sz w:val="32"/>
          <w:szCs w:val="32"/>
          <w:lang w:val="zh-CN" w:eastAsia="zh-CN"/>
        </w:rPr>
        <w:t>，充分发挥职工履职积极性，确保工作</w:t>
      </w:r>
      <w:r>
        <w:rPr>
          <w:rFonts w:hint="eastAsia" w:ascii="仿宋_GB2312" w:hAnsi="仿宋_GB2312" w:eastAsia="仿宋_GB2312" w:cs="仿宋_GB2312"/>
          <w:sz w:val="32"/>
          <w:szCs w:val="32"/>
          <w:lang w:val="en-US" w:eastAsia="zh-CN"/>
        </w:rPr>
        <w:t>成效</w:t>
      </w:r>
      <w:r>
        <w:rPr>
          <w:rFonts w:hint="eastAsia" w:ascii="仿宋_GB2312" w:hAnsi="仿宋_GB2312" w:eastAsia="仿宋_GB2312" w:cs="仿宋_GB2312"/>
          <w:sz w:val="32"/>
          <w:szCs w:val="32"/>
          <w:lang w:val="zh-CN" w:eastAsia="zh-CN"/>
        </w:rPr>
        <w:t>不断提升。</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二、评价实施</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（一）评价目的。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对预算资金的投入、过程、产出、效果四个方面进行绩效评价，反映项目规范性、绩效目标设立的合理性和科学性、资金到位、支出情况，形成真实完整数据准确、分析透彻、逻辑清晰、客观公正的绩效评价结论为项目后续资金投入、分配和管理提供决策依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同时作为以后年度晴朗乡编制预算和安排财政项目资金的重要依据逐步树立以结果为导向、讲求绩效的观念。</w:t>
      </w:r>
    </w:p>
    <w:p>
      <w:pPr>
        <w:pStyle w:val="2"/>
        <w:keepNext w:val="0"/>
        <w:keepLines w:val="0"/>
        <w:pageBreakBefore w:val="0"/>
        <w:kinsoku/>
        <w:wordWrap/>
        <w:overflowPunct/>
        <w:topLinePunct w:val="0"/>
        <w:bidi w:val="0"/>
        <w:spacing w:line="560" w:lineRule="exact"/>
        <w:ind w:left="0" w:leftChars="0"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（二）预设问题及评价重点。</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本次评价主要针对该项目的规划编制的内容完整性和项目实施工作的质量问题，结合该项目资金的使用情况来完整</w:t>
      </w:r>
      <w:r>
        <w:rPr>
          <w:rFonts w:hint="eastAsia" w:ascii="仿宋_GB2312" w:hAnsi="仿宋_GB2312" w:eastAsia="仿宋_GB2312" w:cs="仿宋_GB2312"/>
          <w:sz w:val="32"/>
          <w:szCs w:val="32"/>
          <w:lang w:eastAsia="zh-CN"/>
        </w:rPr>
        <w:t>地</w:t>
      </w:r>
      <w:r>
        <w:rPr>
          <w:rFonts w:hint="eastAsia" w:ascii="仿宋_GB2312" w:hAnsi="仿宋_GB2312" w:eastAsia="仿宋_GB2312" w:cs="仿宋_GB2312"/>
          <w:sz w:val="32"/>
          <w:szCs w:val="32"/>
        </w:rPr>
        <w:t>体现。</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仿宋_GB2312" w:hAnsi="仿宋_GB2312" w:eastAsia="仿宋_GB2312" w:cs="仿宋_GB2312"/>
          <w:b/>
          <w:sz w:val="32"/>
          <w:szCs w:val="32"/>
          <w:lang w:val="zh-CN"/>
        </w:rPr>
      </w:pPr>
      <w:r>
        <w:rPr>
          <w:rFonts w:hint="eastAsia" w:ascii="方正楷体_GBK" w:hAnsi="方正楷体_GBK" w:eastAsia="方正楷体_GBK" w:cs="方正楷体_GBK"/>
          <w:b/>
          <w:sz w:val="32"/>
          <w:szCs w:val="32"/>
          <w:lang w:val="zh-CN"/>
        </w:rPr>
        <w:t>（三）评价选点。</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晴朗乡2024年</w:t>
      </w:r>
      <w:r>
        <w:rPr>
          <w:rFonts w:hint="eastAsia" w:ascii="仿宋_GB2312" w:hAnsi="仿宋_GB2312" w:eastAsia="仿宋_GB2312" w:cs="仿宋_GB2312"/>
          <w:sz w:val="32"/>
          <w:szCs w:val="32"/>
          <w:lang w:eastAsia="zh-CN"/>
        </w:rPr>
        <w:t>黑水县晴朗乡代管资金</w:t>
      </w:r>
      <w:r>
        <w:rPr>
          <w:rFonts w:hint="eastAsia" w:ascii="仿宋_GB2312" w:hAnsi="仿宋_GB2312" w:eastAsia="仿宋_GB2312" w:cs="仿宋_GB2312"/>
          <w:sz w:val="32"/>
          <w:szCs w:val="32"/>
        </w:rPr>
        <w:t>项目主要开展地点为</w:t>
      </w:r>
      <w:r>
        <w:rPr>
          <w:rFonts w:hint="eastAsia" w:ascii="仿宋_GB2312" w:hAnsi="仿宋_GB2312" w:eastAsia="仿宋_GB2312" w:cs="仿宋_GB2312"/>
          <w:sz w:val="32"/>
          <w:szCs w:val="32"/>
          <w:lang w:eastAsia="zh-CN"/>
        </w:rPr>
        <w:t>黑水</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val="en-US" w:eastAsia="zh-CN"/>
        </w:rPr>
        <w:t>晴朗乡</w:t>
      </w:r>
      <w:r>
        <w:rPr>
          <w:rFonts w:hint="eastAsia" w:ascii="仿宋_GB2312" w:hAnsi="仿宋_GB2312" w:eastAsia="仿宋_GB2312" w:cs="仿宋_GB2312"/>
          <w:sz w:val="32"/>
          <w:szCs w:val="32"/>
        </w:rPr>
        <w:t>，本次绩效评价主体为</w:t>
      </w:r>
      <w:r>
        <w:rPr>
          <w:rFonts w:hint="eastAsia" w:ascii="仿宋_GB2312" w:hAnsi="仿宋_GB2312" w:eastAsia="仿宋_GB2312" w:cs="仿宋_GB2312"/>
          <w:sz w:val="32"/>
          <w:szCs w:val="32"/>
          <w:lang w:val="en-US" w:eastAsia="zh-CN"/>
        </w:rPr>
        <w:t>黑水县晴朗乡人民政府</w:t>
      </w:r>
      <w:r>
        <w:rPr>
          <w:rFonts w:hint="eastAsia" w:ascii="仿宋_GB2312" w:hAnsi="仿宋_GB2312" w:eastAsia="仿宋_GB2312" w:cs="仿宋_GB2312"/>
          <w:sz w:val="32"/>
          <w:szCs w:val="32"/>
        </w:rPr>
        <w:t>，项目不</w:t>
      </w:r>
      <w:r>
        <w:rPr>
          <w:rFonts w:hint="eastAsia" w:ascii="仿宋_GB2312" w:hAnsi="仿宋_GB2312" w:eastAsia="仿宋_GB2312" w:cs="仿宋_GB2312"/>
          <w:sz w:val="32"/>
          <w:szCs w:val="32"/>
          <w:lang w:eastAsia="zh-CN"/>
        </w:rPr>
        <w:t>涉及其他单位</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（四）</w:t>
      </w:r>
      <w:r>
        <w:rPr>
          <w:rFonts w:hint="eastAsia" w:ascii="方正楷体_GBK" w:hAnsi="方正楷体_GBK" w:eastAsia="方正楷体_GBK" w:cs="方正楷体_GBK"/>
          <w:b/>
          <w:sz w:val="32"/>
          <w:szCs w:val="32"/>
          <w:lang w:val="zh-CN"/>
        </w:rPr>
        <w:t>评价方法。</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采用先进的绩效评价方法和科学的数据分析是取得正确客观评价结论的重要保障，结合</w:t>
      </w:r>
      <w:r>
        <w:rPr>
          <w:rFonts w:hint="eastAsia" w:ascii="仿宋_GB2312" w:hAnsi="仿宋_GB2312" w:eastAsia="仿宋_GB2312" w:cs="仿宋_GB2312"/>
          <w:sz w:val="32"/>
          <w:szCs w:val="32"/>
          <w:lang w:val="en-US" w:eastAsia="zh-CN"/>
        </w:rPr>
        <w:t>晴朗乡2024年黑水县晴朗乡代管资金经费专项工作经费项目</w:t>
      </w:r>
      <w:r>
        <w:rPr>
          <w:rFonts w:hint="eastAsia" w:ascii="仿宋_GB2312" w:hAnsi="仿宋_GB2312" w:eastAsia="仿宋_GB2312" w:cs="仿宋_GB2312"/>
          <w:sz w:val="32"/>
          <w:szCs w:val="32"/>
        </w:rPr>
        <w:t>的特点，经与</w:t>
      </w:r>
      <w:r>
        <w:rPr>
          <w:rFonts w:hint="eastAsia" w:ascii="仿宋_GB2312" w:hAnsi="仿宋_GB2312" w:eastAsia="仿宋_GB2312" w:cs="仿宋_GB2312"/>
          <w:sz w:val="32"/>
          <w:szCs w:val="32"/>
          <w:lang w:val="zh-CN"/>
        </w:rPr>
        <w:t>评价组织</w:t>
      </w:r>
      <w:r>
        <w:rPr>
          <w:rFonts w:hint="eastAsia" w:ascii="仿宋_GB2312" w:hAnsi="仿宋_GB2312" w:eastAsia="仿宋_GB2312" w:cs="仿宋_GB2312"/>
          <w:sz w:val="32"/>
          <w:szCs w:val="32"/>
        </w:rPr>
        <w:t>沟通后采取以下绩效评价方法：</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1.公众评判法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晴朗乡2024年黑水县晴朗乡代管资金经费</w:t>
      </w:r>
      <w:r>
        <w:rPr>
          <w:rFonts w:hint="eastAsia" w:ascii="仿宋_GB2312" w:hAnsi="仿宋_GB2312" w:eastAsia="仿宋_GB2312" w:cs="仿宋_GB2312"/>
          <w:sz w:val="32"/>
          <w:szCs w:val="32"/>
          <w:lang w:val="zh-CN" w:eastAsia="zh-CN"/>
        </w:rPr>
        <w:t>具有较为清晰的服务群体，且该项目绩效状况的优劣，很大程度上体现在</w:t>
      </w:r>
      <w:r>
        <w:rPr>
          <w:rFonts w:hint="eastAsia" w:ascii="仿宋_GB2312" w:hAnsi="仿宋_GB2312" w:eastAsia="仿宋_GB2312" w:cs="仿宋_GB2312"/>
          <w:sz w:val="32"/>
          <w:szCs w:val="32"/>
          <w:lang w:val="en-US" w:eastAsia="zh-CN"/>
        </w:rPr>
        <w:t>晴朗乡2024年黑水县晴朗乡代管资金经费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晴朗乡2024年黑水县晴朗乡代管资金经费</w:t>
      </w:r>
      <w:r>
        <w:rPr>
          <w:rFonts w:hint="eastAsia" w:ascii="仿宋_GB2312" w:hAnsi="仿宋_GB2312" w:eastAsia="仿宋_GB2312" w:cs="仿宋_GB2312"/>
          <w:sz w:val="32"/>
          <w:szCs w:val="32"/>
          <w:lang w:val="zh-CN" w:eastAsia="zh-CN"/>
        </w:rPr>
        <w:t>覆盖率。为此，与该项目评价的具体指标相对应，按照一定比例，以电</w:t>
      </w:r>
      <w:r>
        <w:rPr>
          <w:rFonts w:hint="eastAsia" w:ascii="仿宋_GB2312" w:hAnsi="仿宋_GB2312" w:eastAsia="仿宋_GB2312" w:cs="仿宋_GB2312"/>
          <w:sz w:val="32"/>
          <w:szCs w:val="32"/>
          <w:lang w:val="en-US" w:eastAsia="zh-CN"/>
        </w:rPr>
        <w:t>话</w:t>
      </w:r>
      <w:r>
        <w:rPr>
          <w:rFonts w:hint="eastAsia" w:ascii="仿宋_GB2312" w:hAnsi="仿宋_GB2312" w:eastAsia="仿宋_GB2312" w:cs="仿宋_GB2312"/>
          <w:sz w:val="32"/>
          <w:szCs w:val="32"/>
          <w:lang w:val="zh-CN" w:eastAsia="zh-CN"/>
        </w:rPr>
        <w:t>询问等方式进行调查，收集、分析所取得的样本数据，从而推断确定目标群体的满意度，进而评价满意度指标。</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2.成本效益分析法</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zh-CN" w:eastAsia="zh-CN"/>
        </w:rPr>
        <w:t>本项目将资金投入与</w:t>
      </w:r>
      <w:r>
        <w:rPr>
          <w:rFonts w:hint="eastAsia" w:ascii="仿宋_GB2312" w:hAnsi="仿宋_GB2312" w:eastAsia="仿宋_GB2312" w:cs="仿宋_GB2312"/>
          <w:sz w:val="32"/>
          <w:szCs w:val="32"/>
          <w:lang w:val="en-US" w:eastAsia="zh-CN"/>
        </w:rPr>
        <w:t>晴朗乡2024年黑水县晴朗乡代管资金经费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晴朗乡2024年黑水县晴朗乡代管资金经费</w:t>
      </w:r>
      <w:r>
        <w:rPr>
          <w:rFonts w:hint="eastAsia" w:ascii="仿宋_GB2312" w:hAnsi="仿宋_GB2312" w:eastAsia="仿宋_GB2312" w:cs="仿宋_GB2312"/>
          <w:sz w:val="32"/>
          <w:szCs w:val="32"/>
          <w:lang w:val="zh-CN" w:eastAsia="zh-CN"/>
        </w:rPr>
        <w:t>覆盖率、补助标准等进行关联性分析。</w:t>
      </w:r>
    </w:p>
    <w:p>
      <w:pPr>
        <w:pStyle w:val="4"/>
        <w:keepNext w:val="0"/>
        <w:keepLines w:val="0"/>
        <w:pageBreakBefore w:val="0"/>
        <w:kinsoku/>
        <w:wordWrap/>
        <w:overflowPunct/>
        <w:topLinePunct w:val="0"/>
        <w:bidi w:val="0"/>
        <w:spacing w:line="560" w:lineRule="exact"/>
        <w:ind w:firstLine="600"/>
        <w:textAlignment w:val="auto"/>
        <w:rPr>
          <w:rFonts w:hint="eastAsia" w:ascii="方正楷体_GBK" w:hAnsi="方正楷体_GBK" w:eastAsia="方正楷体_GBK" w:cs="方正楷体_GBK"/>
          <w:b/>
          <w:bCs w:val="0"/>
          <w:sz w:val="32"/>
          <w:szCs w:val="32"/>
        </w:rPr>
      </w:pPr>
      <w:r>
        <w:rPr>
          <w:rFonts w:hint="eastAsia" w:ascii="方正楷体_GBK" w:hAnsi="方正楷体_GBK" w:eastAsia="方正楷体_GBK" w:cs="方正楷体_GBK"/>
          <w:b/>
          <w:bCs w:val="0"/>
          <w:sz w:val="32"/>
          <w:szCs w:val="32"/>
          <w:lang w:val="zh-CN"/>
        </w:rPr>
        <w:t>（五）评价组织。</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1.领导小组职责：</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（1）研究和决定单位管理绩效评价中的重大问题。</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（2）组织协调绩效评价工作，确保评价的顺利进行。</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（3）对工作目标、绩效考核结果和等次、奖惩方案进行审核，并报乡党委和政府审定。</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2.办公室职责：</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（1）提出政府绩效评价的工作方案，并负责具体组织实施。</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（2）综合评价信息，提出评价结果等次认定方案及奖惩方案等。</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（3）负责绩效评价的日常工作，包括宣传、沟通、协调等。</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（4）根据评价结果撰写绩效评价报告，并递交给领导小组。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3.具体执行人员职责：</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（1）组长：审批绩效自评方案，监督、检查、核实绩效自评结果。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三、绩效分析</w:t>
      </w:r>
      <w:r>
        <w:rPr>
          <w:rFonts w:hint="eastAsia" w:ascii="黑体" w:hAnsi="黑体" w:eastAsia="黑体" w:cs="黑体"/>
          <w:sz w:val="32"/>
          <w:szCs w:val="32"/>
          <w:lang w:val="zh-CN"/>
        </w:rPr>
        <w:tab/>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根据项目预算绩效评价指标体系“通用指标”“专用指标”“个性指标”涉及二、三级指标进行逐项绩效分析并评分</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60" w:lineRule="exact"/>
        <w:ind w:firstLine="640"/>
        <w:textAlignment w:val="auto"/>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（一）</w:t>
      </w:r>
      <w:r>
        <w:rPr>
          <w:rFonts w:hint="eastAsia" w:ascii="方正楷体_GBK" w:hAnsi="方正楷体_GBK" w:eastAsia="方正楷体_GBK" w:cs="方正楷体_GBK"/>
          <w:b/>
          <w:sz w:val="32"/>
          <w:szCs w:val="32"/>
        </w:rPr>
        <w:t>通用指标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项目决策。</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rPr>
        <w:t>项目决策程序严密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村干部</w:t>
      </w:r>
      <w:r>
        <w:rPr>
          <w:rFonts w:hint="eastAsia" w:ascii="仿宋_GB2312" w:hAnsi="仿宋_GB2312" w:eastAsia="仿宋_GB2312" w:cs="仿宋_GB2312"/>
          <w:sz w:val="32"/>
          <w:szCs w:val="32"/>
          <w:lang w:val="en-US" w:eastAsia="zh-CN"/>
        </w:rPr>
        <w:t>体检费</w:t>
      </w:r>
      <w:r>
        <w:rPr>
          <w:rFonts w:hint="eastAsia" w:ascii="仿宋_GB2312" w:hAnsi="仿宋_GB2312" w:eastAsia="仿宋_GB2312" w:cs="仿宋_GB2312"/>
          <w:sz w:val="32"/>
          <w:szCs w:val="32"/>
          <w:lang w:val="zh-CN"/>
        </w:rPr>
        <w:t>项目设立、调整延续等方面符合资金管理基本规范和决策程序要求；项目规划符合中央、省委、省政府有关决策部署安排；项目总体绩效目标设置合理，绩效目标科学合理、规范完整、量化细化、预算匹配；</w:t>
      </w:r>
      <w:r>
        <w:rPr>
          <w:rFonts w:hint="eastAsia" w:ascii="仿宋_GB2312" w:hAnsi="仿宋_GB2312" w:eastAsia="仿宋_GB2312" w:cs="仿宋_GB2312"/>
          <w:sz w:val="32"/>
          <w:szCs w:val="32"/>
        </w:rPr>
        <w:t>该项目</w:t>
      </w:r>
      <w:r>
        <w:rPr>
          <w:rFonts w:hint="eastAsia" w:ascii="仿宋_GB2312" w:hAnsi="仿宋_GB2312" w:eastAsia="仿宋_GB2312" w:cs="仿宋_GB2312"/>
          <w:sz w:val="32"/>
          <w:szCs w:val="32"/>
          <w:lang w:val="zh-CN"/>
        </w:rPr>
        <w:t>属于政府支持范围，且符合财政事权支出责任划分规定，资金投向与项目总体规划、相关行业事业发展相匹配；聚焦重大任务、重点领域、重点环节和重点项目，体现“集中力量办大事”原则；</w:t>
      </w:r>
      <w:r>
        <w:rPr>
          <w:rFonts w:hint="eastAsia" w:ascii="仿宋_GB2312" w:hAnsi="仿宋_GB2312" w:eastAsia="仿宋_GB2312" w:cs="仿宋_GB2312"/>
          <w:sz w:val="32"/>
          <w:szCs w:val="32"/>
        </w:rPr>
        <w:t>该项目</w:t>
      </w:r>
      <w:r>
        <w:rPr>
          <w:rFonts w:hint="eastAsia" w:ascii="仿宋_GB2312" w:hAnsi="仿宋_GB2312" w:eastAsia="仿宋_GB2312" w:cs="仿宋_GB2312"/>
          <w:sz w:val="32"/>
          <w:szCs w:val="32"/>
          <w:lang w:val="zh-CN"/>
        </w:rPr>
        <w:t>未与其他同类项目或部门内部相关项目交叉重复。共计</w:t>
      </w:r>
      <w:r>
        <w:rPr>
          <w:rFonts w:hint="eastAsia" w:ascii="仿宋_GB2312" w:hAnsi="仿宋_GB2312" w:eastAsia="仿宋_GB2312" w:cs="仿宋_GB2312"/>
          <w:sz w:val="32"/>
          <w:szCs w:val="32"/>
        </w:rPr>
        <w:t>得分18分。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项目管理。</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rPr>
        <w:t>资金管理办法等管理制度体系健全完善，不存在管理制度缺失、管理办法过期情况；项目资金分配因素选取、权重设置、区域分布，项目管理、审批符合管理要求；管资金</w:t>
      </w:r>
      <w:r>
        <w:rPr>
          <w:rFonts w:hint="eastAsia" w:ascii="仿宋_GB2312" w:hAnsi="仿宋_GB2312" w:eastAsia="仿宋_GB2312" w:cs="仿宋_GB2312"/>
          <w:sz w:val="32"/>
          <w:szCs w:val="32"/>
          <w:lang w:eastAsia="zh-CN"/>
        </w:rPr>
        <w:t>、管</w:t>
      </w:r>
      <w:r>
        <w:rPr>
          <w:rFonts w:hint="eastAsia" w:ascii="仿宋_GB2312" w:hAnsi="仿宋_GB2312" w:eastAsia="仿宋_GB2312" w:cs="仿宋_GB2312"/>
          <w:sz w:val="32"/>
          <w:szCs w:val="32"/>
        </w:rPr>
        <w:t>项目、政策管绩效，项目绩效监管按要求开展，指导有力有效。</w:t>
      </w:r>
      <w:r>
        <w:rPr>
          <w:rFonts w:hint="eastAsia" w:ascii="仿宋_GB2312" w:hAnsi="仿宋_GB2312" w:eastAsia="仿宋_GB2312" w:cs="仿宋_GB2312"/>
          <w:sz w:val="32"/>
          <w:szCs w:val="32"/>
          <w:lang w:val="zh-CN"/>
        </w:rPr>
        <w:t>共计</w:t>
      </w:r>
      <w:r>
        <w:rPr>
          <w:rFonts w:hint="eastAsia" w:ascii="仿宋_GB2312" w:hAnsi="仿宋_GB2312" w:eastAsia="仿宋_GB2312" w:cs="仿宋_GB2312"/>
          <w:sz w:val="32"/>
          <w:szCs w:val="32"/>
        </w:rPr>
        <w:t>得分18分。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项目实施。</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rPr>
        <w:t>项目资金财政拨付、单位执行和地方配套到位；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_GB2312" w:hAnsi="仿宋_GB2312" w:eastAsia="仿宋_GB2312" w:cs="仿宋_GB2312"/>
          <w:sz w:val="32"/>
          <w:szCs w:val="32"/>
          <w:lang w:val="zh-CN"/>
        </w:rPr>
        <w:t>共计</w:t>
      </w:r>
      <w:r>
        <w:rPr>
          <w:rFonts w:hint="eastAsia" w:ascii="仿宋_GB2312" w:hAnsi="仿宋_GB2312" w:eastAsia="仿宋_GB2312" w:cs="仿宋_GB2312"/>
          <w:sz w:val="32"/>
          <w:szCs w:val="32"/>
        </w:rPr>
        <w:t>得分9分。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项目结果。</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rPr>
        <w:t>项目完成预期目标，实施结果与绩效目标相匹配，反映目标实现100%；项目实际完成时间按计划时间完成。</w:t>
      </w:r>
      <w:r>
        <w:rPr>
          <w:rFonts w:hint="eastAsia" w:ascii="仿宋_GB2312" w:hAnsi="仿宋_GB2312" w:eastAsia="仿宋_GB2312" w:cs="仿宋_GB2312"/>
          <w:sz w:val="32"/>
          <w:szCs w:val="32"/>
          <w:lang w:val="zh-CN"/>
        </w:rPr>
        <w:t>共计</w:t>
      </w:r>
      <w:r>
        <w:rPr>
          <w:rFonts w:hint="eastAsia" w:ascii="仿宋_GB2312" w:hAnsi="仿宋_GB2312" w:eastAsia="仿宋_GB2312" w:cs="仿宋_GB2312"/>
          <w:sz w:val="32"/>
          <w:szCs w:val="32"/>
        </w:rPr>
        <w:t>得分9分。</w:t>
      </w:r>
    </w:p>
    <w:p>
      <w:pPr>
        <w:keepNext w:val="0"/>
        <w:keepLines w:val="0"/>
        <w:pageBreakBefore w:val="0"/>
        <w:numPr>
          <w:ilvl w:val="0"/>
          <w:numId w:val="0"/>
        </w:numPr>
        <w:kinsoku/>
        <w:wordWrap/>
        <w:overflowPunct/>
        <w:topLinePunct w:val="0"/>
        <w:bidi w:val="0"/>
        <w:spacing w:line="560" w:lineRule="exact"/>
        <w:ind w:firstLine="642" w:firstLineChars="20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eastAsia="zh-CN" w:bidi="ar-SA"/>
        </w:rPr>
        <w:t>（二）</w:t>
      </w:r>
      <w:r>
        <w:rPr>
          <w:rFonts w:hint="eastAsia" w:ascii="方正楷体_GBK" w:hAnsi="方正楷体_GBK" w:eastAsia="方正楷体_GBK" w:cs="方正楷体_GBK"/>
          <w:b/>
          <w:sz w:val="32"/>
          <w:szCs w:val="32"/>
        </w:rPr>
        <w:t>专用指标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根据</w:t>
      </w:r>
      <w:r>
        <w:rPr>
          <w:rFonts w:hint="eastAsia" w:ascii="仿宋_GB2312" w:hAnsi="仿宋_GB2312" w:eastAsia="仿宋_GB2312" w:cs="仿宋_GB2312"/>
          <w:sz w:val="32"/>
          <w:szCs w:val="32"/>
        </w:rPr>
        <w:t>专项预算项目资金支持对象选择所属指标进行绩效分析。支持对象</w:t>
      </w:r>
      <w:r>
        <w:rPr>
          <w:rFonts w:hint="eastAsia" w:ascii="仿宋_GB2312" w:hAnsi="仿宋_GB2312" w:eastAsia="仿宋_GB2312" w:cs="仿宋_GB2312"/>
          <w:sz w:val="32"/>
          <w:szCs w:val="32"/>
          <w:lang w:val="zh-CN"/>
        </w:rPr>
        <w:t>包括产业发展、民生保障、基础设施、行政运转等方面。</w:t>
      </w:r>
      <w:r>
        <w:rPr>
          <w:rFonts w:hint="eastAsia" w:ascii="仿宋_GB2312" w:hAnsi="仿宋_GB2312" w:eastAsia="仿宋_GB2312" w:cs="仿宋_GB2312"/>
          <w:sz w:val="32"/>
          <w:szCs w:val="32"/>
          <w:lang w:val="en-US" w:eastAsia="zh-CN"/>
        </w:rPr>
        <w:t>该项目属</w:t>
      </w:r>
      <w:r>
        <w:rPr>
          <w:rFonts w:hint="eastAsia" w:ascii="仿宋_GB2312" w:hAnsi="仿宋_GB2312" w:eastAsia="仿宋_GB2312" w:cs="仿宋_GB2312"/>
          <w:sz w:val="32"/>
          <w:szCs w:val="32"/>
          <w:lang w:val="zh-CN"/>
        </w:rPr>
        <w:t>民生保障。</w:t>
      </w:r>
      <w:r>
        <w:rPr>
          <w:rFonts w:hint="eastAsia" w:ascii="仿宋_GB2312" w:hAnsi="仿宋_GB2312" w:eastAsia="仿宋_GB2312" w:cs="仿宋_GB2312"/>
          <w:sz w:val="32"/>
          <w:szCs w:val="32"/>
        </w:rPr>
        <w:t>项目资金分配均衡；资金实际支持对象符合管理要求，符合支持对象范围；资金实际补贴标准符合资金管理办法规定的补助标准并及时按标准兑现；资金涉及相关受益群体、支持对象满意。共计得分30分。</w:t>
      </w:r>
    </w:p>
    <w:p>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sz w:val="32"/>
          <w:szCs w:val="32"/>
          <w:lang w:val="zh-CN"/>
        </w:rPr>
        <w:t>（三）</w:t>
      </w:r>
      <w:r>
        <w:rPr>
          <w:rFonts w:hint="eastAsia" w:ascii="方正楷体_GBK" w:hAnsi="方正楷体_GBK" w:eastAsia="方正楷体_GBK" w:cs="方正楷体_GBK"/>
          <w:b/>
          <w:sz w:val="32"/>
          <w:szCs w:val="32"/>
        </w:rPr>
        <w:t>个性指标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财务管理：</w:t>
      </w:r>
      <w:r>
        <w:rPr>
          <w:rFonts w:hint="eastAsia" w:ascii="仿宋_GB2312" w:hAnsi="仿宋_GB2312" w:eastAsia="仿宋_GB2312" w:cs="仿宋_GB2312"/>
          <w:sz w:val="32"/>
          <w:szCs w:val="32"/>
          <w:lang w:val="en-US" w:eastAsia="zh-CN"/>
        </w:rPr>
        <w:t>该项目财务管理制度健全，资金拨付效率高，财务资料完整。该项目</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预算编制：</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rPr>
        <w:t>预算</w:t>
      </w:r>
      <w:r>
        <w:rPr>
          <w:rFonts w:hint="eastAsia" w:ascii="仿宋_GB2312" w:hAnsi="仿宋_GB2312" w:eastAsia="仿宋_GB2312" w:cs="仿宋_GB2312"/>
          <w:sz w:val="32"/>
          <w:szCs w:val="32"/>
          <w:lang w:val="zh-CN"/>
        </w:rPr>
        <w:t>编制合理，投</w:t>
      </w:r>
      <w:r>
        <w:rPr>
          <w:rFonts w:hint="eastAsia" w:ascii="仿宋_GB2312" w:hAnsi="仿宋_GB2312" w:eastAsia="仿宋_GB2312" w:cs="仿宋_GB2312"/>
          <w:sz w:val="32"/>
          <w:szCs w:val="32"/>
          <w:lang w:val="en-US" w:eastAsia="zh-CN"/>
        </w:rPr>
        <w:t>资到位及时。</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执行情况：资金已按期拨付，实际执行情况与预算相符，项目实施后已达到预期效果。该项指标得分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按照绩效自评工作要求，秉承客观公正、实事求是的原则开展项目绩效自评工作，经对各类指标进行评分和汇总分析，本项目的绩效评价结果为“优”，综合评分 99分。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kern w:val="2"/>
          <w:position w:val="0"/>
          <w:sz w:val="32"/>
          <w:szCs w:val="32"/>
          <w:lang w:eastAsia="zh-CN"/>
        </w:rPr>
      </w:pPr>
      <w:r>
        <w:rPr>
          <w:rFonts w:hint="eastAsia" w:ascii="仿宋_GB2312" w:hAnsi="仿宋_GB2312" w:eastAsia="仿宋_GB2312" w:cs="仿宋_GB2312"/>
          <w:position w:val="0"/>
          <w:sz w:val="32"/>
          <w:szCs w:val="32"/>
          <w:lang w:eastAsia="zh-CN"/>
        </w:rPr>
        <w:t>无。</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tabs>
          <w:tab w:val="left" w:pos="1911"/>
        </w:tabs>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无</w:t>
      </w:r>
      <w:r>
        <w:rPr>
          <w:rFonts w:hint="eastAsia" w:ascii="仿宋_GB2312" w:hAnsi="仿宋_GB2312" w:cs="仿宋_GB2312"/>
          <w:kern w:val="0"/>
          <w:sz w:val="32"/>
          <w:szCs w:val="32"/>
          <w:lang w:eastAsia="zh-CN"/>
        </w:rPr>
        <w:t>。</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附表：1.专项预算绩效自评打分表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2.专项预算绩效自评实地踏勘点位清单表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3.专项预算项目绩效目标完成情况自评表</w:t>
      </w:r>
    </w:p>
    <w:p>
      <w:pPr>
        <w:keepNext w:val="0"/>
        <w:keepLines w:val="0"/>
        <w:pageBreakBefore w:val="0"/>
        <w:kinsoku/>
        <w:wordWrap/>
        <w:overflowPunct/>
        <w:topLinePunct w:val="0"/>
        <w:bidi w:val="0"/>
        <w:spacing w:line="560" w:lineRule="exact"/>
        <w:ind w:firstLine="3840" w:firstLineChars="1200"/>
        <w:textAlignment w:val="auto"/>
        <w:rPr>
          <w:rFonts w:hint="eastAsia" w:ascii="仿宋_GB2312" w:hAnsi="仿宋_GB2312" w:eastAsia="仿宋_GB2312" w:cs="仿宋_GB2312"/>
          <w:sz w:val="32"/>
          <w:szCs w:val="32"/>
          <w:lang w:val="zh-CN"/>
        </w:rPr>
      </w:pPr>
    </w:p>
    <w:p>
      <w:pPr>
        <w:spacing w:line="560" w:lineRule="exact"/>
        <w:ind w:firstLine="640" w:firstLineChars="200"/>
        <w:jc w:val="righ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黑水县晴朗乡人民政府</w:t>
      </w:r>
    </w:p>
    <w:p>
      <w:pPr>
        <w:spacing w:line="560" w:lineRule="exact"/>
        <w:ind w:firstLine="640" w:firstLineChars="200"/>
        <w:jc w:val="right"/>
        <w:rPr>
          <w:lang w:val="zh-CN"/>
        </w:rPr>
      </w:pPr>
      <w:r>
        <w:rPr>
          <w:rFonts w:hint="eastAsia" w:ascii="仿宋_GB2312" w:hAnsi="仿宋_GB2312" w:eastAsia="仿宋_GB2312" w:cs="仿宋_GB2312"/>
          <w:sz w:val="32"/>
          <w:szCs w:val="32"/>
          <w:lang w:val="zh-CN"/>
        </w:rPr>
        <w:t>2025年4月</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0日</w:t>
      </w:r>
    </w:p>
    <w:p>
      <w:pPr>
        <w:snapToGrid w:val="0"/>
        <w:spacing w:line="578" w:lineRule="exact"/>
        <w:rPr>
          <w:rFonts w:eastAsia="黑体"/>
          <w:kern w:val="0"/>
          <w:shd w:val="clear" w:color="auto" w:fill="FFFFFF"/>
        </w:rPr>
      </w:pPr>
      <w:r>
        <w:rPr>
          <w:rFonts w:eastAsia="黑体"/>
          <w:kern w:val="0"/>
          <w:shd w:val="clear" w:color="auto" w:fill="FFFFFF"/>
          <w:lang w:val="zh-CN"/>
        </w:rPr>
        <w:t>附表</w:t>
      </w:r>
      <w:r>
        <w:rPr>
          <w:rFonts w:eastAsia="黑体"/>
          <w:kern w:val="0"/>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w:t>
            </w:r>
            <w:r>
              <w:rPr>
                <w:rFonts w:hint="eastAsia" w:ascii="宋体" w:hAnsi="宋体" w:cs="宋体"/>
                <w:color w:val="000000"/>
                <w:kern w:val="0"/>
                <w:sz w:val="24"/>
                <w:szCs w:val="24"/>
                <w:lang w:eastAsia="zh-CN" w:bidi="ar"/>
              </w:rPr>
              <w:t>中央、省委</w:t>
            </w:r>
            <w:r>
              <w:rPr>
                <w:rFonts w:hint="eastAsia" w:ascii="宋体" w:hAnsi="宋体" w:eastAsia="宋体" w:cs="宋体"/>
                <w:color w:val="000000"/>
                <w:kern w:val="0"/>
                <w:sz w:val="24"/>
                <w:szCs w:val="24"/>
                <w:lang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w:t>
            </w:r>
            <w:r>
              <w:rPr>
                <w:rFonts w:hint="eastAsia" w:ascii="宋体" w:hAnsi="宋体" w:cs="宋体"/>
                <w:color w:val="000000"/>
                <w:kern w:val="0"/>
                <w:sz w:val="24"/>
                <w:szCs w:val="24"/>
                <w:lang w:eastAsia="zh-CN" w:bidi="ar"/>
              </w:rPr>
              <w:t>省委、省政府</w:t>
            </w:r>
            <w:r>
              <w:rPr>
                <w:rFonts w:hint="eastAsia" w:ascii="宋体" w:hAnsi="宋体" w:eastAsia="宋体" w:cs="宋体"/>
                <w:color w:val="000000"/>
                <w:kern w:val="0"/>
                <w:sz w:val="24"/>
                <w:szCs w:val="24"/>
                <w:lang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2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rPr>
          <w:trHeight w:val="357"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财务管理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财务管理不符合专项资金管理要求。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预算编制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预算编制不符合专项资金管理要求。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执行情况</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资金执行不符合专项资金管理要求。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spacing w:line="578" w:lineRule="exact"/>
      </w:pPr>
      <w:r>
        <w:rPr>
          <w:rFonts w:eastAsia="黑体"/>
          <w:kern w:val="0"/>
          <w:shd w:val="clear" w:color="auto" w:fill="FFFFFF"/>
          <w:lang w:val="zh-CN"/>
        </w:rPr>
        <w:br w:type="page"/>
      </w:r>
      <w:r>
        <w:rPr>
          <w:rFonts w:eastAsia="黑体"/>
          <w:kern w:val="0"/>
          <w:shd w:val="clear" w:color="auto" w:fill="FFFFFF"/>
          <w:lang w:val="zh-CN"/>
        </w:rPr>
        <w:t>附表</w:t>
      </w:r>
      <w:r>
        <w:rPr>
          <w:rFonts w:hint="eastAsia"/>
          <w:kern w:val="0"/>
          <w:shd w:val="clear" w:color="auto" w:fill="FFFFFF"/>
        </w:rPr>
        <w:t>2</w:t>
      </w:r>
    </w:p>
    <w:p>
      <w:pPr>
        <w:spacing w:line="578" w:lineRule="exact"/>
        <w:jc w:val="center"/>
        <w:rPr>
          <w:rFonts w:eastAsia="方正小标宋_GBK"/>
          <w:sz w:val="40"/>
          <w:szCs w:val="40"/>
        </w:rPr>
      </w:pPr>
      <w:r>
        <w:rPr>
          <w:rFonts w:eastAsia="方正小标宋_GBK"/>
          <w:sz w:val="40"/>
          <w:szCs w:val="40"/>
        </w:rPr>
        <w:t>专项预算绩效自评实地踏勘点位清单表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黑体"/>
                <w:sz w:val="24"/>
                <w:szCs w:val="24"/>
              </w:rPr>
            </w:pPr>
            <w:r>
              <w:rPr>
                <w:rFonts w:eastAsia="黑体"/>
                <w:sz w:val="24"/>
                <w:szCs w:val="24"/>
              </w:rPr>
              <w:t>序号</w:t>
            </w:r>
          </w:p>
        </w:tc>
        <w:tc>
          <w:tcPr>
            <w:tcW w:w="5956" w:type="dxa"/>
            <w:noWrap w:val="0"/>
            <w:vAlign w:val="top"/>
          </w:tcPr>
          <w:p>
            <w:pPr>
              <w:spacing w:line="300" w:lineRule="exact"/>
              <w:jc w:val="center"/>
              <w:rPr>
                <w:rFonts w:eastAsia="黑体"/>
                <w:sz w:val="24"/>
                <w:szCs w:val="24"/>
                <w:lang w:val="en"/>
              </w:rPr>
            </w:pPr>
            <w:r>
              <w:rPr>
                <w:rFonts w:eastAsia="黑体"/>
                <w:sz w:val="24"/>
                <w:szCs w:val="24"/>
              </w:rPr>
              <w:t>实地踏勘点位</w:t>
            </w:r>
          </w:p>
        </w:tc>
        <w:tc>
          <w:tcPr>
            <w:tcW w:w="905" w:type="dxa"/>
            <w:noWrap w:val="0"/>
            <w:vAlign w:val="top"/>
          </w:tcPr>
          <w:p>
            <w:pPr>
              <w:spacing w:line="300" w:lineRule="exact"/>
              <w:jc w:val="center"/>
              <w:rPr>
                <w:rFonts w:eastAsia="黑体"/>
                <w:sz w:val="24"/>
                <w:szCs w:val="24"/>
              </w:rPr>
            </w:pPr>
            <w:r>
              <w:rPr>
                <w:rFonts w:eastAsia="黑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w:t>
            </w:r>
          </w:p>
        </w:tc>
        <w:tc>
          <w:tcPr>
            <w:tcW w:w="5956" w:type="dxa"/>
            <w:noWrap w:val="0"/>
            <w:vAlign w:val="top"/>
          </w:tcPr>
          <w:p>
            <w:pPr>
              <w:spacing w:line="300" w:lineRule="exact"/>
              <w:jc w:val="center"/>
              <w:rPr>
                <w:rFonts w:hint="default" w:eastAsia="仿宋_GB2312"/>
                <w:sz w:val="24"/>
                <w:szCs w:val="24"/>
                <w:lang w:val="en-US" w:eastAsia="zh-CN"/>
              </w:rPr>
            </w:pPr>
            <w:r>
              <w:rPr>
                <w:rFonts w:hint="eastAsia"/>
                <w:sz w:val="24"/>
                <w:szCs w:val="24"/>
                <w:lang w:val="en-US" w:eastAsia="zh-CN"/>
              </w:rPr>
              <w:t>黑水县晴朗乡人民政府</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8</w:t>
            </w:r>
          </w:p>
        </w:tc>
        <w:tc>
          <w:tcPr>
            <w:tcW w:w="5956" w:type="dxa"/>
            <w:noWrap w:val="0"/>
            <w:vAlign w:val="top"/>
          </w:tcPr>
          <w:p>
            <w:pPr>
              <w:spacing w:line="300" w:lineRule="exact"/>
              <w:jc w:val="center"/>
              <w:rPr>
                <w:sz w:val="24"/>
                <w:szCs w:val="24"/>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9</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10</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11</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18</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19</w:t>
            </w:r>
          </w:p>
        </w:tc>
        <w:tc>
          <w:tcPr>
            <w:tcW w:w="5956" w:type="dxa"/>
            <w:noWrap w:val="0"/>
            <w:vAlign w:val="top"/>
          </w:tcPr>
          <w:p>
            <w:pPr>
              <w:spacing w:line="300" w:lineRule="exact"/>
              <w:jc w:val="center"/>
              <w:rPr>
                <w:sz w:val="24"/>
                <w:szCs w:val="24"/>
                <w:lang w:val="en"/>
              </w:rPr>
            </w:pPr>
            <w:r>
              <w:rPr>
                <w:rFonts w:hint="eastAsia"/>
                <w:sz w:val="24"/>
                <w:szCs w:val="24"/>
                <w:lang w:val="en"/>
              </w:rPr>
              <w:t>……</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20</w:t>
            </w:r>
          </w:p>
        </w:tc>
        <w:tc>
          <w:tcPr>
            <w:tcW w:w="5956" w:type="dxa"/>
            <w:noWrap w:val="0"/>
            <w:vAlign w:val="top"/>
          </w:tcPr>
          <w:p>
            <w:pPr>
              <w:spacing w:line="300" w:lineRule="exact"/>
              <w:rPr>
                <w:sz w:val="24"/>
                <w:szCs w:val="24"/>
                <w:lang w:val="en"/>
              </w:rPr>
            </w:pPr>
          </w:p>
        </w:tc>
        <w:tc>
          <w:tcPr>
            <w:tcW w:w="905" w:type="dxa"/>
            <w:noWrap w:val="0"/>
            <w:vAlign w:val="top"/>
          </w:tcPr>
          <w:p>
            <w:pPr>
              <w:spacing w:line="300" w:lineRule="exact"/>
              <w:rPr>
                <w:sz w:val="24"/>
                <w:szCs w:val="24"/>
              </w:rPr>
            </w:pPr>
          </w:p>
        </w:tc>
      </w:tr>
    </w:tbl>
    <w:p>
      <w:pPr>
        <w:spacing w:line="400" w:lineRule="exact"/>
        <w:jc w:val="center"/>
        <w:rPr>
          <w:rFonts w:eastAsia="宋体"/>
          <w:sz w:val="21"/>
          <w:szCs w:val="21"/>
        </w:rPr>
      </w:pPr>
      <w:r>
        <w:rPr>
          <w:rFonts w:eastAsia="宋体"/>
          <w:sz w:val="21"/>
          <w:szCs w:val="21"/>
        </w:rPr>
        <w:t>备注：项目</w:t>
      </w:r>
      <w:r>
        <w:rPr>
          <w:rFonts w:hint="eastAsia" w:eastAsia="宋体"/>
          <w:sz w:val="21"/>
          <w:szCs w:val="21"/>
        </w:rPr>
        <w:t>实地踏勘</w:t>
      </w:r>
      <w:r>
        <w:rPr>
          <w:rFonts w:eastAsia="宋体"/>
          <w:sz w:val="21"/>
          <w:szCs w:val="21"/>
        </w:rPr>
        <w:t>点位包括市（州）本级、县（市、区）</w:t>
      </w:r>
      <w:r>
        <w:rPr>
          <w:rFonts w:hint="eastAsia" w:eastAsia="宋体"/>
          <w:sz w:val="21"/>
          <w:szCs w:val="21"/>
        </w:rPr>
        <w:t>本级及有关项目、单位、公司</w:t>
      </w:r>
      <w:r>
        <w:rPr>
          <w:rFonts w:eastAsia="宋体"/>
          <w:sz w:val="21"/>
          <w:szCs w:val="21"/>
        </w:rPr>
        <w:t>等。</w:t>
      </w:r>
    </w:p>
    <w:p>
      <w:pPr>
        <w:snapToGrid w:val="0"/>
        <w:spacing w:line="578" w:lineRule="exact"/>
        <w:rPr>
          <w:rFonts w:eastAsia="黑体"/>
          <w:kern w:val="0"/>
          <w:shd w:val="clear" w:color="auto" w:fill="FFFFFF"/>
          <w:lang w:val="zh-CN"/>
        </w:rPr>
      </w:pPr>
    </w:p>
    <w:p>
      <w:pPr>
        <w:snapToGrid w:val="0"/>
        <w:spacing w:line="578" w:lineRule="exact"/>
        <w:rPr>
          <w:rFonts w:eastAsia="黑体"/>
          <w:kern w:val="0"/>
          <w:shd w:val="clear" w:color="auto" w:fill="FFFFFF"/>
        </w:rPr>
      </w:pPr>
      <w:r>
        <w:rPr>
          <w:rFonts w:eastAsia="黑体"/>
          <w:kern w:val="0"/>
          <w:shd w:val="clear" w:color="auto" w:fill="FFFFFF"/>
          <w:lang w:val="zh-CN"/>
        </w:rPr>
        <w:br w:type="page"/>
      </w:r>
      <w:r>
        <w:rPr>
          <w:rFonts w:eastAsia="黑体"/>
          <w:kern w:val="0"/>
          <w:shd w:val="clear" w:color="auto" w:fill="FFFFFF"/>
          <w:lang w:val="zh-CN"/>
        </w:rPr>
        <w:t>附表</w:t>
      </w:r>
      <w:r>
        <w:rPr>
          <w:rFonts w:hint="eastAsia" w:eastAsia="黑体"/>
          <w:kern w:val="0"/>
          <w:shd w:val="clear" w:color="auto" w:fill="FFFFFF"/>
        </w:rPr>
        <w:t>3</w:t>
      </w:r>
    </w:p>
    <w:tbl>
      <w:tblPr>
        <w:tblStyle w:val="10"/>
        <w:tblW w:w="10233" w:type="dxa"/>
        <w:jc w:val="center"/>
        <w:tblLayout w:type="fixed"/>
        <w:tblCellMar>
          <w:top w:w="15" w:type="dxa"/>
          <w:left w:w="15" w:type="dxa"/>
          <w:bottom w:w="15" w:type="dxa"/>
          <w:right w:w="15" w:type="dxa"/>
        </w:tblCellMar>
      </w:tblPr>
      <w:tblGrid>
        <w:gridCol w:w="500"/>
        <w:gridCol w:w="1490"/>
        <w:gridCol w:w="1283"/>
        <w:gridCol w:w="1641"/>
        <w:gridCol w:w="380"/>
        <w:gridCol w:w="1219"/>
        <w:gridCol w:w="381"/>
        <w:gridCol w:w="793"/>
        <w:gridCol w:w="369"/>
        <w:gridCol w:w="326"/>
        <w:gridCol w:w="1851"/>
      </w:tblGrid>
      <w:tr>
        <w:tblPrEx>
          <w:tblCellMar>
            <w:top w:w="15" w:type="dxa"/>
            <w:left w:w="15" w:type="dxa"/>
            <w:bottom w:w="15" w:type="dxa"/>
            <w:right w:w="15" w:type="dxa"/>
          </w:tblCellMar>
        </w:tblPrEx>
        <w:trPr>
          <w:trHeight w:val="576" w:hRule="atLeast"/>
          <w:jc w:val="center"/>
        </w:trPr>
        <w:tc>
          <w:tcPr>
            <w:tcW w:w="10233" w:type="dxa"/>
            <w:gridSpan w:val="11"/>
            <w:noWrap w:val="0"/>
            <w:vAlign w:val="center"/>
          </w:tcPr>
          <w:p>
            <w:pPr>
              <w:keepNext w:val="0"/>
              <w:keepLines w:val="0"/>
              <w:widowControl/>
              <w:suppressLineNumbers w:val="0"/>
              <w:jc w:val="center"/>
              <w:textAlignment w:val="center"/>
              <w:rPr>
                <w:rFonts w:eastAsia="黑体"/>
                <w:color w:val="000000"/>
                <w:sz w:val="30"/>
                <w:szCs w:val="30"/>
              </w:rPr>
            </w:pPr>
            <w:r>
              <w:rPr>
                <w:rFonts w:hint="default" w:ascii="黑体" w:hAnsi="宋体" w:eastAsia="黑体" w:cs="黑体"/>
                <w:b/>
                <w:bCs/>
                <w:i w:val="0"/>
                <w:iCs w:val="0"/>
                <w:color w:val="000000"/>
                <w:kern w:val="0"/>
                <w:sz w:val="30"/>
                <w:szCs w:val="30"/>
                <w:u w:val="none"/>
                <w:lang w:val="en-US" w:eastAsia="zh-CN" w:bidi="ar"/>
              </w:rPr>
              <w:t>部门预算项目支出绩效自评表（2024年度）</w:t>
            </w:r>
          </w:p>
        </w:tc>
      </w:tr>
      <w:tr>
        <w:tblPrEx>
          <w:tblCellMar>
            <w:top w:w="15" w:type="dxa"/>
            <w:left w:w="15" w:type="dxa"/>
            <w:bottom w:w="15" w:type="dxa"/>
            <w:right w:w="15" w:type="dxa"/>
          </w:tblCellMar>
        </w:tblPrEx>
        <w:trPr>
          <w:trHeight w:val="23"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项目名称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51322825T000012231673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黑水县晴朗乡代管资金</w:t>
            </w:r>
          </w:p>
        </w:tc>
      </w:tr>
      <w:tr>
        <w:tblPrEx>
          <w:tblCellMar>
            <w:top w:w="15" w:type="dxa"/>
            <w:left w:w="15" w:type="dxa"/>
            <w:bottom w:w="15" w:type="dxa"/>
            <w:right w:w="15" w:type="dxa"/>
          </w:tblCellMar>
        </w:tblPrEx>
        <w:trPr>
          <w:trHeight w:val="458"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主管部门</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黑水县晴朗乡</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实施单位 （盖章）</w:t>
            </w:r>
          </w:p>
        </w:tc>
        <w:tc>
          <w:tcPr>
            <w:tcW w:w="254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黑水县晴朗乡人民政府（行政及参公）</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项目基本情况</w:t>
            </w: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晴朗乡沙窝村安全饮水巩固提升项目于2023年6月完成竣工验收并审计完毕。</w:t>
            </w:r>
            <w:r>
              <w:rPr>
                <w:rFonts w:hint="eastAsia" w:ascii="宋体" w:hAnsi="宋体" w:cs="宋体"/>
                <w:i w:val="0"/>
                <w:iCs w:val="0"/>
                <w:color w:val="000000"/>
                <w:kern w:val="0"/>
                <w:sz w:val="18"/>
                <w:szCs w:val="18"/>
                <w:u w:val="none"/>
                <w:lang w:val="en-US" w:eastAsia="zh-CN" w:bidi="ar"/>
              </w:rPr>
              <w:t>截至2024</w:t>
            </w:r>
            <w:r>
              <w:rPr>
                <w:rFonts w:ascii="宋体" w:hAnsi="宋体" w:eastAsia="宋体" w:cs="宋体"/>
                <w:i w:val="0"/>
                <w:iCs w:val="0"/>
                <w:color w:val="000000"/>
                <w:kern w:val="0"/>
                <w:sz w:val="18"/>
                <w:szCs w:val="18"/>
                <w:u w:val="none"/>
                <w:lang w:val="en-US" w:eastAsia="zh-CN" w:bidi="ar"/>
              </w:rPr>
              <w:t>年8月20日已到项目质保期，经现场查看未出现质量问题，经乡村两级同意并按照合同要求拨付质量保修金20282.55元。</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已完成。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2.项目实施内容及过程概述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晴朗乡沙窝村安全饮水巩固提升项目于2023年6月完成竣工验收并审计完毕。</w:t>
            </w:r>
            <w:r>
              <w:rPr>
                <w:rFonts w:hint="eastAsia" w:ascii="宋体" w:hAnsi="宋体" w:cs="宋体"/>
                <w:i w:val="0"/>
                <w:iCs w:val="0"/>
                <w:color w:val="000000"/>
                <w:kern w:val="0"/>
                <w:sz w:val="18"/>
                <w:szCs w:val="18"/>
                <w:u w:val="none"/>
                <w:lang w:val="en-US" w:eastAsia="zh-CN" w:bidi="ar"/>
              </w:rPr>
              <w:t>截至2024</w:t>
            </w:r>
            <w:r>
              <w:rPr>
                <w:rFonts w:ascii="宋体" w:hAnsi="宋体" w:eastAsia="宋体" w:cs="宋体"/>
                <w:i w:val="0"/>
                <w:iCs w:val="0"/>
                <w:color w:val="000000"/>
                <w:kern w:val="0"/>
                <w:sz w:val="18"/>
                <w:szCs w:val="18"/>
                <w:u w:val="none"/>
                <w:lang w:val="en-US" w:eastAsia="zh-CN" w:bidi="ar"/>
              </w:rPr>
              <w:t>年8月20日已到项目质保期，经现场查看未出现质量问题，经乡村两级同意并按照合同要求拨付质量保修金20282.55元。</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预算执行情况（10分）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年度预算数（万元）</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调整后预算数</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预算执行数</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预算执行率</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原因</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总额</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2.03</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2.03</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restart"/>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其中：财政资金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财政专户管理资金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单位资金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2.03</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2.03</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其他资金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绩效指标（90分）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一级指标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三级指标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产出指标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质量保修金</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20282.55</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20282.55</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工程质量保修</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资金使用时效</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608" w:hRule="atLeast"/>
          <w:jc w:val="center"/>
        </w:trPr>
        <w:tc>
          <w:tcPr>
            <w:tcW w:w="50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效益指标</w:t>
            </w:r>
          </w:p>
        </w:tc>
        <w:tc>
          <w:tcPr>
            <w:tcW w:w="1283"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社会效益指标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保障村民饮水安全</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tcBorders>
              <w:top w:val="single" w:color="auto"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满意度指标</w:t>
            </w:r>
          </w:p>
        </w:tc>
        <w:tc>
          <w:tcPr>
            <w:tcW w:w="1283"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rPr>
            </w:pPr>
            <w:r>
              <w:rPr>
                <w:rFonts w:ascii="宋体" w:hAnsi="宋体" w:eastAsia="宋体" w:cs="宋体"/>
                <w:i w:val="0"/>
                <w:iCs w:val="0"/>
                <w:color w:val="000000"/>
                <w:kern w:val="0"/>
                <w:sz w:val="18"/>
                <w:szCs w:val="18"/>
                <w:u w:val="none"/>
                <w:lang w:val="en-US" w:eastAsia="zh-CN" w:bidi="ar"/>
              </w:rPr>
              <w:t>98</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rPr>
            </w:pPr>
          </w:p>
        </w:tc>
      </w:tr>
      <w:tr>
        <w:tblPrEx>
          <w:tblCellMar>
            <w:top w:w="15" w:type="dxa"/>
            <w:left w:w="15" w:type="dxa"/>
            <w:bottom w:w="15" w:type="dxa"/>
            <w:right w:w="15" w:type="dxa"/>
          </w:tblCellMar>
        </w:tblPrEx>
        <w:trPr>
          <w:trHeight w:val="23" w:hRule="atLeast"/>
          <w:jc w:val="center"/>
        </w:trPr>
        <w:tc>
          <w:tcPr>
            <w:tcW w:w="7687" w:type="dxa"/>
            <w:gridSpan w:val="8"/>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合计</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23" w:hRule="atLeast"/>
          <w:jc w:val="center"/>
        </w:trPr>
        <w:tc>
          <w:tcPr>
            <w:tcW w:w="500"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评价结论</w:t>
            </w:r>
          </w:p>
        </w:tc>
        <w:tc>
          <w:tcPr>
            <w:tcW w:w="9733" w:type="dxa"/>
            <w:gridSpan w:val="10"/>
            <w:tcBorders>
              <w:left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default" w:ascii="微软雅黑" w:hAnsi="微软雅黑" w:eastAsia="微软雅黑" w:cs="微软雅黑"/>
                <w:i/>
                <w:iCs/>
                <w:color w:val="000000"/>
                <w:kern w:val="0"/>
                <w:sz w:val="16"/>
                <w:szCs w:val="16"/>
                <w:u w:val="none"/>
                <w:lang w:val="en-US" w:eastAsia="zh-CN" w:bidi="ar"/>
              </w:rPr>
              <w:t>项目自评98分，晴朗乡沙窝村安全饮水巩固提升项目于2023年6月完成竣工验收并审计完毕。</w:t>
            </w:r>
            <w:r>
              <w:rPr>
                <w:rFonts w:hint="eastAsia" w:ascii="微软雅黑" w:hAnsi="微软雅黑" w:eastAsia="微软雅黑" w:cs="微软雅黑"/>
                <w:i/>
                <w:iCs/>
                <w:color w:val="000000"/>
                <w:kern w:val="0"/>
                <w:sz w:val="16"/>
                <w:szCs w:val="16"/>
                <w:u w:val="none"/>
                <w:lang w:val="en-US" w:eastAsia="zh-CN" w:bidi="ar"/>
              </w:rPr>
              <w:t>截至2024</w:t>
            </w:r>
            <w:r>
              <w:rPr>
                <w:rFonts w:hint="default" w:ascii="微软雅黑" w:hAnsi="微软雅黑" w:eastAsia="微软雅黑" w:cs="微软雅黑"/>
                <w:i/>
                <w:iCs/>
                <w:color w:val="000000"/>
                <w:kern w:val="0"/>
                <w:sz w:val="16"/>
                <w:szCs w:val="16"/>
                <w:u w:val="none"/>
                <w:lang w:val="en-US" w:eastAsia="zh-CN" w:bidi="ar"/>
              </w:rPr>
              <w:t>年8月20日已到项目质保期，经现场查看未出现质量问题，经乡村两级同意并按照合同要求拨付质量保修金20282.55元。</w:t>
            </w:r>
          </w:p>
        </w:tc>
      </w:tr>
      <w:tr>
        <w:tblPrEx>
          <w:tblCellMar>
            <w:top w:w="15" w:type="dxa"/>
            <w:left w:w="15" w:type="dxa"/>
            <w:bottom w:w="15" w:type="dxa"/>
            <w:right w:w="15" w:type="dxa"/>
          </w:tblCellMar>
        </w:tblPrEx>
        <w:trPr>
          <w:trHeight w:val="478" w:hRule="atLeast"/>
          <w:jc w:val="center"/>
        </w:trPr>
        <w:tc>
          <w:tcPr>
            <w:tcW w:w="500"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存在问题</w:t>
            </w:r>
          </w:p>
        </w:tc>
        <w:tc>
          <w:tcPr>
            <w:tcW w:w="9733" w:type="dxa"/>
            <w:gridSpan w:val="10"/>
            <w:tcBorders>
              <w:left w:val="single" w:color="auto" w:sz="4" w:space="0"/>
              <w:right w:val="single" w:color="auto" w:sz="4" w:space="0"/>
            </w:tcBorders>
            <w:noWrap w:val="0"/>
            <w:vAlign w:val="center"/>
          </w:tcPr>
          <w:p>
            <w:pPr>
              <w:keepNext w:val="0"/>
              <w:keepLines w:val="0"/>
              <w:widowControl/>
              <w:suppressLineNumbers w:val="0"/>
              <w:jc w:val="left"/>
              <w:textAlignment w:val="center"/>
            </w:pPr>
            <w:r>
              <w:rPr>
                <w:rFonts w:hint="default" w:ascii="微软雅黑" w:hAnsi="微软雅黑" w:eastAsia="微软雅黑" w:cs="微软雅黑"/>
                <w:i/>
                <w:iCs/>
                <w:color w:val="000000"/>
                <w:kern w:val="0"/>
                <w:sz w:val="16"/>
                <w:szCs w:val="16"/>
                <w:u w:val="none"/>
                <w:lang w:val="en-US" w:eastAsia="zh-CN" w:bidi="ar"/>
              </w:rPr>
              <w:t>无</w:t>
            </w:r>
          </w:p>
        </w:tc>
      </w:tr>
      <w:tr>
        <w:tblPrEx>
          <w:tblCellMar>
            <w:top w:w="15" w:type="dxa"/>
            <w:left w:w="15" w:type="dxa"/>
            <w:bottom w:w="15" w:type="dxa"/>
            <w:right w:w="15" w:type="dxa"/>
          </w:tblCellMar>
        </w:tblPrEx>
        <w:trPr>
          <w:trHeight w:val="23" w:hRule="atLeast"/>
          <w:jc w:val="center"/>
        </w:trPr>
        <w:tc>
          <w:tcPr>
            <w:tcW w:w="500"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改进措施</w:t>
            </w:r>
          </w:p>
        </w:tc>
        <w:tc>
          <w:tcPr>
            <w:tcW w:w="9733" w:type="dxa"/>
            <w:gridSpan w:val="10"/>
            <w:tcBorders>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pPr>
            <w:r>
              <w:rPr>
                <w:rFonts w:hint="default" w:ascii="微软雅黑" w:hAnsi="微软雅黑" w:eastAsia="微软雅黑" w:cs="微软雅黑"/>
                <w:i/>
                <w:iCs/>
                <w:color w:val="000000"/>
                <w:kern w:val="0"/>
                <w:sz w:val="16"/>
                <w:szCs w:val="16"/>
                <w:u w:val="none"/>
                <w:lang w:val="en-US" w:eastAsia="zh-CN" w:bidi="ar"/>
              </w:rPr>
              <w:t>无</w:t>
            </w:r>
          </w:p>
        </w:tc>
      </w:tr>
      <w:tr>
        <w:tblPrEx>
          <w:tblCellMar>
            <w:top w:w="15" w:type="dxa"/>
            <w:left w:w="15" w:type="dxa"/>
            <w:bottom w:w="15" w:type="dxa"/>
            <w:right w:w="15" w:type="dxa"/>
          </w:tblCellMar>
        </w:tblPrEx>
        <w:trPr>
          <w:trHeight w:val="23" w:hRule="atLeast"/>
          <w:jc w:val="center"/>
        </w:trPr>
        <w:tc>
          <w:tcPr>
            <w:tcW w:w="5294" w:type="dxa"/>
            <w:gridSpan w:val="5"/>
            <w:tcBorders>
              <w:left w:val="single" w:color="auto" w:sz="4" w:space="0"/>
              <w:right w:val="single" w:color="auto" w:sz="4" w:space="0"/>
            </w:tcBorders>
            <w:noWrap w:val="0"/>
            <w:vAlign w:val="center"/>
          </w:tcPr>
          <w:p>
            <w:pPr>
              <w:keepNext w:val="0"/>
              <w:keepLines w:val="0"/>
              <w:widowControl/>
              <w:suppressLineNumbers w:val="0"/>
              <w:jc w:val="left"/>
              <w:textAlignment w:val="center"/>
            </w:pPr>
            <w:r>
              <w:rPr>
                <w:rFonts w:hint="default" w:ascii="黑体" w:hAnsi="黑体" w:eastAsia="黑体" w:cs="黑体"/>
                <w:i w:val="0"/>
                <w:iCs w:val="0"/>
                <w:color w:val="000000"/>
                <w:kern w:val="0"/>
                <w:sz w:val="18"/>
                <w:szCs w:val="18"/>
                <w:u w:val="none"/>
                <w:lang w:val="en-US" w:eastAsia="zh-CN" w:bidi="ar"/>
              </w:rPr>
              <w:t>项目负责人：杨树林</w:t>
            </w:r>
          </w:p>
        </w:tc>
        <w:tc>
          <w:tcPr>
            <w:tcW w:w="4939"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pPr>
            <w:r>
              <w:rPr>
                <w:rFonts w:hint="default" w:ascii="黑体" w:hAnsi="黑体" w:eastAsia="黑体" w:cs="黑体"/>
                <w:i w:val="0"/>
                <w:iCs w:val="0"/>
                <w:color w:val="000000"/>
                <w:kern w:val="0"/>
                <w:sz w:val="18"/>
                <w:szCs w:val="18"/>
                <w:u w:val="none"/>
                <w:lang w:val="en-US" w:eastAsia="zh-CN" w:bidi="ar"/>
              </w:rPr>
              <w:t>财务负责人：刘占</w:t>
            </w:r>
          </w:p>
        </w:tc>
      </w:tr>
      <w:tr>
        <w:tblPrEx>
          <w:tblCellMar>
            <w:top w:w="15" w:type="dxa"/>
            <w:left w:w="15" w:type="dxa"/>
            <w:bottom w:w="15" w:type="dxa"/>
            <w:right w:w="15" w:type="dxa"/>
          </w:tblCellMar>
        </w:tblPrEx>
        <w:trPr>
          <w:trHeight w:val="23" w:hRule="atLeast"/>
          <w:jc w:val="center"/>
        </w:trPr>
        <w:tc>
          <w:tcPr>
            <w:tcW w:w="500" w:type="dxa"/>
            <w:tcBorders>
              <w:left w:val="single" w:color="auto" w:sz="4" w:space="0"/>
              <w:bottom w:val="single" w:color="auto" w:sz="4" w:space="0"/>
              <w:right w:val="single" w:color="auto" w:sz="4" w:space="0"/>
            </w:tcBorders>
            <w:noWrap w:val="0"/>
            <w:vAlign w:val="center"/>
          </w:tcPr>
          <w:p>
            <w:pPr>
              <w:rPr>
                <w:rFonts w:ascii="宋体" w:hAnsi="宋体" w:eastAsia="宋体" w:cs="宋体"/>
                <w:i w:val="0"/>
                <w:iCs w:val="0"/>
                <w:color w:val="000000"/>
                <w:kern w:val="0"/>
                <w:sz w:val="18"/>
                <w:szCs w:val="18"/>
                <w:u w:val="none"/>
                <w:lang w:val="en-US" w:eastAsia="zh-CN" w:bidi="ar"/>
              </w:rPr>
            </w:pPr>
          </w:p>
        </w:tc>
        <w:tc>
          <w:tcPr>
            <w:tcW w:w="1490" w:type="dxa"/>
            <w:tcBorders>
              <w:left w:val="single" w:color="auto" w:sz="4" w:space="0"/>
              <w:bottom w:val="single" w:color="auto" w:sz="4" w:space="0"/>
              <w:right w:val="single" w:color="auto" w:sz="4" w:space="0"/>
            </w:tcBorders>
            <w:noWrap w:val="0"/>
            <w:vAlign w:val="center"/>
          </w:tcPr>
          <w:p/>
        </w:tc>
        <w:tc>
          <w:tcPr>
            <w:tcW w:w="1283" w:type="dxa"/>
            <w:tcBorders>
              <w:left w:val="single" w:color="auto" w:sz="4" w:space="0"/>
              <w:bottom w:val="single" w:color="auto" w:sz="4" w:space="0"/>
              <w:right w:val="single" w:color="auto" w:sz="4" w:space="0"/>
            </w:tcBorders>
            <w:noWrap w:val="0"/>
            <w:vAlign w:val="center"/>
          </w:tcPr>
          <w:p/>
        </w:tc>
        <w:tc>
          <w:tcPr>
            <w:tcW w:w="1641" w:type="dxa"/>
            <w:tcBorders>
              <w:left w:val="single" w:color="auto" w:sz="4" w:space="0"/>
              <w:bottom w:val="single" w:color="auto" w:sz="4" w:space="0"/>
              <w:right w:val="single" w:color="auto" w:sz="4" w:space="0"/>
            </w:tcBorders>
            <w:noWrap w:val="0"/>
            <w:vAlign w:val="center"/>
          </w:tcPr>
          <w:p/>
        </w:tc>
        <w:tc>
          <w:tcPr>
            <w:tcW w:w="380" w:type="dxa"/>
            <w:tcBorders>
              <w:left w:val="single" w:color="auto" w:sz="4" w:space="0"/>
              <w:bottom w:val="single" w:color="auto" w:sz="4" w:space="0"/>
              <w:right w:val="single" w:color="auto" w:sz="4" w:space="0"/>
            </w:tcBorders>
            <w:noWrap w:val="0"/>
            <w:vAlign w:val="center"/>
          </w:tc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kern w:val="0"/>
                <w:sz w:val="18"/>
                <w:szCs w:val="18"/>
                <w:u w:val="none"/>
                <w:lang w:val="en-US" w:eastAsia="zh-CN" w:bidi="ar"/>
              </w:rPr>
            </w:pPr>
          </w:p>
        </w:tc>
        <w:tc>
          <w:tcPr>
            <w:tcW w:w="381" w:type="dxa"/>
            <w:tcBorders>
              <w:top w:val="single" w:color="000000" w:sz="4" w:space="0"/>
              <w:left w:val="single" w:color="000000" w:sz="4" w:space="0"/>
              <w:bottom w:val="single" w:color="000000" w:sz="4" w:space="0"/>
              <w:right w:val="single" w:color="000000" w:sz="4" w:space="0"/>
            </w:tcBorders>
            <w:noWrap w:val="0"/>
            <w:vAlign w:val="center"/>
          </w:tcPr>
          <w:p/>
        </w:tc>
        <w:tc>
          <w:tcPr>
            <w:tcW w:w="793" w:type="dxa"/>
            <w:tcBorders>
              <w:top w:val="single" w:color="000000" w:sz="4" w:space="0"/>
              <w:left w:val="single" w:color="000000" w:sz="4" w:space="0"/>
              <w:bottom w:val="single" w:color="000000" w:sz="4" w:space="0"/>
              <w:right w:val="single" w:color="000000" w:sz="4" w:space="0"/>
            </w:tcBorders>
            <w:noWrap w:val="0"/>
            <w:vAlign w:val="center"/>
          </w:tcPr>
          <w:p/>
        </w:tc>
        <w:tc>
          <w:tcPr>
            <w:tcW w:w="369" w:type="dxa"/>
            <w:tcBorders>
              <w:top w:val="single" w:color="000000" w:sz="4" w:space="0"/>
              <w:left w:val="single" w:color="000000" w:sz="4" w:space="0"/>
              <w:bottom w:val="single" w:color="000000" w:sz="4" w:space="0"/>
              <w:right w:val="single" w:color="000000" w:sz="4" w:space="0"/>
            </w:tcBorders>
            <w:noWrap w:val="0"/>
            <w:vAlign w:val="center"/>
          </w:tcPr>
          <w:p/>
        </w:tc>
        <w:tc>
          <w:tcPr>
            <w:tcW w:w="326" w:type="dxa"/>
            <w:tcBorders>
              <w:top w:val="single" w:color="000000" w:sz="4" w:space="0"/>
              <w:left w:val="single" w:color="000000" w:sz="4" w:space="0"/>
              <w:bottom w:val="single" w:color="000000" w:sz="4" w:space="0"/>
              <w:right w:val="single" w:color="000000" w:sz="4" w:space="0"/>
            </w:tcBorders>
            <w:noWrap w:val="0"/>
            <w:vAlign w:val="center"/>
          </w:tcPr>
          <w:p/>
        </w:tc>
        <w:tc>
          <w:tcPr>
            <w:tcW w:w="1851" w:type="dxa"/>
            <w:tcBorders>
              <w:top w:val="single" w:color="000000" w:sz="4" w:space="0"/>
              <w:left w:val="single" w:color="000000" w:sz="4" w:space="0"/>
              <w:bottom w:val="single" w:color="000000" w:sz="4" w:space="0"/>
              <w:right w:val="single" w:color="000000" w:sz="4" w:space="0"/>
            </w:tcBorders>
            <w:noWrap w:val="0"/>
            <w:vAlign w:val="center"/>
          </w:tcPr>
          <w:p/>
        </w:tc>
      </w:tr>
    </w:tbl>
    <w:p>
      <w:r>
        <w:br w:type="page"/>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黑水县晴朗乡人民政府</w:t>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zh-CN"/>
        </w:rPr>
        <w:t>晴朗乡2024年省星级现代农业园区激励补助项目</w:t>
      </w:r>
      <w:r>
        <w:rPr>
          <w:rFonts w:hint="eastAsia" w:ascii="方正小标宋_GBK" w:hAnsi="方正小标宋_GBK" w:eastAsia="方正小标宋_GBK" w:cs="方正小标宋_GBK"/>
          <w:sz w:val="44"/>
          <w:szCs w:val="44"/>
        </w:rPr>
        <w:t>专项预算绩效自评报告</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p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（一）设立背景及基本情况。</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黑水县晴朗乡省星级现代农业园区激励补助，以打造稳产、高效、优质的全产业链融合高原粮经产业示范样板的目标，以《阿坝州推进“三品一标”行动引领农牧业高质量发展的实施意见（2024—2026年）》为引领，以“小麦+蔬菜”为主导产业，激发园区各经营主体市场活力，创新高原“小麦+蔬菜”粮经复合种植模式。采购资金434.6万元。</w:t>
      </w:r>
      <w:r>
        <w:rPr>
          <w:rFonts w:hint="eastAsia" w:ascii="仿宋_GB2312" w:hAnsi="仿宋_GB2312" w:eastAsia="仿宋_GB2312" w:cs="仿宋_GB2312"/>
          <w:sz w:val="32"/>
          <w:szCs w:val="32"/>
          <w:lang w:val="en-US" w:eastAsia="zh-CN"/>
        </w:rPr>
        <w:t>晴朗乡人民政府</w:t>
      </w:r>
      <w:r>
        <w:rPr>
          <w:rFonts w:hint="eastAsia" w:ascii="仿宋_GB2312" w:hAnsi="仿宋_GB2312" w:eastAsia="仿宋_GB2312" w:cs="仿宋_GB2312"/>
          <w:sz w:val="32"/>
          <w:szCs w:val="32"/>
        </w:rPr>
        <w:t>承担专项资金绩效管理的主体责任，主要负责</w:t>
      </w:r>
      <w:r>
        <w:rPr>
          <w:rFonts w:hint="eastAsia" w:ascii="仿宋_GB2312" w:hAnsi="仿宋_GB2312" w:eastAsia="仿宋_GB2312" w:cs="仿宋_GB2312"/>
          <w:sz w:val="32"/>
          <w:szCs w:val="32"/>
          <w:lang w:val="en-US" w:eastAsia="zh-CN"/>
        </w:rPr>
        <w:t>根据文件要求执行</w:t>
      </w:r>
      <w:r>
        <w:rPr>
          <w:rFonts w:hint="eastAsia" w:ascii="仿宋_GB2312" w:hAnsi="仿宋_GB2312" w:eastAsia="仿宋_GB2312" w:cs="仿宋_GB2312"/>
          <w:sz w:val="32"/>
          <w:szCs w:val="32"/>
        </w:rPr>
        <w:t>专项资金分配方案，制定项目管理制度，组织项目评审和实施，开展项目验收、绩效评价和监督检查等工作。</w:t>
      </w:r>
    </w:p>
    <w:p>
      <w:pPr>
        <w:spacing w:line="560" w:lineRule="exact"/>
        <w:ind w:firstLine="642" w:firstLineChars="200"/>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（二）</w:t>
      </w:r>
      <w:r>
        <w:rPr>
          <w:rFonts w:hint="eastAsia" w:ascii="方正楷体_GBK" w:hAnsi="方正楷体_GBK" w:eastAsia="方正楷体_GBK" w:cs="方正楷体_GBK"/>
          <w:b/>
          <w:sz w:val="32"/>
          <w:szCs w:val="32"/>
        </w:rPr>
        <w:t>实施目的及支持方向。</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打造稳产、高效、优质的全产业链融合高原粮经产业示范样板的目标，以《阿坝州推进“三品一标”行动引领农牧业高质量发展的实施意见（2024—2026年）》为引领，以“小麦+蔬菜”为主导产业，激发园区各经营主体市场活力，创新高原“小麦+蔬菜”粮经复合种植模式。采购资金434.6万元。</w:t>
      </w:r>
    </w:p>
    <w:p>
      <w:pPr>
        <w:numPr>
          <w:ilvl w:val="0"/>
          <w:numId w:val="0"/>
        </w:num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（三）</w:t>
      </w:r>
      <w:r>
        <w:rPr>
          <w:rFonts w:hint="eastAsia" w:ascii="方正楷体_GBK" w:hAnsi="方正楷体_GBK" w:eastAsia="方正楷体_GBK" w:cs="方正楷体_GBK"/>
          <w:b/>
          <w:sz w:val="32"/>
          <w:szCs w:val="32"/>
        </w:rPr>
        <w:t>预算安排及分配管理</w:t>
      </w:r>
      <w:r>
        <w:rPr>
          <w:rFonts w:hint="eastAsia" w:ascii="方正楷体_GBK" w:hAnsi="方正楷体_GBK" w:eastAsia="方正楷体_GBK" w:cs="方正楷体_GBK"/>
          <w:b/>
          <w:sz w:val="32"/>
          <w:szCs w:val="32"/>
          <w:lang w:val="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预算申报项目资金为434.6万元，批复金额为434.6万元，实际使用金额434.6万元，项目资金符合资金管理办法等相关规定。资金按批复金额在项目实施前全部到位，与资金计划相契合，资金到位率、到位及时性均为100%，保障项目能够如期开展。资金由乡政府监管，各村结合实际报销。</w:t>
      </w:r>
    </w:p>
    <w:p>
      <w:pPr>
        <w:keepNext w:val="0"/>
        <w:keepLines w:val="0"/>
        <w:pageBreakBefore w:val="0"/>
        <w:numPr>
          <w:ilvl w:val="0"/>
          <w:numId w:val="1"/>
        </w:numPr>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项目绩效目标设置。</w:t>
      </w:r>
    </w:p>
    <w:p>
      <w:pPr>
        <w:keepNext w:val="0"/>
        <w:keepLines w:val="0"/>
        <w:pageBreakBefore w:val="0"/>
        <w:numPr>
          <w:ilvl w:val="0"/>
          <w:numId w:val="0"/>
        </w:numPr>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保障工作经费及时到位，</w:t>
      </w:r>
      <w:r>
        <w:rPr>
          <w:rFonts w:hint="eastAsia" w:ascii="仿宋_GB2312" w:hAnsi="仿宋_GB2312" w:eastAsia="仿宋_GB2312" w:cs="仿宋_GB2312"/>
          <w:sz w:val="32"/>
          <w:szCs w:val="32"/>
          <w:lang w:val="zh-CN" w:eastAsia="zh-CN"/>
        </w:rPr>
        <w:t>保障</w:t>
      </w:r>
      <w:r>
        <w:rPr>
          <w:rFonts w:hint="eastAsia" w:ascii="仿宋_GB2312" w:hAnsi="仿宋_GB2312" w:eastAsia="仿宋_GB2312" w:cs="仿宋_GB2312"/>
          <w:sz w:val="32"/>
          <w:szCs w:val="32"/>
          <w:lang w:val="en-US" w:eastAsia="zh-CN"/>
        </w:rPr>
        <w:t>晴朗</w:t>
      </w:r>
      <w:r>
        <w:rPr>
          <w:rFonts w:hint="eastAsia" w:ascii="仿宋_GB2312" w:hAnsi="仿宋_GB2312" w:eastAsia="仿宋_GB2312" w:cs="仿宋_GB2312"/>
          <w:sz w:val="32"/>
          <w:szCs w:val="32"/>
          <w:lang w:val="zh-CN" w:eastAsia="zh-CN"/>
        </w:rPr>
        <w:t>乡</w:t>
      </w:r>
      <w:r>
        <w:rPr>
          <w:rFonts w:hint="eastAsia" w:ascii="仿宋_GB2312" w:hAnsi="仿宋_GB2312" w:eastAsia="仿宋_GB2312" w:cs="仿宋_GB2312"/>
          <w:sz w:val="32"/>
          <w:szCs w:val="32"/>
          <w:lang w:val="en-US" w:eastAsia="zh-CN"/>
        </w:rPr>
        <w:t>工作高效运行</w:t>
      </w:r>
      <w:r>
        <w:rPr>
          <w:rFonts w:hint="eastAsia" w:ascii="仿宋_GB2312" w:hAnsi="仿宋_GB2312" w:eastAsia="仿宋_GB2312" w:cs="仿宋_GB2312"/>
          <w:sz w:val="32"/>
          <w:szCs w:val="32"/>
          <w:lang w:val="zh-CN" w:eastAsia="zh-CN"/>
        </w:rPr>
        <w:t>，充分发挥职工履职积极性，确保工作</w:t>
      </w:r>
      <w:r>
        <w:rPr>
          <w:rFonts w:hint="eastAsia" w:ascii="仿宋_GB2312" w:hAnsi="仿宋_GB2312" w:eastAsia="仿宋_GB2312" w:cs="仿宋_GB2312"/>
          <w:sz w:val="32"/>
          <w:szCs w:val="32"/>
          <w:lang w:val="en-US" w:eastAsia="zh-CN"/>
        </w:rPr>
        <w:t>成效</w:t>
      </w:r>
      <w:r>
        <w:rPr>
          <w:rFonts w:hint="eastAsia" w:ascii="仿宋_GB2312" w:hAnsi="仿宋_GB2312" w:eastAsia="仿宋_GB2312" w:cs="仿宋_GB2312"/>
          <w:sz w:val="32"/>
          <w:szCs w:val="32"/>
          <w:lang w:val="zh-CN" w:eastAsia="zh-CN"/>
        </w:rPr>
        <w:t>不断提升</w:t>
      </w:r>
      <w:r>
        <w:rPr>
          <w:rFonts w:hint="eastAsia" w:ascii="仿宋_GB2312" w:hAnsi="仿宋_GB2312" w:cs="仿宋_GB2312"/>
          <w:color w:val="auto"/>
          <w:kern w:val="0"/>
          <w:sz w:val="32"/>
          <w:szCs w:val="32"/>
          <w:highlight w:val="none"/>
          <w:u w:val="none"/>
          <w:shd w:val="clear" w:color="auto" w:fill="FFFFFF"/>
          <w:lang w:val="zh-CN" w:eastAsia="zh-CN"/>
        </w:rPr>
        <w:t>。</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二、评价实施</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（一）评价目的。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对预算资金的投入、过程、产出、效果四个方面进行绩效评价，反映项目规范性、绩效目标设立的合理性和科学性、资金到位、支出情况，形成真实完整数据准确、分析透彻、逻辑清晰、客观公正的绩效评价结论为项目后续资金投入、分配和管理提供决策依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同时作为以后年度晴朗乡编制预算和安排财政项目资金的重要依据逐步树立以结果为导向、讲求绩效的观念。</w:t>
      </w:r>
    </w:p>
    <w:p>
      <w:pPr>
        <w:pStyle w:val="2"/>
        <w:keepNext w:val="0"/>
        <w:keepLines w:val="0"/>
        <w:pageBreakBefore w:val="0"/>
        <w:kinsoku/>
        <w:wordWrap/>
        <w:overflowPunct/>
        <w:topLinePunct w:val="0"/>
        <w:bidi w:val="0"/>
        <w:spacing w:line="560" w:lineRule="exact"/>
        <w:ind w:left="0" w:leftChars="0"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（二）预设问题及评价重点。</w:t>
      </w:r>
    </w:p>
    <w:p>
      <w:pPr>
        <w:spacing w:line="560" w:lineRule="exact"/>
        <w:ind w:firstLine="640" w:firstLineChars="200"/>
        <w:rPr>
          <w:rFonts w:hint="eastAsia"/>
          <w:kern w:val="0"/>
          <w:szCs w:val="28"/>
        </w:rPr>
      </w:pPr>
      <w:r>
        <w:rPr>
          <w:rFonts w:hint="eastAsia" w:ascii="仿宋_GB2312" w:hAnsi="仿宋_GB2312" w:eastAsia="仿宋_GB2312" w:cs="仿宋_GB2312"/>
          <w:sz w:val="32"/>
          <w:szCs w:val="32"/>
        </w:rPr>
        <w:t>本次评价主要针对该项目的规划编制的内容完整性和项目实施工作的质量问题，结合该项目资金的使用情况来完整</w:t>
      </w:r>
      <w:r>
        <w:rPr>
          <w:rFonts w:hint="eastAsia" w:ascii="仿宋_GB2312" w:hAnsi="仿宋_GB2312" w:eastAsia="仿宋_GB2312" w:cs="仿宋_GB2312"/>
          <w:sz w:val="32"/>
          <w:szCs w:val="32"/>
          <w:lang w:eastAsia="zh-CN"/>
        </w:rPr>
        <w:t>地</w:t>
      </w:r>
      <w:r>
        <w:rPr>
          <w:rFonts w:hint="eastAsia" w:ascii="仿宋_GB2312" w:hAnsi="仿宋_GB2312" w:eastAsia="仿宋_GB2312" w:cs="仿宋_GB2312"/>
          <w:sz w:val="32"/>
          <w:szCs w:val="32"/>
        </w:rPr>
        <w:t>体现。</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仿宋_GB2312" w:hAnsi="仿宋_GB2312" w:eastAsia="仿宋_GB2312" w:cs="仿宋_GB2312"/>
          <w:b/>
          <w:sz w:val="32"/>
          <w:szCs w:val="32"/>
          <w:lang w:val="zh-CN"/>
        </w:rPr>
      </w:pPr>
      <w:r>
        <w:rPr>
          <w:rFonts w:hint="eastAsia" w:ascii="方正楷体_GBK" w:hAnsi="方正楷体_GBK" w:eastAsia="方正楷体_GBK" w:cs="方正楷体_GBK"/>
          <w:b/>
          <w:sz w:val="32"/>
          <w:szCs w:val="32"/>
          <w:lang w:val="zh-CN"/>
        </w:rPr>
        <w:t>（三）评价选点。</w:t>
      </w:r>
    </w:p>
    <w:p>
      <w:pPr>
        <w:spacing w:line="560" w:lineRule="exact"/>
        <w:ind w:firstLine="640" w:firstLineChars="200"/>
        <w:rPr>
          <w:rFonts w:hint="eastAsia"/>
          <w:kern w:val="0"/>
          <w:szCs w:val="28"/>
        </w:rPr>
      </w:pPr>
      <w:r>
        <w:rPr>
          <w:rFonts w:hint="eastAsia" w:ascii="仿宋_GB2312" w:hAnsi="仿宋_GB2312" w:eastAsia="仿宋_GB2312" w:cs="仿宋_GB2312"/>
          <w:sz w:val="32"/>
          <w:szCs w:val="32"/>
        </w:rPr>
        <w:t>晴朗乡2024年</w:t>
      </w:r>
      <w:r>
        <w:rPr>
          <w:rFonts w:hint="eastAsia" w:ascii="仿宋_GB2312" w:hAnsi="仿宋_GB2312" w:eastAsia="仿宋_GB2312" w:cs="仿宋_GB2312"/>
          <w:sz w:val="32"/>
          <w:szCs w:val="32"/>
          <w:lang w:eastAsia="zh-CN"/>
        </w:rPr>
        <w:t>省星级现代农业园区激励补助</w:t>
      </w:r>
      <w:r>
        <w:rPr>
          <w:rFonts w:hint="eastAsia" w:ascii="仿宋_GB2312" w:hAnsi="仿宋_GB2312" w:eastAsia="仿宋_GB2312" w:cs="仿宋_GB2312"/>
          <w:sz w:val="32"/>
          <w:szCs w:val="32"/>
        </w:rPr>
        <w:t>项目主要开展地点为</w:t>
      </w:r>
      <w:r>
        <w:rPr>
          <w:rFonts w:hint="eastAsia" w:ascii="仿宋_GB2312" w:hAnsi="仿宋_GB2312" w:eastAsia="仿宋_GB2312" w:cs="仿宋_GB2312"/>
          <w:sz w:val="32"/>
          <w:szCs w:val="32"/>
          <w:lang w:eastAsia="zh-CN"/>
        </w:rPr>
        <w:t>黑水</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val="en-US" w:eastAsia="zh-CN"/>
        </w:rPr>
        <w:t>晴朗乡</w:t>
      </w:r>
      <w:r>
        <w:rPr>
          <w:rFonts w:hint="eastAsia" w:ascii="仿宋_GB2312" w:hAnsi="仿宋_GB2312" w:eastAsia="仿宋_GB2312" w:cs="仿宋_GB2312"/>
          <w:sz w:val="32"/>
          <w:szCs w:val="32"/>
        </w:rPr>
        <w:t>，本次绩效评价主体为</w:t>
      </w:r>
      <w:r>
        <w:rPr>
          <w:rFonts w:hint="eastAsia" w:ascii="仿宋_GB2312" w:hAnsi="仿宋_GB2312" w:eastAsia="仿宋_GB2312" w:cs="仿宋_GB2312"/>
          <w:sz w:val="32"/>
          <w:szCs w:val="32"/>
          <w:lang w:val="en-US" w:eastAsia="zh-CN"/>
        </w:rPr>
        <w:t>黑水县晴朗乡人民政府</w:t>
      </w:r>
      <w:r>
        <w:rPr>
          <w:rFonts w:hint="eastAsia" w:ascii="仿宋_GB2312" w:hAnsi="仿宋_GB2312" w:eastAsia="仿宋_GB2312" w:cs="仿宋_GB2312"/>
          <w:sz w:val="32"/>
          <w:szCs w:val="32"/>
        </w:rPr>
        <w:t>，项目不</w:t>
      </w:r>
      <w:r>
        <w:rPr>
          <w:rFonts w:hint="eastAsia" w:ascii="仿宋_GB2312" w:hAnsi="仿宋_GB2312" w:eastAsia="仿宋_GB2312" w:cs="仿宋_GB2312"/>
          <w:sz w:val="32"/>
          <w:szCs w:val="32"/>
          <w:lang w:eastAsia="zh-CN"/>
        </w:rPr>
        <w:t>涉及其他单位</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（四）</w:t>
      </w:r>
      <w:r>
        <w:rPr>
          <w:rFonts w:hint="eastAsia" w:ascii="方正楷体_GBK" w:hAnsi="方正楷体_GBK" w:eastAsia="方正楷体_GBK" w:cs="方正楷体_GBK"/>
          <w:b/>
          <w:sz w:val="32"/>
          <w:szCs w:val="32"/>
          <w:lang w:val="zh-CN"/>
        </w:rPr>
        <w:t>评价方法。</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采用先进的绩效评价方法和科学的数据分析是取得正确客观评价结论的重要保障，结合</w:t>
      </w:r>
      <w:r>
        <w:rPr>
          <w:rFonts w:hint="eastAsia" w:ascii="仿宋_GB2312" w:hAnsi="仿宋_GB2312" w:eastAsia="仿宋_GB2312" w:cs="仿宋_GB2312"/>
          <w:sz w:val="32"/>
          <w:szCs w:val="32"/>
          <w:lang w:val="en-US" w:eastAsia="zh-CN"/>
        </w:rPr>
        <w:t>晴朗乡2024年省星级现代农业园区激励补助经费专项工作经费项目</w:t>
      </w:r>
      <w:r>
        <w:rPr>
          <w:rFonts w:hint="eastAsia" w:ascii="仿宋_GB2312" w:hAnsi="仿宋_GB2312" w:eastAsia="仿宋_GB2312" w:cs="仿宋_GB2312"/>
          <w:sz w:val="32"/>
          <w:szCs w:val="32"/>
        </w:rPr>
        <w:t>的特点，经与</w:t>
      </w:r>
      <w:r>
        <w:rPr>
          <w:rFonts w:hint="eastAsia" w:ascii="仿宋_GB2312" w:hAnsi="仿宋_GB2312" w:eastAsia="仿宋_GB2312" w:cs="仿宋_GB2312"/>
          <w:sz w:val="32"/>
          <w:szCs w:val="32"/>
          <w:lang w:val="zh-CN"/>
        </w:rPr>
        <w:t>评价组织</w:t>
      </w:r>
      <w:r>
        <w:rPr>
          <w:rFonts w:hint="eastAsia" w:ascii="仿宋_GB2312" w:hAnsi="仿宋_GB2312" w:eastAsia="仿宋_GB2312" w:cs="仿宋_GB2312"/>
          <w:sz w:val="32"/>
          <w:szCs w:val="32"/>
        </w:rPr>
        <w:t>沟通后采取以下绩效评价方法：</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1.公众评判法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晴朗乡2024年省星级现代农业园区激励补助经费</w:t>
      </w:r>
      <w:r>
        <w:rPr>
          <w:rFonts w:hint="eastAsia" w:ascii="仿宋_GB2312" w:hAnsi="仿宋_GB2312" w:eastAsia="仿宋_GB2312" w:cs="仿宋_GB2312"/>
          <w:sz w:val="32"/>
          <w:szCs w:val="32"/>
          <w:lang w:val="zh-CN" w:eastAsia="zh-CN"/>
        </w:rPr>
        <w:t>具有较为清晰的服务群体，且该项目绩效状况的优劣，很大程度上体现在</w:t>
      </w:r>
      <w:r>
        <w:rPr>
          <w:rFonts w:hint="eastAsia" w:ascii="仿宋_GB2312" w:hAnsi="仿宋_GB2312" w:eastAsia="仿宋_GB2312" w:cs="仿宋_GB2312"/>
          <w:sz w:val="32"/>
          <w:szCs w:val="32"/>
          <w:lang w:val="en-US" w:eastAsia="zh-CN"/>
        </w:rPr>
        <w:t>晴朗乡2024年省星级现代农业园区激励补助经费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晴朗乡2024年省星级现代农业园区激励补助经费</w:t>
      </w:r>
      <w:r>
        <w:rPr>
          <w:rFonts w:hint="eastAsia" w:ascii="仿宋_GB2312" w:hAnsi="仿宋_GB2312" w:eastAsia="仿宋_GB2312" w:cs="仿宋_GB2312"/>
          <w:sz w:val="32"/>
          <w:szCs w:val="32"/>
          <w:lang w:val="zh-CN" w:eastAsia="zh-CN"/>
        </w:rPr>
        <w:t>覆盖率。为此，与该项目评价的具体指标相对应，按照一定比例，以电</w:t>
      </w:r>
      <w:r>
        <w:rPr>
          <w:rFonts w:hint="eastAsia" w:ascii="仿宋_GB2312" w:hAnsi="仿宋_GB2312" w:eastAsia="仿宋_GB2312" w:cs="仿宋_GB2312"/>
          <w:sz w:val="32"/>
          <w:szCs w:val="32"/>
          <w:lang w:val="en-US" w:eastAsia="zh-CN"/>
        </w:rPr>
        <w:t>话</w:t>
      </w:r>
      <w:r>
        <w:rPr>
          <w:rFonts w:hint="eastAsia" w:ascii="仿宋_GB2312" w:hAnsi="仿宋_GB2312" w:eastAsia="仿宋_GB2312" w:cs="仿宋_GB2312"/>
          <w:sz w:val="32"/>
          <w:szCs w:val="32"/>
          <w:lang w:val="zh-CN" w:eastAsia="zh-CN"/>
        </w:rPr>
        <w:t>询问等方式进行调查，收集、分析所取得的样本数据，从而推断确定目标群体的满意度，进而评价满意度指标。</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2.成本效益分析法</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zh-CN" w:eastAsia="zh-CN"/>
        </w:rPr>
        <w:t>本项目将资金投入与</w:t>
      </w:r>
      <w:r>
        <w:rPr>
          <w:rFonts w:hint="eastAsia" w:ascii="仿宋_GB2312" w:hAnsi="仿宋_GB2312" w:eastAsia="仿宋_GB2312" w:cs="仿宋_GB2312"/>
          <w:sz w:val="32"/>
          <w:szCs w:val="32"/>
          <w:lang w:val="en-US" w:eastAsia="zh-CN"/>
        </w:rPr>
        <w:t>晴朗乡2024年省星级现代农业园区激励补助经费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晴朗乡2024年省星级现代农业园区激励补助经费</w:t>
      </w:r>
      <w:r>
        <w:rPr>
          <w:rFonts w:hint="eastAsia" w:ascii="仿宋_GB2312" w:hAnsi="仿宋_GB2312" w:eastAsia="仿宋_GB2312" w:cs="仿宋_GB2312"/>
          <w:sz w:val="32"/>
          <w:szCs w:val="32"/>
          <w:lang w:val="zh-CN" w:eastAsia="zh-CN"/>
        </w:rPr>
        <w:t>覆盖率、补助标准等进行关联性分析。</w:t>
      </w:r>
    </w:p>
    <w:p>
      <w:pPr>
        <w:pStyle w:val="4"/>
        <w:keepNext w:val="0"/>
        <w:keepLines w:val="0"/>
        <w:pageBreakBefore w:val="0"/>
        <w:kinsoku/>
        <w:wordWrap/>
        <w:overflowPunct/>
        <w:topLinePunct w:val="0"/>
        <w:bidi w:val="0"/>
        <w:spacing w:line="560" w:lineRule="exact"/>
        <w:ind w:firstLine="600"/>
        <w:textAlignment w:val="auto"/>
        <w:rPr>
          <w:rFonts w:hint="eastAsia" w:ascii="方正楷体_GBK" w:hAnsi="方正楷体_GBK" w:eastAsia="方正楷体_GBK" w:cs="方正楷体_GBK"/>
          <w:b/>
          <w:bCs w:val="0"/>
          <w:sz w:val="32"/>
          <w:szCs w:val="32"/>
        </w:rPr>
      </w:pPr>
      <w:r>
        <w:rPr>
          <w:rFonts w:hint="eastAsia" w:ascii="方正楷体_GBK" w:hAnsi="方正楷体_GBK" w:eastAsia="方正楷体_GBK" w:cs="方正楷体_GBK"/>
          <w:b/>
          <w:bCs w:val="0"/>
          <w:sz w:val="32"/>
          <w:szCs w:val="32"/>
          <w:lang w:val="zh-CN"/>
        </w:rPr>
        <w:t>（五）评价组织。</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1.领导小组职责：</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（1）研究和决定单位管理绩效评价中的重大问题。</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（2）组织协调绩效评价工作，确保评价的顺利进行。</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（3）对工作目标、绩效考核结果和等次、奖惩方案进行审核，并报乡党委和政府审定。</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2.办公室职责：</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（1）提出政府绩效评价的工作方案，并负责具体组织实施。</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（2）综合评价信息，提出评价结果等次认定方案及奖惩方案等。</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（3）负责绩效评价的日常工作，包括宣传、沟通、协调等。</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（4）根据评价结果撰写绩效评价报告，并递交给领导小组。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3.具体执行人员职责：</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（1）组长：审批绩效自评方案，监督、检查、核实绩效自评结果。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三、绩效分析</w:t>
      </w:r>
      <w:r>
        <w:rPr>
          <w:rFonts w:hint="eastAsia" w:ascii="黑体" w:hAnsi="黑体" w:eastAsia="黑体" w:cs="黑体"/>
          <w:sz w:val="32"/>
          <w:szCs w:val="32"/>
          <w:lang w:val="zh-CN"/>
        </w:rPr>
        <w:tab/>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根据项目预算绩效评价指标体系“通用指标”“专用指标”“个性指标”涉及二、三级指标进行逐项绩效分析并评分</w:t>
      </w:r>
      <w:r>
        <w:rPr>
          <w:rFonts w:hint="eastAsia" w:ascii="仿宋_GB2312" w:hAnsi="仿宋_GB2312" w:eastAsia="仿宋_GB2312" w:cs="仿宋_GB2312"/>
          <w:sz w:val="32"/>
          <w:szCs w:val="32"/>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（一）</w:t>
      </w:r>
      <w:r>
        <w:rPr>
          <w:rFonts w:hint="eastAsia" w:ascii="仿宋_GB2312" w:hAnsi="仿宋_GB2312" w:eastAsia="仿宋_GB2312" w:cs="仿宋_GB2312"/>
          <w:sz w:val="32"/>
          <w:szCs w:val="32"/>
        </w:rPr>
        <w:t>通用指标</w:t>
      </w:r>
      <w:r>
        <w:rPr>
          <w:rFonts w:hint="eastAsia" w:ascii="仿宋_GB2312" w:hAnsi="仿宋_GB2312" w:eastAsia="仿宋_GB2312" w:cs="仿宋_GB2312"/>
          <w:sz w:val="32"/>
          <w:szCs w:val="32"/>
          <w:lang w:val="zh-CN"/>
        </w:rPr>
        <w:t>绩效分析。</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项目决策。</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rPr>
        <w:t>项目决策程序严密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村干部</w:t>
      </w:r>
      <w:r>
        <w:rPr>
          <w:rFonts w:hint="eastAsia" w:ascii="仿宋_GB2312" w:hAnsi="仿宋_GB2312" w:eastAsia="仿宋_GB2312" w:cs="仿宋_GB2312"/>
          <w:sz w:val="32"/>
          <w:szCs w:val="32"/>
          <w:lang w:val="en-US" w:eastAsia="zh-CN"/>
        </w:rPr>
        <w:t>体检费</w:t>
      </w:r>
      <w:r>
        <w:rPr>
          <w:rFonts w:hint="eastAsia" w:ascii="仿宋_GB2312" w:hAnsi="仿宋_GB2312" w:eastAsia="仿宋_GB2312" w:cs="仿宋_GB2312"/>
          <w:sz w:val="32"/>
          <w:szCs w:val="32"/>
          <w:lang w:val="zh-CN"/>
        </w:rPr>
        <w:t>项目设立、调整延续等方面符合资金管理基本规范和决策程序要求；项目规划符合中央、省委、省政府有关决策部署安排；项目总体绩效目标设置合理，绩效目标科学合理、规范完整、量化细化、预算匹配；</w:t>
      </w:r>
      <w:r>
        <w:rPr>
          <w:rFonts w:hint="eastAsia" w:ascii="仿宋_GB2312" w:hAnsi="仿宋_GB2312" w:eastAsia="仿宋_GB2312" w:cs="仿宋_GB2312"/>
          <w:sz w:val="32"/>
          <w:szCs w:val="32"/>
        </w:rPr>
        <w:t>该项目</w:t>
      </w:r>
      <w:r>
        <w:rPr>
          <w:rFonts w:hint="eastAsia" w:ascii="仿宋_GB2312" w:hAnsi="仿宋_GB2312" w:eastAsia="仿宋_GB2312" w:cs="仿宋_GB2312"/>
          <w:sz w:val="32"/>
          <w:szCs w:val="32"/>
          <w:lang w:val="zh-CN"/>
        </w:rPr>
        <w:t>属于政府支持范围，且符合财政事权支出责任划分规定，资金投向与项目总体规划、相关行业事业发展相匹配；聚焦重大任务、重点领域、重点环节和重点项目，体现“集中力量办大事”原则；</w:t>
      </w:r>
      <w:r>
        <w:rPr>
          <w:rFonts w:hint="eastAsia" w:ascii="仿宋_GB2312" w:hAnsi="仿宋_GB2312" w:eastAsia="仿宋_GB2312" w:cs="仿宋_GB2312"/>
          <w:sz w:val="32"/>
          <w:szCs w:val="32"/>
        </w:rPr>
        <w:t>该项目</w:t>
      </w:r>
      <w:r>
        <w:rPr>
          <w:rFonts w:hint="eastAsia" w:ascii="仿宋_GB2312" w:hAnsi="仿宋_GB2312" w:eastAsia="仿宋_GB2312" w:cs="仿宋_GB2312"/>
          <w:sz w:val="32"/>
          <w:szCs w:val="32"/>
          <w:lang w:val="zh-CN"/>
        </w:rPr>
        <w:t>未与其他同类项目或部门内部相关项目交叉重复。共计</w:t>
      </w:r>
      <w:r>
        <w:rPr>
          <w:rFonts w:hint="eastAsia" w:ascii="仿宋_GB2312" w:hAnsi="仿宋_GB2312" w:eastAsia="仿宋_GB2312" w:cs="仿宋_GB2312"/>
          <w:sz w:val="32"/>
          <w:szCs w:val="32"/>
        </w:rPr>
        <w:t>得分18分。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项目管理。</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rPr>
        <w:t>资金管理办法等管理制度体系健全完善，不存在管理制度缺失、管理办法过期情况；项目资金分配因素选取、权重设置、区域分布，项目管理、审批符合管理要求；管资金</w:t>
      </w:r>
      <w:r>
        <w:rPr>
          <w:rFonts w:hint="eastAsia" w:ascii="仿宋_GB2312" w:hAnsi="仿宋_GB2312" w:eastAsia="仿宋_GB2312" w:cs="仿宋_GB2312"/>
          <w:sz w:val="32"/>
          <w:szCs w:val="32"/>
          <w:lang w:eastAsia="zh-CN"/>
        </w:rPr>
        <w:t>、管</w:t>
      </w:r>
      <w:r>
        <w:rPr>
          <w:rFonts w:hint="eastAsia" w:ascii="仿宋_GB2312" w:hAnsi="仿宋_GB2312" w:eastAsia="仿宋_GB2312" w:cs="仿宋_GB2312"/>
          <w:sz w:val="32"/>
          <w:szCs w:val="32"/>
        </w:rPr>
        <w:t>项目、政策管绩效，项目绩效监管按要求开展，指导有力有效。</w:t>
      </w:r>
      <w:r>
        <w:rPr>
          <w:rFonts w:hint="eastAsia" w:ascii="仿宋_GB2312" w:hAnsi="仿宋_GB2312" w:eastAsia="仿宋_GB2312" w:cs="仿宋_GB2312"/>
          <w:sz w:val="32"/>
          <w:szCs w:val="32"/>
          <w:lang w:val="zh-CN"/>
        </w:rPr>
        <w:t>共计</w:t>
      </w:r>
      <w:r>
        <w:rPr>
          <w:rFonts w:hint="eastAsia" w:ascii="仿宋_GB2312" w:hAnsi="仿宋_GB2312" w:eastAsia="仿宋_GB2312" w:cs="仿宋_GB2312"/>
          <w:sz w:val="32"/>
          <w:szCs w:val="32"/>
        </w:rPr>
        <w:t>得分18分。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项目实施。</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rPr>
        <w:t>项目资金财政拨付、单位执行和地方配套到位；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_GB2312" w:hAnsi="仿宋_GB2312" w:eastAsia="仿宋_GB2312" w:cs="仿宋_GB2312"/>
          <w:sz w:val="32"/>
          <w:szCs w:val="32"/>
          <w:lang w:val="zh-CN"/>
        </w:rPr>
        <w:t>共计</w:t>
      </w:r>
      <w:r>
        <w:rPr>
          <w:rFonts w:hint="eastAsia" w:ascii="仿宋_GB2312" w:hAnsi="仿宋_GB2312" w:eastAsia="仿宋_GB2312" w:cs="仿宋_GB2312"/>
          <w:sz w:val="32"/>
          <w:szCs w:val="32"/>
        </w:rPr>
        <w:t>得分9分。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项目结果。</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rPr>
        <w:t>项目完成预期目标，实施结果与绩效目标相匹配，反映目标实现100%；项目实际完成时间按计划时间完成。</w:t>
      </w:r>
      <w:r>
        <w:rPr>
          <w:rFonts w:hint="eastAsia" w:ascii="仿宋_GB2312" w:hAnsi="仿宋_GB2312" w:eastAsia="仿宋_GB2312" w:cs="仿宋_GB2312"/>
          <w:sz w:val="32"/>
          <w:szCs w:val="32"/>
          <w:lang w:val="zh-CN"/>
        </w:rPr>
        <w:t>共计</w:t>
      </w:r>
      <w:r>
        <w:rPr>
          <w:rFonts w:hint="eastAsia" w:ascii="仿宋_GB2312" w:hAnsi="仿宋_GB2312" w:eastAsia="仿宋_GB2312" w:cs="仿宋_GB2312"/>
          <w:sz w:val="32"/>
          <w:szCs w:val="32"/>
        </w:rPr>
        <w:t>得分9分。</w:t>
      </w:r>
    </w:p>
    <w:p>
      <w:pPr>
        <w:keepNext w:val="0"/>
        <w:keepLines w:val="0"/>
        <w:pageBreakBefore w:val="0"/>
        <w:numPr>
          <w:ilvl w:val="0"/>
          <w:numId w:val="0"/>
        </w:numPr>
        <w:kinsoku/>
        <w:wordWrap/>
        <w:overflowPunct/>
        <w:topLinePunct w:val="0"/>
        <w:bidi w:val="0"/>
        <w:spacing w:line="560" w:lineRule="exact"/>
        <w:ind w:firstLine="642" w:firstLineChars="20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eastAsia="zh-CN" w:bidi="ar-SA"/>
        </w:rPr>
        <w:t>（二）</w:t>
      </w:r>
      <w:r>
        <w:rPr>
          <w:rFonts w:hint="eastAsia" w:ascii="方正楷体_GBK" w:hAnsi="方正楷体_GBK" w:eastAsia="方正楷体_GBK" w:cs="方正楷体_GBK"/>
          <w:b/>
          <w:sz w:val="32"/>
          <w:szCs w:val="32"/>
        </w:rPr>
        <w:t>专用指标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根据</w:t>
      </w:r>
      <w:r>
        <w:rPr>
          <w:rFonts w:hint="eastAsia" w:ascii="仿宋_GB2312" w:hAnsi="仿宋_GB2312" w:eastAsia="仿宋_GB2312" w:cs="仿宋_GB2312"/>
          <w:sz w:val="32"/>
          <w:szCs w:val="32"/>
        </w:rPr>
        <w:t>专项预算项目资金支持对象选择所属指标进行绩效分析。支持对象</w:t>
      </w:r>
      <w:r>
        <w:rPr>
          <w:rFonts w:hint="eastAsia" w:ascii="仿宋_GB2312" w:hAnsi="仿宋_GB2312" w:eastAsia="仿宋_GB2312" w:cs="仿宋_GB2312"/>
          <w:sz w:val="32"/>
          <w:szCs w:val="32"/>
          <w:lang w:val="zh-CN"/>
        </w:rPr>
        <w:t>包括产业发展、民生保障、基础设施、行政运转等方面。</w:t>
      </w:r>
      <w:r>
        <w:rPr>
          <w:rFonts w:hint="eastAsia" w:ascii="仿宋_GB2312" w:hAnsi="仿宋_GB2312" w:eastAsia="仿宋_GB2312" w:cs="仿宋_GB2312"/>
          <w:sz w:val="32"/>
          <w:szCs w:val="32"/>
          <w:lang w:val="en-US" w:eastAsia="zh-CN"/>
        </w:rPr>
        <w:t>该项目属</w:t>
      </w:r>
      <w:r>
        <w:rPr>
          <w:rFonts w:hint="eastAsia" w:ascii="仿宋_GB2312" w:hAnsi="仿宋_GB2312" w:eastAsia="仿宋_GB2312" w:cs="仿宋_GB2312"/>
          <w:sz w:val="32"/>
          <w:szCs w:val="32"/>
          <w:lang w:val="zh-CN"/>
        </w:rPr>
        <w:t>民生保障。</w:t>
      </w:r>
      <w:r>
        <w:rPr>
          <w:rFonts w:hint="eastAsia" w:ascii="仿宋_GB2312" w:hAnsi="仿宋_GB2312" w:eastAsia="仿宋_GB2312" w:cs="仿宋_GB2312"/>
          <w:sz w:val="32"/>
          <w:szCs w:val="32"/>
        </w:rPr>
        <w:t>项目资金分配均衡；资金实际支持对象符合管理要求，符合支持对象范围；资金实际补贴标准符合资金管理办法规定的补助标准并及时按标准兑现；资金涉及相关受益群体、支持对象满意。共计得分30分。</w:t>
      </w:r>
    </w:p>
    <w:p>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sz w:val="32"/>
          <w:szCs w:val="32"/>
          <w:lang w:val="zh-CN"/>
        </w:rPr>
        <w:t>（三）</w:t>
      </w:r>
      <w:r>
        <w:rPr>
          <w:rFonts w:hint="eastAsia" w:ascii="方正楷体_GBK" w:hAnsi="方正楷体_GBK" w:eastAsia="方正楷体_GBK" w:cs="方正楷体_GBK"/>
          <w:b/>
          <w:sz w:val="32"/>
          <w:szCs w:val="32"/>
        </w:rPr>
        <w:t>个性指标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财务管理：</w:t>
      </w:r>
      <w:r>
        <w:rPr>
          <w:rFonts w:hint="eastAsia" w:ascii="仿宋_GB2312" w:hAnsi="仿宋_GB2312" w:eastAsia="仿宋_GB2312" w:cs="仿宋_GB2312"/>
          <w:sz w:val="32"/>
          <w:szCs w:val="32"/>
          <w:lang w:val="en-US" w:eastAsia="zh-CN"/>
        </w:rPr>
        <w:t>该项目财务管理制度健全，资金拨付效率高，财务资料完整。该项目</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预算编制：</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rPr>
        <w:t>预算</w:t>
      </w:r>
      <w:r>
        <w:rPr>
          <w:rFonts w:hint="eastAsia" w:ascii="仿宋_GB2312" w:hAnsi="仿宋_GB2312" w:eastAsia="仿宋_GB2312" w:cs="仿宋_GB2312"/>
          <w:sz w:val="32"/>
          <w:szCs w:val="32"/>
          <w:lang w:val="zh-CN"/>
        </w:rPr>
        <w:t>编制合理，投</w:t>
      </w:r>
      <w:r>
        <w:rPr>
          <w:rFonts w:hint="eastAsia" w:ascii="仿宋_GB2312" w:hAnsi="仿宋_GB2312" w:eastAsia="仿宋_GB2312" w:cs="仿宋_GB2312"/>
          <w:sz w:val="32"/>
          <w:szCs w:val="32"/>
          <w:lang w:val="en-US" w:eastAsia="zh-CN"/>
        </w:rPr>
        <w:t>资到位及时。</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bCs/>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执行情况：资金已按期拨付，实际执行情况与预算相符，项目实施后已达到预期效果。该项指标得分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分</w:t>
      </w:r>
      <w:r>
        <w:rPr>
          <w:rFonts w:hint="eastAsia" w:ascii="仿宋_GB2312" w:hAnsi="仿宋_GB2312" w:eastAsia="仿宋_GB2312" w:cs="仿宋_GB2312"/>
          <w:bCs/>
          <w:sz w:val="32"/>
          <w:szCs w:val="32"/>
          <w:lang w:val="zh-CN"/>
        </w:rPr>
        <w:t>。</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按照绩效自评工作要求，秉承客观公正、实事求是的原则开展项目绩效自评工作，经对各类指标进行评分和汇总分析，本项目的绩效评价结果为“优”，综合评分 99分。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kern w:val="2"/>
          <w:position w:val="0"/>
          <w:sz w:val="32"/>
          <w:szCs w:val="32"/>
          <w:lang w:eastAsia="zh-CN"/>
        </w:rPr>
      </w:pPr>
      <w:r>
        <w:rPr>
          <w:rFonts w:hint="eastAsia" w:ascii="仿宋_GB2312" w:hAnsi="仿宋_GB2312" w:eastAsia="仿宋_GB2312" w:cs="仿宋_GB2312"/>
          <w:position w:val="0"/>
          <w:sz w:val="32"/>
          <w:szCs w:val="32"/>
          <w:lang w:eastAsia="zh-CN"/>
        </w:rPr>
        <w:t>无。</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tabs>
          <w:tab w:val="left" w:pos="1911"/>
        </w:tabs>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无</w:t>
      </w:r>
      <w:r>
        <w:rPr>
          <w:rFonts w:hint="eastAsia" w:ascii="仿宋_GB2312" w:hAnsi="仿宋_GB2312" w:cs="仿宋_GB2312"/>
          <w:kern w:val="0"/>
          <w:sz w:val="32"/>
          <w:szCs w:val="32"/>
          <w:lang w:eastAsia="zh-CN"/>
        </w:rPr>
        <w:t>。</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附表：1.专项预算绩效自评打分表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2.专项预算绩效自评实地踏勘点位清单表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3.专项预算项目绩效目标完成情况自评表</w:t>
      </w:r>
    </w:p>
    <w:p>
      <w:pPr>
        <w:keepNext w:val="0"/>
        <w:keepLines w:val="0"/>
        <w:pageBreakBefore w:val="0"/>
        <w:kinsoku/>
        <w:wordWrap/>
        <w:overflowPunct/>
        <w:topLinePunct w:val="0"/>
        <w:bidi w:val="0"/>
        <w:spacing w:line="560" w:lineRule="exact"/>
        <w:ind w:firstLine="3840" w:firstLineChars="1200"/>
        <w:textAlignment w:val="auto"/>
        <w:rPr>
          <w:rFonts w:hint="eastAsia" w:ascii="仿宋_GB2312" w:hAnsi="仿宋_GB2312" w:eastAsia="仿宋_GB2312" w:cs="仿宋_GB2312"/>
          <w:sz w:val="32"/>
          <w:szCs w:val="32"/>
          <w:lang w:val="zh-CN"/>
        </w:rPr>
      </w:pPr>
    </w:p>
    <w:p>
      <w:pPr>
        <w:spacing w:line="560" w:lineRule="exact"/>
        <w:ind w:firstLine="640" w:firstLineChars="200"/>
        <w:jc w:val="righ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黑水县晴朗乡人民政府</w:t>
      </w:r>
    </w:p>
    <w:p>
      <w:pPr>
        <w:spacing w:line="560" w:lineRule="exact"/>
        <w:ind w:firstLine="640" w:firstLineChars="200"/>
        <w:jc w:val="righ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2025年4月</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0日</w:t>
      </w:r>
    </w:p>
    <w:p>
      <w:pPr>
        <w:snapToGrid w:val="0"/>
        <w:spacing w:line="578" w:lineRule="exact"/>
        <w:rPr>
          <w:rFonts w:eastAsia="黑体"/>
          <w:kern w:val="0"/>
          <w:shd w:val="clear" w:color="auto" w:fill="FFFFFF"/>
        </w:rPr>
      </w:pPr>
      <w:r>
        <w:rPr>
          <w:rFonts w:eastAsia="黑体"/>
          <w:kern w:val="0"/>
          <w:shd w:val="clear" w:color="auto" w:fill="FFFFFF"/>
          <w:lang w:val="zh-CN"/>
        </w:rPr>
        <w:t>附表</w:t>
      </w:r>
      <w:r>
        <w:rPr>
          <w:rFonts w:eastAsia="黑体"/>
          <w:kern w:val="0"/>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tblPrEx>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w:t>
            </w:r>
            <w:r>
              <w:rPr>
                <w:rFonts w:hint="eastAsia" w:ascii="宋体" w:hAnsi="宋体" w:cs="宋体"/>
                <w:color w:val="000000"/>
                <w:kern w:val="0"/>
                <w:sz w:val="24"/>
                <w:szCs w:val="24"/>
                <w:lang w:eastAsia="zh-CN" w:bidi="ar"/>
              </w:rPr>
              <w:t>中央、省委</w:t>
            </w:r>
            <w:r>
              <w:rPr>
                <w:rFonts w:hint="eastAsia" w:ascii="宋体" w:hAnsi="宋体" w:eastAsia="宋体" w:cs="宋体"/>
                <w:color w:val="000000"/>
                <w:kern w:val="0"/>
                <w:sz w:val="24"/>
                <w:szCs w:val="24"/>
                <w:lang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w:t>
            </w:r>
            <w:r>
              <w:rPr>
                <w:rFonts w:hint="eastAsia" w:ascii="宋体" w:hAnsi="宋体" w:cs="宋体"/>
                <w:color w:val="000000"/>
                <w:kern w:val="0"/>
                <w:sz w:val="24"/>
                <w:szCs w:val="24"/>
                <w:lang w:eastAsia="zh-CN" w:bidi="ar"/>
              </w:rPr>
              <w:t>省委、省政府</w:t>
            </w:r>
            <w:r>
              <w:rPr>
                <w:rFonts w:hint="eastAsia" w:ascii="宋体" w:hAnsi="宋体" w:eastAsia="宋体" w:cs="宋体"/>
                <w:color w:val="000000"/>
                <w:kern w:val="0"/>
                <w:sz w:val="24"/>
                <w:szCs w:val="24"/>
                <w:lang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2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357"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财务管理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财务管理不符合专项资金管理要求。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预算编制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预算编制不符合专项资金管理要求。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执行情况</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资金执行不符合专项资金管理要求。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spacing w:line="578" w:lineRule="exact"/>
      </w:pPr>
      <w:r>
        <w:rPr>
          <w:rFonts w:eastAsia="黑体"/>
          <w:kern w:val="0"/>
          <w:shd w:val="clear" w:color="auto" w:fill="FFFFFF"/>
          <w:lang w:val="zh-CN"/>
        </w:rPr>
        <w:br w:type="page"/>
      </w:r>
      <w:r>
        <w:rPr>
          <w:rFonts w:eastAsia="黑体"/>
          <w:kern w:val="0"/>
          <w:shd w:val="clear" w:color="auto" w:fill="FFFFFF"/>
          <w:lang w:val="zh-CN"/>
        </w:rPr>
        <w:t>附表</w:t>
      </w:r>
      <w:r>
        <w:rPr>
          <w:rFonts w:hint="eastAsia"/>
          <w:kern w:val="0"/>
          <w:shd w:val="clear" w:color="auto" w:fill="FFFFFF"/>
        </w:rPr>
        <w:t>2</w:t>
      </w:r>
    </w:p>
    <w:p>
      <w:pPr>
        <w:spacing w:line="578" w:lineRule="exact"/>
        <w:jc w:val="center"/>
        <w:rPr>
          <w:rFonts w:eastAsia="方正小标宋_GBK"/>
          <w:sz w:val="40"/>
          <w:szCs w:val="40"/>
        </w:rPr>
      </w:pPr>
      <w:r>
        <w:rPr>
          <w:rFonts w:eastAsia="方正小标宋_GBK"/>
          <w:sz w:val="40"/>
          <w:szCs w:val="40"/>
        </w:rPr>
        <w:t>专项预算绩效自评实地踏勘点位清单表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黑体"/>
                <w:sz w:val="24"/>
                <w:szCs w:val="24"/>
              </w:rPr>
            </w:pPr>
            <w:r>
              <w:rPr>
                <w:rFonts w:eastAsia="黑体"/>
                <w:sz w:val="24"/>
                <w:szCs w:val="24"/>
              </w:rPr>
              <w:t>序号</w:t>
            </w:r>
          </w:p>
        </w:tc>
        <w:tc>
          <w:tcPr>
            <w:tcW w:w="5956" w:type="dxa"/>
            <w:noWrap w:val="0"/>
            <w:vAlign w:val="top"/>
          </w:tcPr>
          <w:p>
            <w:pPr>
              <w:spacing w:line="300" w:lineRule="exact"/>
              <w:jc w:val="center"/>
              <w:rPr>
                <w:rFonts w:eastAsia="黑体"/>
                <w:sz w:val="24"/>
                <w:szCs w:val="24"/>
                <w:lang w:val="en"/>
              </w:rPr>
            </w:pPr>
            <w:r>
              <w:rPr>
                <w:rFonts w:eastAsia="黑体"/>
                <w:sz w:val="24"/>
                <w:szCs w:val="24"/>
              </w:rPr>
              <w:t>实地踏勘点位</w:t>
            </w:r>
          </w:p>
        </w:tc>
        <w:tc>
          <w:tcPr>
            <w:tcW w:w="905" w:type="dxa"/>
            <w:noWrap w:val="0"/>
            <w:vAlign w:val="top"/>
          </w:tcPr>
          <w:p>
            <w:pPr>
              <w:spacing w:line="300" w:lineRule="exact"/>
              <w:jc w:val="center"/>
              <w:rPr>
                <w:rFonts w:eastAsia="黑体"/>
                <w:sz w:val="24"/>
                <w:szCs w:val="24"/>
              </w:rPr>
            </w:pPr>
            <w:r>
              <w:rPr>
                <w:rFonts w:eastAsia="黑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w:t>
            </w:r>
          </w:p>
        </w:tc>
        <w:tc>
          <w:tcPr>
            <w:tcW w:w="5956" w:type="dxa"/>
            <w:noWrap w:val="0"/>
            <w:vAlign w:val="top"/>
          </w:tcPr>
          <w:p>
            <w:pPr>
              <w:spacing w:line="300" w:lineRule="exact"/>
              <w:jc w:val="center"/>
              <w:rPr>
                <w:rFonts w:hint="default" w:eastAsia="仿宋_GB2312"/>
                <w:sz w:val="24"/>
                <w:szCs w:val="24"/>
                <w:lang w:val="en-US" w:eastAsia="zh-CN"/>
              </w:rPr>
            </w:pPr>
            <w:r>
              <w:rPr>
                <w:rFonts w:hint="eastAsia"/>
                <w:sz w:val="24"/>
                <w:szCs w:val="24"/>
                <w:lang w:val="en-US" w:eastAsia="zh-CN"/>
              </w:rPr>
              <w:t>黑水县晴朗乡人民政府</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8</w:t>
            </w:r>
          </w:p>
        </w:tc>
        <w:tc>
          <w:tcPr>
            <w:tcW w:w="5956" w:type="dxa"/>
            <w:noWrap w:val="0"/>
            <w:vAlign w:val="top"/>
          </w:tcPr>
          <w:p>
            <w:pPr>
              <w:spacing w:line="300" w:lineRule="exact"/>
              <w:jc w:val="center"/>
              <w:rPr>
                <w:sz w:val="24"/>
                <w:szCs w:val="24"/>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9</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10</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11</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18</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19</w:t>
            </w:r>
          </w:p>
        </w:tc>
        <w:tc>
          <w:tcPr>
            <w:tcW w:w="5956" w:type="dxa"/>
            <w:noWrap w:val="0"/>
            <w:vAlign w:val="top"/>
          </w:tcPr>
          <w:p>
            <w:pPr>
              <w:spacing w:line="300" w:lineRule="exact"/>
              <w:jc w:val="center"/>
              <w:rPr>
                <w:sz w:val="24"/>
                <w:szCs w:val="24"/>
                <w:lang w:val="en"/>
              </w:rPr>
            </w:pPr>
            <w:r>
              <w:rPr>
                <w:rFonts w:hint="eastAsia"/>
                <w:sz w:val="24"/>
                <w:szCs w:val="24"/>
                <w:lang w:val="en"/>
              </w:rPr>
              <w:t>……</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20</w:t>
            </w:r>
          </w:p>
        </w:tc>
        <w:tc>
          <w:tcPr>
            <w:tcW w:w="5956" w:type="dxa"/>
            <w:noWrap w:val="0"/>
            <w:vAlign w:val="top"/>
          </w:tcPr>
          <w:p>
            <w:pPr>
              <w:spacing w:line="300" w:lineRule="exact"/>
              <w:rPr>
                <w:sz w:val="24"/>
                <w:szCs w:val="24"/>
                <w:lang w:val="en"/>
              </w:rPr>
            </w:pPr>
          </w:p>
        </w:tc>
        <w:tc>
          <w:tcPr>
            <w:tcW w:w="905" w:type="dxa"/>
            <w:noWrap w:val="0"/>
            <w:vAlign w:val="top"/>
          </w:tcPr>
          <w:p>
            <w:pPr>
              <w:spacing w:line="300" w:lineRule="exact"/>
              <w:rPr>
                <w:sz w:val="24"/>
                <w:szCs w:val="24"/>
              </w:rPr>
            </w:pPr>
          </w:p>
        </w:tc>
      </w:tr>
    </w:tbl>
    <w:p>
      <w:pPr>
        <w:spacing w:line="400" w:lineRule="exact"/>
        <w:jc w:val="center"/>
        <w:rPr>
          <w:rFonts w:eastAsia="宋体"/>
          <w:sz w:val="21"/>
          <w:szCs w:val="21"/>
        </w:rPr>
      </w:pPr>
      <w:r>
        <w:rPr>
          <w:rFonts w:eastAsia="宋体"/>
          <w:sz w:val="21"/>
          <w:szCs w:val="21"/>
        </w:rPr>
        <w:t>备注：项目</w:t>
      </w:r>
      <w:r>
        <w:rPr>
          <w:rFonts w:hint="eastAsia" w:eastAsia="宋体"/>
          <w:sz w:val="21"/>
          <w:szCs w:val="21"/>
        </w:rPr>
        <w:t>实地踏勘</w:t>
      </w:r>
      <w:r>
        <w:rPr>
          <w:rFonts w:eastAsia="宋体"/>
          <w:sz w:val="21"/>
          <w:szCs w:val="21"/>
        </w:rPr>
        <w:t>点位包括市（州）本级、县（市、区）</w:t>
      </w:r>
      <w:r>
        <w:rPr>
          <w:rFonts w:hint="eastAsia" w:eastAsia="宋体"/>
          <w:sz w:val="21"/>
          <w:szCs w:val="21"/>
        </w:rPr>
        <w:t>本级及有关项目、单位、公司</w:t>
      </w:r>
      <w:r>
        <w:rPr>
          <w:rFonts w:eastAsia="宋体"/>
          <w:sz w:val="21"/>
          <w:szCs w:val="21"/>
        </w:rPr>
        <w:t>等。</w:t>
      </w:r>
    </w:p>
    <w:p>
      <w:pPr>
        <w:snapToGrid w:val="0"/>
        <w:spacing w:line="578" w:lineRule="exact"/>
        <w:rPr>
          <w:rFonts w:eastAsia="黑体"/>
          <w:kern w:val="0"/>
          <w:shd w:val="clear" w:color="auto" w:fill="FFFFFF"/>
          <w:lang w:val="zh-CN"/>
        </w:rPr>
      </w:pPr>
    </w:p>
    <w:p>
      <w:pPr>
        <w:snapToGrid w:val="0"/>
        <w:spacing w:line="578" w:lineRule="exact"/>
        <w:rPr>
          <w:rFonts w:eastAsia="黑体"/>
          <w:kern w:val="0"/>
          <w:shd w:val="clear" w:color="auto" w:fill="FFFFFF"/>
        </w:rPr>
      </w:pPr>
      <w:r>
        <w:rPr>
          <w:rFonts w:eastAsia="黑体"/>
          <w:kern w:val="0"/>
          <w:shd w:val="clear" w:color="auto" w:fill="FFFFFF"/>
          <w:lang w:val="zh-CN"/>
        </w:rPr>
        <w:br w:type="page"/>
      </w:r>
      <w:r>
        <w:rPr>
          <w:rFonts w:eastAsia="黑体"/>
          <w:kern w:val="0"/>
          <w:shd w:val="clear" w:color="auto" w:fill="FFFFFF"/>
          <w:lang w:val="zh-CN"/>
        </w:rPr>
        <w:t>附表</w:t>
      </w:r>
      <w:r>
        <w:rPr>
          <w:rFonts w:hint="eastAsia" w:eastAsia="黑体"/>
          <w:kern w:val="0"/>
          <w:shd w:val="clear" w:color="auto" w:fill="FFFFFF"/>
        </w:rPr>
        <w:t>3</w:t>
      </w:r>
    </w:p>
    <w:tbl>
      <w:tblPr>
        <w:tblStyle w:val="10"/>
        <w:tblW w:w="10233" w:type="dxa"/>
        <w:jc w:val="center"/>
        <w:tblLayout w:type="fixed"/>
        <w:tblCellMar>
          <w:top w:w="15" w:type="dxa"/>
          <w:left w:w="15" w:type="dxa"/>
          <w:bottom w:w="15" w:type="dxa"/>
          <w:right w:w="15" w:type="dxa"/>
        </w:tblCellMar>
      </w:tblPr>
      <w:tblGrid>
        <w:gridCol w:w="500"/>
        <w:gridCol w:w="1490"/>
        <w:gridCol w:w="1283"/>
        <w:gridCol w:w="1641"/>
        <w:gridCol w:w="380"/>
        <w:gridCol w:w="1219"/>
        <w:gridCol w:w="381"/>
        <w:gridCol w:w="793"/>
        <w:gridCol w:w="369"/>
        <w:gridCol w:w="326"/>
        <w:gridCol w:w="1851"/>
      </w:tblGrid>
      <w:tr>
        <w:tblPrEx>
          <w:tblCellMar>
            <w:top w:w="15" w:type="dxa"/>
            <w:left w:w="15" w:type="dxa"/>
            <w:bottom w:w="15" w:type="dxa"/>
            <w:right w:w="15" w:type="dxa"/>
          </w:tblCellMar>
        </w:tblPrEx>
        <w:trPr>
          <w:trHeight w:val="576" w:hRule="atLeast"/>
          <w:jc w:val="center"/>
        </w:trPr>
        <w:tc>
          <w:tcPr>
            <w:tcW w:w="10233" w:type="dxa"/>
            <w:gridSpan w:val="11"/>
            <w:noWrap w:val="0"/>
            <w:vAlign w:val="center"/>
          </w:tcPr>
          <w:p>
            <w:pPr>
              <w:keepNext w:val="0"/>
              <w:keepLines w:val="0"/>
              <w:widowControl/>
              <w:suppressLineNumbers w:val="0"/>
              <w:jc w:val="center"/>
              <w:textAlignment w:val="center"/>
              <w:rPr>
                <w:rFonts w:eastAsia="黑体"/>
                <w:color w:val="000000"/>
                <w:sz w:val="30"/>
                <w:szCs w:val="30"/>
              </w:rPr>
            </w:pPr>
            <w:r>
              <w:rPr>
                <w:rFonts w:hint="default" w:ascii="黑体" w:hAnsi="宋体" w:eastAsia="黑体" w:cs="黑体"/>
                <w:b/>
                <w:bCs/>
                <w:i w:val="0"/>
                <w:iCs w:val="0"/>
                <w:color w:val="000000"/>
                <w:kern w:val="0"/>
                <w:sz w:val="30"/>
                <w:szCs w:val="30"/>
                <w:u w:val="none"/>
                <w:lang w:val="en-US" w:eastAsia="zh-CN" w:bidi="ar"/>
              </w:rPr>
              <w:t>部门预算项目支出绩效自评表（2024年度）</w:t>
            </w:r>
          </w:p>
        </w:tc>
      </w:tr>
      <w:tr>
        <w:tblPrEx>
          <w:tblCellMar>
            <w:top w:w="15" w:type="dxa"/>
            <w:left w:w="15" w:type="dxa"/>
            <w:bottom w:w="15" w:type="dxa"/>
            <w:right w:w="15" w:type="dxa"/>
          </w:tblCellMar>
        </w:tblPrEx>
        <w:trPr>
          <w:trHeight w:val="23"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项目名称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51322825T000012127669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黑水县2024年省星级现代农业园区激励补助项目</w:t>
            </w:r>
          </w:p>
        </w:tc>
      </w:tr>
      <w:tr>
        <w:tblPrEx>
          <w:tblCellMar>
            <w:top w:w="15" w:type="dxa"/>
            <w:left w:w="15" w:type="dxa"/>
            <w:bottom w:w="15" w:type="dxa"/>
            <w:right w:w="15" w:type="dxa"/>
          </w:tblCellMar>
        </w:tblPrEx>
        <w:trPr>
          <w:trHeight w:val="458"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主管部门</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黑水县晴朗乡</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实施单位 （盖章）</w:t>
            </w:r>
          </w:p>
        </w:tc>
        <w:tc>
          <w:tcPr>
            <w:tcW w:w="254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黑水县晴朗乡人民政府（行政及参公）</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项目基本情况</w:t>
            </w: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以打造稳产、高效、优质的全产业链融合高原粮经产业示范样板的目标，以《阿坝州推进“三品一标”行动引领农牧业高质量发展的实施意见（2024—2026年）》为引领，以“小麦+蔬菜”为主导产业，激发园区各经营主体市场活力，创新高原“小麦+蔬菜”粮经复合种植模式。采购资金434.6万元</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已完成。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2.项目实施内容及过程概述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以打造稳产、高效、优质的全产业链融合高原粮经产业示范样板的目标，以《阿坝州推进“三品一标”行动引领农牧业高质量发展的实施意见（2024—2026年）》为引领，以“小麦+蔬菜”为主导产业，激发园区各经营主体市场活力，创新高原“小麦+蔬菜”粮经复合种植模式。采购资金434.6万元</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预算执行情况（10分）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年度预算数（万元）</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调整后预算数</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预算执行数</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预算执行率</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原因</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总额</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434.60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121.95</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28.06%</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restart"/>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其中：财政资金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434.60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121.95</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28.06%</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财政专户管理资金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单位资金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其他资金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绩效指标（90分）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一级指标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三级指标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产出指标</w:t>
            </w:r>
          </w:p>
        </w:tc>
        <w:tc>
          <w:tcPr>
            <w:tcW w:w="128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农业库及配套检修、吊装等设施</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平方米</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单轨运输车</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千米</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土地灌溉</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820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亩</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820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608" w:hRule="atLeast"/>
          <w:jc w:val="center"/>
        </w:trPr>
        <w:tc>
          <w:tcPr>
            <w:tcW w:w="50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auto"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种植基地土地</w:t>
            </w:r>
            <w:r>
              <w:rPr>
                <w:rFonts w:hint="eastAsia" w:ascii="宋体" w:hAnsi="宋体" w:cs="宋体"/>
                <w:i w:val="0"/>
                <w:iCs w:val="0"/>
                <w:color w:val="000000"/>
                <w:kern w:val="0"/>
                <w:sz w:val="18"/>
                <w:szCs w:val="18"/>
                <w:u w:val="none"/>
                <w:lang w:val="en-US" w:eastAsia="zh-CN" w:bidi="ar"/>
              </w:rPr>
              <w:t>调整</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30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亩</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30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auto" w:sz="4" w:space="0"/>
              <w:right w:val="single" w:color="000000"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冷链物流设施设备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rPr>
            </w:pPr>
            <w:r>
              <w:rPr>
                <w:rFonts w:ascii="宋体" w:hAnsi="宋体" w:eastAsia="宋体" w:cs="宋体"/>
                <w:i w:val="0"/>
                <w:iCs w:val="0"/>
                <w:color w:val="000000"/>
                <w:kern w:val="0"/>
                <w:sz w:val="18"/>
                <w:szCs w:val="18"/>
                <w:u w:val="none"/>
                <w:lang w:val="en-US" w:eastAsia="zh-CN" w:bidi="ar"/>
              </w:rPr>
              <w:t>1</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套</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auto" w:sz="4" w:space="0"/>
              <w:bottom w:val="single" w:color="auto" w:sz="4" w:space="0"/>
              <w:right w:val="single" w:color="000000"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6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土地提升面积</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1600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亩</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1600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vMerge w:val="continue"/>
            <w:tcBorders>
              <w:left w:val="single" w:color="auto" w:sz="4" w:space="0"/>
              <w:right w:val="single" w:color="auto" w:sz="4" w:space="0"/>
            </w:tcBorders>
            <w:noWrap w:val="0"/>
            <w:vAlign w:val="center"/>
          </w:tcPr>
          <w:p>
            <w:pPr>
              <w:jc w:val="center"/>
            </w:pPr>
          </w:p>
        </w:tc>
        <w:tc>
          <w:tcPr>
            <w:tcW w:w="128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项目（工程）验收合格率</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478"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right w:val="single" w:color="auto"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c>
          <w:tcPr>
            <w:tcW w:w="128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项目（工程）完工及时率</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6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left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restart"/>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128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经济效益指标</w:t>
            </w: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带动周边群众务工</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400</w:t>
            </w:r>
          </w:p>
        </w:tc>
        <w:tc>
          <w:tcPr>
            <w:tcW w:w="38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人</w:t>
            </w:r>
          </w:p>
        </w:tc>
        <w:tc>
          <w:tcPr>
            <w:tcW w:w="79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400</w:t>
            </w:r>
          </w:p>
        </w:tc>
        <w:tc>
          <w:tcPr>
            <w:tcW w:w="36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left w:val="single" w:color="auto" w:sz="4" w:space="0"/>
              <w:bottom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c>
          <w:tcPr>
            <w:tcW w:w="12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6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设计使用年限</w:t>
            </w:r>
          </w:p>
        </w:tc>
        <w:tc>
          <w:tcPr>
            <w:tcW w:w="3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w:t>
            </w:r>
          </w:p>
        </w:tc>
        <w:tc>
          <w:tcPr>
            <w:tcW w:w="3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w:t>
            </w:r>
          </w:p>
        </w:tc>
        <w:tc>
          <w:tcPr>
            <w:tcW w:w="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w:t>
            </w:r>
          </w:p>
        </w:tc>
        <w:tc>
          <w:tcPr>
            <w:tcW w:w="3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auto" w:sz="4" w:space="0"/>
              <w:left w:val="single" w:color="auto" w:sz="4" w:space="0"/>
              <w:bottom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bottom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28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受益脱贫户及监测对象满意度</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98</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bl>
    <w:p>
      <w:pPr>
        <w:pStyle w:val="2"/>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00000001" w:usb1="0800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微软雅黑">
    <w:altName w:val="方正黑体_GBK"/>
    <w:panose1 w:val="020B0503020204020204"/>
    <w:charset w:val="86"/>
    <w:family w:val="auto"/>
    <w:pitch w:val="default"/>
    <w:sig w:usb0="00000000" w:usb1="0000000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0D7CF1"/>
    <w:multiLevelType w:val="singleLevel"/>
    <w:tmpl w:val="E80D7CF1"/>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100566B3"/>
    <w:rsid w:val="1B4A3EC4"/>
    <w:rsid w:val="2439349C"/>
    <w:rsid w:val="244E01D1"/>
    <w:rsid w:val="33DA011B"/>
    <w:rsid w:val="358B1B11"/>
    <w:rsid w:val="3B3D117C"/>
    <w:rsid w:val="423607D0"/>
    <w:rsid w:val="4A0B0DD8"/>
    <w:rsid w:val="54492AD9"/>
    <w:rsid w:val="55704B34"/>
    <w:rsid w:val="563F1955"/>
    <w:rsid w:val="57B166CC"/>
    <w:rsid w:val="5B1618C6"/>
    <w:rsid w:val="5B6B6089"/>
    <w:rsid w:val="5DBC40E7"/>
    <w:rsid w:val="77991202"/>
    <w:rsid w:val="79EB757B"/>
    <w:rsid w:val="9DEFAD03"/>
    <w:rsid w:val="C97DC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200" w:leftChars="200" w:hanging="200" w:hangingChars="200"/>
    </w:pPr>
  </w:style>
  <w:style w:type="paragraph" w:styleId="4">
    <w:name w:val="Normal Indent"/>
    <w:basedOn w:val="1"/>
    <w:unhideWhenUsed/>
    <w:qFormat/>
    <w:uiPriority w:val="99"/>
    <w:pPr>
      <w:autoSpaceDE w:val="0"/>
      <w:autoSpaceDN w:val="0"/>
      <w:ind w:firstLine="420" w:firstLineChars="200"/>
      <w:jc w:val="left"/>
    </w:pPr>
    <w:rPr>
      <w:rFonts w:hint="eastAsia" w:ascii="仿宋" w:hAnsi="仿宋" w:eastAsia="仿宋"/>
      <w:kern w:val="0"/>
      <w:sz w:val="22"/>
      <w:szCs w:val="22"/>
    </w:rPr>
  </w:style>
  <w:style w:type="paragraph" w:styleId="5">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6">
    <w:name w:val="Body Text Indent"/>
    <w:basedOn w:val="1"/>
    <w:qFormat/>
    <w:uiPriority w:val="0"/>
    <w:pPr>
      <w:spacing w:after="120"/>
      <w:ind w:leftChars="200"/>
    </w:pPr>
    <w:rPr>
      <w:rFonts w:ascii="仿宋_GB2312"/>
      <w:szCs w:val="32"/>
    </w:rPr>
  </w:style>
  <w:style w:type="paragraph" w:styleId="7">
    <w:name w:val="footer"/>
    <w:basedOn w:val="1"/>
    <w:link w:val="13"/>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Body Text First Indent 2"/>
    <w:basedOn w:val="6"/>
    <w:unhideWhenUsed/>
    <w:qFormat/>
    <w:uiPriority w:val="99"/>
    <w:pPr>
      <w:ind w:firstLine="420" w:firstLineChars="200"/>
    </w:pPr>
  </w:style>
  <w:style w:type="character" w:customStyle="1" w:styleId="12">
    <w:name w:val="页眉 Char"/>
    <w:basedOn w:val="11"/>
    <w:link w:val="8"/>
    <w:semiHidden/>
    <w:qFormat/>
    <w:uiPriority w:val="99"/>
    <w:rPr>
      <w:sz w:val="18"/>
      <w:szCs w:val="18"/>
    </w:rPr>
  </w:style>
  <w:style w:type="character" w:customStyle="1" w:styleId="13">
    <w:name w:val="页脚 Char"/>
    <w:basedOn w:val="11"/>
    <w:link w:val="7"/>
    <w:semiHidden/>
    <w:qFormat/>
    <w:uiPriority w:val="99"/>
    <w:rPr>
      <w:sz w:val="18"/>
      <w:szCs w:val="18"/>
    </w:rPr>
  </w:style>
  <w:style w:type="character" w:customStyle="1" w:styleId="14">
    <w:name w:val="标题 1 Char"/>
    <w:basedOn w:val="11"/>
    <w:link w:val="3"/>
    <w:qFormat/>
    <w:uiPriority w:val="9"/>
    <w:rPr>
      <w:rFonts w:ascii="Times New Roman" w:hAnsi="Times New Roman" w:eastAsia="宋体" w:cs="Times New Roman"/>
      <w:b/>
      <w:bCs/>
      <w:kern w:val="44"/>
      <w:sz w:val="44"/>
      <w:szCs w:val="44"/>
    </w:rPr>
  </w:style>
  <w:style w:type="paragraph" w:customStyle="1" w:styleId="1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16">
    <w:name w:val="NormalCharacter"/>
    <w:semiHidden/>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96</Pages>
  <Words>3446</Words>
  <Characters>3533</Characters>
  <Lines>2</Lines>
  <Paragraphs>1</Paragraphs>
  <TotalTime>3</TotalTime>
  <ScaleCrop>false</ScaleCrop>
  <LinksUpToDate>false</LinksUpToDate>
  <CharactersWithSpaces>3535</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2019-08-19T17:06:00Z</dcterms:created>
  <dc:creator>Sky123.Org</dc:creator>
  <cp:lastModifiedBy>user</cp:lastModifiedBy>
  <dcterms:modified xsi:type="dcterms:W3CDTF">2025-12-02T15:34:56Z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E4F64EA37B914C8DA91DC40870E2AB8D_13</vt:lpwstr>
  </property>
  <property fmtid="{D5CDD505-2E9C-101B-9397-08002B2CF9AE}" pid="4" name="KSOTemplateDocerSaveRecord">
    <vt:lpwstr>eyJoZGlkIjoiMDczYmE5NjdmOTRlNGVkN2Y4NmRiZDA3YmY2ZDNlZDIiLCJ1c2VySWQiOiI0MTY3NDgzODEifQ==</vt:lpwstr>
  </property>
</Properties>
</file>