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D834B">
      <w:pPr>
        <w:widowControl/>
        <w:spacing w:line="560" w:lineRule="exact"/>
        <w:contextualSpacing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黑水县晴朗乡人民政府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  <w:lang w:eastAsia="zh-CN"/>
        </w:rPr>
        <w:t>（</w:t>
      </w:r>
      <w:bookmarkEnd w:id="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事业）</w:t>
      </w:r>
    </w:p>
    <w:p w14:paraId="56DE3428">
      <w:pPr>
        <w:widowControl/>
        <w:spacing w:line="560" w:lineRule="exact"/>
        <w:contextualSpacing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2024年整体支出绩效评价报告</w:t>
      </w:r>
    </w:p>
    <w:p w14:paraId="2D45A593">
      <w:pPr>
        <w:widowControl/>
        <w:spacing w:line="560" w:lineRule="exact"/>
        <w:contextualSpacing/>
        <w:jc w:val="center"/>
        <w:rPr>
          <w:szCs w:val="32"/>
          <w:shd w:val="clear" w:color="auto" w:fill="FFFFFF"/>
        </w:rPr>
      </w:pPr>
    </w:p>
    <w:p w14:paraId="6EB4E615">
      <w:pPr>
        <w:spacing w:line="560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一、单位概况</w:t>
      </w:r>
    </w:p>
    <w:p w14:paraId="7D8FAE62">
      <w:p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（一）机构组成</w:t>
      </w:r>
    </w:p>
    <w:p w14:paraId="584A0253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黑水县晴朗乡人民政府，统一社会信用代码：</w:t>
      </w:r>
      <w:r>
        <w:rPr>
          <w:rFonts w:ascii="仿宋_GB2312" w:hAnsi="仿宋" w:cs="仿宋_GB2312"/>
          <w:szCs w:val="32"/>
        </w:rPr>
        <w:t>11513228008943214R</w:t>
      </w:r>
      <w:r>
        <w:rPr>
          <w:rFonts w:hint="eastAsia" w:ascii="仿宋_GB2312" w:hAnsi="仿宋" w:cs="仿宋_GB2312"/>
          <w:szCs w:val="32"/>
        </w:rPr>
        <w:t>，机构地址：四川省阿坝州黑水县晴朗乡红星村，法定代表人：王维峰，机构性质：机关。</w:t>
      </w:r>
      <w:r>
        <w:rPr>
          <w:rFonts w:hint="eastAsia" w:ascii="仿宋_GB2312" w:eastAsia="仿宋_GB2312" w:cs="Times New Roman"/>
          <w:b w:val="0"/>
          <w:bCs w:val="0"/>
          <w:kern w:val="2"/>
          <w:sz w:val="32"/>
          <w:szCs w:val="32"/>
          <w:shd w:val="clear" w:color="auto" w:fill="auto"/>
          <w:lang w:val="en-US" w:eastAsia="zh-CN" w:bidi="ar-SA"/>
        </w:rPr>
        <w:t>黑水县晴朗乡人民政府无下属二级核算单位，全镇共辖7个行政村。晴朗乡下设</w:t>
      </w:r>
      <w:r>
        <w:rPr>
          <w:rFonts w:hint="eastAsia" w:ascii="仿宋_GB2312" w:cs="Times New Roman"/>
          <w:b w:val="0"/>
          <w:bCs w:val="0"/>
          <w:kern w:val="2"/>
          <w:sz w:val="32"/>
          <w:szCs w:val="32"/>
          <w:shd w:val="clear" w:color="auto" w:fill="auto"/>
          <w:lang w:val="en-US" w:eastAsia="zh-CN" w:bidi="ar-SA"/>
        </w:rPr>
        <w:t>5个行政</w:t>
      </w:r>
      <w:r>
        <w:rPr>
          <w:rFonts w:hint="eastAsia" w:ascii="仿宋_GB2312" w:eastAsia="仿宋_GB2312" w:cs="Times New Roman"/>
          <w:b w:val="0"/>
          <w:bCs w:val="0"/>
          <w:kern w:val="2"/>
          <w:sz w:val="32"/>
          <w:szCs w:val="32"/>
          <w:shd w:val="clear" w:color="auto" w:fill="auto"/>
          <w:lang w:val="en-US" w:eastAsia="zh-CN" w:bidi="ar-SA"/>
        </w:rPr>
        <w:t>办公室：党政综合办公室、党建工作办公室、应急管理和综合行政执法办公室、社会事务和村镇管理办公室、生态经济发展和乡村振兴办公室。下设事业机构2个：黑水县晴朗乡便民和退役军人服务中心、黑水县晴朗乡农业农村和文化旅游服务中心。</w:t>
      </w:r>
    </w:p>
    <w:p w14:paraId="41A03242">
      <w:p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（二）机构职能</w:t>
      </w:r>
    </w:p>
    <w:p w14:paraId="3F400DD6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1.</w:t>
      </w:r>
      <w:r>
        <w:rPr>
          <w:rFonts w:hint="eastAsia" w:ascii="仿宋_GB2312" w:hAnsi="仿宋" w:cs="仿宋_GB2312"/>
          <w:szCs w:val="32"/>
        </w:rPr>
        <w:t>加强党的领导，抓好基层党建</w:t>
      </w:r>
    </w:p>
    <w:p w14:paraId="6289B1D1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（1）履行政治领导责任，做好理论武装和思想政治工作，负责学习、宣传、贯彻执行党的理论和路线方针政策，贯彻落实党中央、省委、州委、县委的决策部署，发挥好把方向、管大局、保落实的重要作用。</w:t>
      </w:r>
    </w:p>
    <w:p w14:paraId="4389EEF9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（2）履行党要管党、</w:t>
      </w:r>
      <w:r>
        <w:rPr>
          <w:rFonts w:hint="eastAsia" w:ascii="仿宋_GB2312" w:hAnsi="仿宋" w:cs="仿宋_GB2312"/>
          <w:szCs w:val="32"/>
          <w:lang w:eastAsia="zh-CN"/>
        </w:rPr>
        <w:t>全面从严治党主体责任</w:t>
      </w:r>
      <w:r>
        <w:rPr>
          <w:rFonts w:hint="eastAsia" w:ascii="仿宋_GB2312" w:hAnsi="仿宋" w:cs="仿宋_GB2312"/>
          <w:szCs w:val="32"/>
        </w:rPr>
        <w:t>，全面推进党的政治建设、思想建设、组织建设、作风建设、纪律建设，落实党建工作责任制，推动全面从严治党向基层延伸。认真履行党风廉政建设主体责任，维护和执行党的纪律，监督党员干部和其他任何工作人员严格遵守国家法律法规。</w:t>
      </w:r>
    </w:p>
    <w:p w14:paraId="1C4E5EE6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（3）讨论和决定辖区内</w:t>
      </w:r>
      <w:r>
        <w:rPr>
          <w:rFonts w:hint="eastAsia" w:ascii="仿宋_GB2312" w:hAnsi="仿宋" w:cs="仿宋_GB2312"/>
          <w:szCs w:val="32"/>
          <w:lang w:eastAsia="zh-CN"/>
        </w:rPr>
        <w:t>经济建设、政治建设、文化建设、社会建设、生态文明建设</w:t>
      </w:r>
      <w:r>
        <w:rPr>
          <w:rFonts w:hint="eastAsia" w:ascii="仿宋_GB2312" w:hAnsi="仿宋" w:cs="仿宋_GB2312"/>
          <w:szCs w:val="32"/>
        </w:rPr>
        <w:t>、</w:t>
      </w:r>
      <w:r>
        <w:rPr>
          <w:rFonts w:hint="eastAsia" w:ascii="仿宋_GB2312" w:hAnsi="仿宋" w:cs="仿宋_GB2312"/>
          <w:szCs w:val="32"/>
          <w:lang w:eastAsia="zh-CN"/>
        </w:rPr>
        <w:t>法治建设</w:t>
      </w:r>
      <w:r>
        <w:rPr>
          <w:rFonts w:hint="eastAsia" w:ascii="仿宋_GB2312" w:hAnsi="仿宋" w:cs="仿宋_GB2312"/>
          <w:szCs w:val="32"/>
        </w:rPr>
        <w:t>和党的建设以及乡村振兴中的重大问题。其他应当由党委讨论和决定的重大问题。</w:t>
      </w:r>
    </w:p>
    <w:p w14:paraId="1E00BBBD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 xml:space="preserve">（4）贯彻党管干部原则，加强干部队伍建设，完善干部培养选拔机制，加强干部教育管理监督。贯彻党管人才原则，加强人才队伍建设。加强对本乡工会、共青团、妇联等群团工作的领导。 </w:t>
      </w:r>
    </w:p>
    <w:p w14:paraId="512073C2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5）指导农村党建，落实基层党建工作责任制，严格抓好基层党组织建设各项制度，统筹抓好乡机关、村（社区）、驻辖区单位、行业、“两新”组织等党建工作，推进全面从严治党，强化“两个责任”，落实农村基层党建工作要求。</w:t>
      </w:r>
    </w:p>
    <w:p w14:paraId="06839590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6）加强基层社会宣传、舆论引导、精神文明建设、统一战线工作，落实党管意识形态工作责任制，健全完善党建引领基层体系，强化基层治理平台建设，进一步增强党在农村的政治领导力、思想引领力、群众组织力、社会号召力。</w:t>
      </w:r>
    </w:p>
    <w:p w14:paraId="024688C6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2.</w:t>
      </w:r>
      <w:r>
        <w:rPr>
          <w:rFonts w:hint="eastAsia" w:ascii="仿宋_GB2312" w:hAnsi="仿宋" w:cs="仿宋_GB2312"/>
          <w:szCs w:val="32"/>
        </w:rPr>
        <w:t>统筹经济发展，实施乡村振兴</w:t>
      </w:r>
    </w:p>
    <w:p w14:paraId="1EB9221D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负责辖区经济发展工作，执行辖区内的经济和社会发展计划、预算。参与区域内土地利用、产业发展等规划编制，对区域内重大基础设施建设、重大公共服务资源布局、重大政策提出意见建议。落实辖区内发展规划、专项规划、区域规划、国土空间规划和“四好农村路”建设等。</w:t>
      </w:r>
    </w:p>
    <w:p w14:paraId="5D357962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（2）贯彻落实中央、省、州、县关于实施脱贫攻坚、乡村振兴战略的决策部署，提升农业发展质量，加强农村人居环境整治，推进宜居乡村建设，增强乡村振兴内生动力。</w:t>
      </w:r>
    </w:p>
    <w:p w14:paraId="3C763251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（3）指导农村经济发展，推动产业结构调整。保护各种经济组织的合法权益，营造良好的营商环境。</w:t>
      </w:r>
    </w:p>
    <w:p w14:paraId="7807004C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（4）落实财政保障和财政管理有关政策，统筹管理本级财务及集体资产，协助做好税收征管工作，指导、监管村级财务和资产管理工作等。</w:t>
      </w:r>
    </w:p>
    <w:p w14:paraId="7C06EF6F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3.</w:t>
      </w:r>
      <w:r>
        <w:rPr>
          <w:rFonts w:hint="eastAsia" w:ascii="仿宋_GB2312" w:hAnsi="仿宋" w:cs="仿宋_GB2312"/>
          <w:szCs w:val="32"/>
        </w:rPr>
        <w:t>组织公共服务，着力改善民生</w:t>
      </w:r>
    </w:p>
    <w:p w14:paraId="3AFCADA4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（1）加强</w:t>
      </w:r>
      <w:r>
        <w:rPr>
          <w:rFonts w:hint="eastAsia" w:ascii="仿宋_GB2312" w:hAnsi="仿宋" w:cs="仿宋_GB2312"/>
          <w:szCs w:val="32"/>
          <w:lang w:eastAsia="zh-CN"/>
        </w:rPr>
        <w:t>乡村</w:t>
      </w:r>
      <w:r>
        <w:rPr>
          <w:rFonts w:hint="eastAsia" w:ascii="仿宋_GB2312" w:hAnsi="仿宋" w:cs="仿宋_GB2312"/>
          <w:szCs w:val="32"/>
        </w:rPr>
        <w:t>综合便民服务平台标准化建设，做好村（社区）服务配套设施和综合服务平台建设，提升便民服务质量。</w:t>
      </w:r>
    </w:p>
    <w:p w14:paraId="2320D324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负责教育体育、劳动就业、社会保障、卫生健康、计划生育、医疗保障、低保救助、助老助残、殡葬管理、文化旅游、民族宗教、移民搬迁、农技推广、农民工、妇女和未成年人保护等公共服务工作，承担组织领导、推进实施、综合协调等职责。</w:t>
      </w:r>
    </w:p>
    <w:p w14:paraId="15A79732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4.</w:t>
      </w:r>
      <w:r>
        <w:rPr>
          <w:rFonts w:hint="eastAsia" w:ascii="仿宋_GB2312" w:hAnsi="仿宋" w:cs="仿宋_GB2312"/>
          <w:szCs w:val="32"/>
        </w:rPr>
        <w:t>领导基层治理，维护社会治安</w:t>
      </w:r>
    </w:p>
    <w:p w14:paraId="573A5FC1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负责辖区公共安全及安全生产监管、应急管理工作。构建公共安全防控体系，建立应对突发紧急事件的处理预案，做好安全生产、防汛、消防、森林（草原）防灭火、减灾救灾、防疫、气象灾害防御、食品药品安全、地质灾害防治等应急管理工作，加强监督检查、隐患排查，落实安全生产责任制。负责辖区内生态环境保护和自然资源管理等工作。</w:t>
      </w:r>
    </w:p>
    <w:p w14:paraId="47B2D5A5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（2）承担辖区社会治安综合治理工作，加强</w:t>
      </w:r>
      <w:r>
        <w:rPr>
          <w:rFonts w:hint="eastAsia" w:ascii="仿宋_GB2312" w:hAnsi="仿宋" w:cs="仿宋_GB2312"/>
          <w:szCs w:val="32"/>
          <w:lang w:eastAsia="zh-CN"/>
        </w:rPr>
        <w:t>法治建设</w:t>
      </w:r>
      <w:r>
        <w:rPr>
          <w:rFonts w:hint="eastAsia" w:ascii="仿宋_GB2312" w:hAnsi="仿宋" w:cs="仿宋_GB2312"/>
          <w:szCs w:val="32"/>
        </w:rPr>
        <w:t>和社会治安综合治理。贯彻落实社会矛盾纠纷排查调处机制，及时化解辖区社会矛盾纠纷，确保社会稳定。协助司法机关开展打击各类刑事犯罪和禁毒、扫黑除恶等活动，稳妥处理突发性、群体性事件，确保人民群众生命财产安全。</w:t>
      </w:r>
    </w:p>
    <w:p w14:paraId="71345B26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（3）指导村、村民自治，促进社会组织健康发展，完善村规民约，增强社会自治功能。</w:t>
      </w:r>
    </w:p>
    <w:p w14:paraId="5FE36323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（4）负责国防教育，承担国防动员、征兵、民兵预备役、双拥等工作。</w:t>
      </w:r>
    </w:p>
    <w:p w14:paraId="531B5812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（5）保障各少数民族的合法权利和利益，尊重少数民族的风俗习惯。</w:t>
      </w:r>
    </w:p>
    <w:p w14:paraId="0B9108F9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（6）保障宪法和法律赋予妇女的男女平等、同工同酬和婚姻自由等各项权利。</w:t>
      </w:r>
    </w:p>
    <w:p w14:paraId="3C171E88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5.</w:t>
      </w:r>
      <w:r>
        <w:rPr>
          <w:rFonts w:hint="eastAsia" w:ascii="仿宋_GB2312" w:hAnsi="仿宋" w:cs="仿宋_GB2312"/>
          <w:szCs w:val="32"/>
        </w:rPr>
        <w:t>完成</w:t>
      </w:r>
      <w:r>
        <w:rPr>
          <w:rFonts w:hint="eastAsia" w:ascii="仿宋_GB2312" w:hAnsi="仿宋" w:cs="仿宋_GB2312"/>
          <w:szCs w:val="32"/>
          <w:lang w:eastAsia="zh-CN"/>
        </w:rPr>
        <w:t>法律法规</w:t>
      </w:r>
      <w:r>
        <w:rPr>
          <w:rFonts w:hint="eastAsia" w:ascii="仿宋_GB2312" w:hAnsi="仿宋" w:cs="仿宋_GB2312"/>
          <w:szCs w:val="32"/>
        </w:rPr>
        <w:t>、规章规定和上级交办的其他事项。</w:t>
      </w:r>
    </w:p>
    <w:p w14:paraId="27A1FFE4">
      <w:p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（三）人员概况</w:t>
      </w:r>
    </w:p>
    <w:p w14:paraId="43E75FF6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我单位总编制33人，其中行政编制20人，事业编制11人，行政工勤2人。截至2024年底职工在编32人，公务员18人，事业11人</w:t>
      </w:r>
      <w:r>
        <w:rPr>
          <w:rFonts w:hint="eastAsia" w:ascii="仿宋_GB2312" w:hAnsi="仿宋" w:cs="仿宋_GB2312"/>
          <w:szCs w:val="32"/>
          <w:lang w:eastAsia="zh-CN"/>
        </w:rPr>
        <w:t>，</w:t>
      </w:r>
      <w:r>
        <w:rPr>
          <w:rFonts w:hint="eastAsia" w:ascii="仿宋_GB2312" w:hAnsi="仿宋" w:cs="仿宋_GB2312"/>
          <w:szCs w:val="32"/>
        </w:rPr>
        <w:t>行政工勤2人。</w:t>
      </w:r>
    </w:p>
    <w:p w14:paraId="79338584">
      <w:pPr>
        <w:spacing w:line="560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二、部门财政资金收支情况</w:t>
      </w:r>
    </w:p>
    <w:p w14:paraId="5FF77268">
      <w:p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（一）部门财政资金收入情况</w:t>
      </w:r>
    </w:p>
    <w:p w14:paraId="39213DBA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本单位本年度收入调整预算数为277.61万元，收入决算数为277.61万元，预算完成度为100.00%。本年度支出调整预算数为277.61万元，支出决算数为277.61万元，预算支出完成度为100.00%。</w:t>
      </w:r>
    </w:p>
    <w:p w14:paraId="29C4AFC9">
      <w:pPr>
        <w:numPr>
          <w:ilvl w:val="0"/>
          <w:numId w:val="1"/>
        </w:num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部门财政资金支出情况</w:t>
      </w:r>
    </w:p>
    <w:p w14:paraId="6D1B3E12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本单位本年度总收入为267.71万元。其中：一般公共预算财政拨款收入为267.71万元，占比100.00%；政府性基金预算财政拨款收入为0.00万元，占比0.00%；国有资本经营预算财政拨款收入为0.00万元，占比0.00%；上级补助收入为0.00万元，占比0.00%；事业收入为0.00万元，占比0.00%；经营收入为0.00万元，占比0.00%；附属单位上缴收入为0.00万元，占比0.00%；其他收入为0.00万元，占比0.00%。本年度总支出为267.71万元。其中：一般公共服务支出为0万元，占比0%；外交支出为0.00万元，占比0.00%；国防支出为0.00万元，占比0.00%；公共安全支出为0.00万元，占比0.00%；教育支出为0.00万元，占比0.00%；科学技术支出为0.00万元，占比0.00%；文化旅游体育与传媒支出为0.00万元，占比0.00%；社会保障和就业支出为31.09万元，占比11.61%；卫生健康支出为13.48万元，占比5.03%；节能环保支出为0.00万元，占比0.00%；城乡社区支出为0.00万元，占比0.00%；农林水支出为204.40万元，占比76.35%；交通运输支出为0.00万元，占比0.00%；资源勘探工业信息等支出为0.00万元，占比0.00%；商业服务业等支出为0.00万元，占比0.00%；金融支出为0.00万元，占比0.00%；援助其他地区支出为0.00万元，占比0.00%；自然资源海洋气象等支出为0.00万元，占比0.00%；住房保障支出为18.74万元，占比7%；粮油物资储备支出为0.00万元，占比0.00%；国有资本经营预算支出为0.00万元，占比0.00%；灾害防治及应急管理支出为0万元，占比0%；其他支出为0.00万元，占比0.00%；债务还本支出为0.00万元，占比0.00%；债务付息支出为0.00万元，占比0.00%；抗疫特别国债安排的支出为0.00万元，占比0.00%。</w:t>
      </w:r>
    </w:p>
    <w:p w14:paraId="703553D6">
      <w:pPr>
        <w:numPr>
          <w:ilvl w:val="0"/>
          <w:numId w:val="1"/>
        </w:num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结余分配和结转结余情况</w:t>
      </w:r>
    </w:p>
    <w:p w14:paraId="257A5E94">
      <w:pPr>
        <w:spacing w:line="560" w:lineRule="exact"/>
        <w:ind w:left="640" w:leftChars="200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hint="eastAsia" w:ascii="仿宋_GB2312" w:hAnsi="仿宋" w:cs="仿宋_GB2312"/>
          <w:szCs w:val="32"/>
        </w:rPr>
        <w:t>晴朗乡2024年决算报表结转结余为0元。</w:t>
      </w:r>
    </w:p>
    <w:p w14:paraId="03307665">
      <w:pPr>
        <w:widowControl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三、部门预算绩效分析</w:t>
      </w:r>
    </w:p>
    <w:p w14:paraId="06669AE9">
      <w:pPr>
        <w:adjustRightInd w:val="0"/>
        <w:snapToGrid w:val="0"/>
        <w:spacing w:line="560" w:lineRule="exact"/>
        <w:ind w:firstLine="643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部门预算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总体绩效分析。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65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63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</w:t>
      </w:r>
    </w:p>
    <w:p w14:paraId="3CE2C006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指标分值15分，自评得分15分。</w:t>
      </w:r>
    </w:p>
    <w:p w14:paraId="48BC0A59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一：基本支出，在职人员工资保险。目标完成情况，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截至</w:t>
      </w:r>
      <w:r>
        <w:rPr>
          <w:color w:val="000000"/>
          <w:kern w:val="0"/>
          <w:szCs w:val="32"/>
          <w:shd w:val="clear" w:color="auto" w:fill="FFFFFF"/>
          <w:lang w:val="zh-CN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年底如期完成预算</w:t>
      </w:r>
      <w:r>
        <w:rPr>
          <w:rFonts w:hint="eastAsia"/>
          <w:color w:val="000000"/>
          <w:kern w:val="0"/>
          <w:szCs w:val="32"/>
          <w:shd w:val="clear" w:color="auto" w:fill="FFFFFF"/>
        </w:rPr>
        <w:t>11</w:t>
      </w:r>
      <w:r>
        <w:rPr>
          <w:color w:val="000000"/>
          <w:kern w:val="0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 w14:paraId="6B993784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23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12D226CC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/>
          <w:szCs w:val="32"/>
        </w:rPr>
        <w:t>预算编制质量：</w:t>
      </w:r>
      <w:r>
        <w:rPr>
          <w:rFonts w:hint="eastAsia" w:ascii="仿宋_GB2312"/>
          <w:szCs w:val="32"/>
        </w:rPr>
        <w:t>本单位本年度预算完成度为100.00%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</w:rPr>
        <w:t>本年度预算支出完成度为100.00%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8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分。</w:t>
      </w:r>
    </w:p>
    <w:p w14:paraId="12BFB3B1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我单位不涉及该项指标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08537684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支出执行进度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2024年按期支付，</w:t>
      </w:r>
      <w:r>
        <w:rPr>
          <w:rFonts w:hint="eastAsia" w:ascii="仿宋_GB2312"/>
          <w:szCs w:val="32"/>
          <w:lang w:eastAsia="zh-CN"/>
        </w:rPr>
        <w:t>截至</w:t>
      </w:r>
      <w:r>
        <w:rPr>
          <w:rFonts w:hint="eastAsia" w:ascii="仿宋_GB2312"/>
          <w:szCs w:val="32"/>
        </w:rPr>
        <w:t>年底支付数据</w:t>
      </w:r>
      <w:r>
        <w:rPr>
          <w:rFonts w:hint="eastAsia" w:ascii="仿宋_GB2312" w:hAnsi="仿宋" w:cs="仿宋_GB2312"/>
          <w:szCs w:val="32"/>
        </w:rPr>
        <w:t>267.71</w:t>
      </w:r>
      <w:r>
        <w:rPr>
          <w:rFonts w:hint="eastAsia" w:ascii="仿宋_GB2312"/>
          <w:szCs w:val="32"/>
        </w:rPr>
        <w:t>万元，支付率100%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 w14:paraId="01B44AF7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预算年终结余</w:t>
      </w:r>
      <w:r>
        <w:rPr>
          <w:rFonts w:hint="eastAsia" w:ascii="仿宋_GB2312"/>
          <w:szCs w:val="32"/>
          <w:lang w:eastAsia="zh-CN"/>
        </w:rPr>
        <w:t>：</w:t>
      </w:r>
      <w:r>
        <w:rPr>
          <w:rFonts w:hint="eastAsia" w:ascii="仿宋_GB2312"/>
          <w:szCs w:val="32"/>
        </w:rPr>
        <w:t>2024年无结转结余。</w:t>
      </w:r>
      <w:r>
        <w:rPr>
          <w:rFonts w:hint="eastAsia" w:ascii="仿宋_GB2312"/>
          <w:szCs w:val="32"/>
          <w:lang w:val="zh-CN"/>
        </w:rPr>
        <w:t>指标分值2分，自评得分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 w14:paraId="1AFE3967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ascii="仿宋_GB2312"/>
          <w:szCs w:val="32"/>
        </w:rPr>
        <w:t>严控一般性支出</w:t>
      </w:r>
      <w:r>
        <w:rPr>
          <w:rFonts w:hint="eastAsia" w:ascii="仿宋_GB2312"/>
          <w:szCs w:val="32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 w14:paraId="72B84C96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3CBE147A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管理制度：强化制度建设。不断强化财务管理制度建设，依据相关法律法规及管理办法，制定符合我乡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044E8E5B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财务岗位设置：我乡按照财务制度规定，</w:t>
      </w:r>
      <w:r>
        <w:rPr>
          <w:rFonts w:hint="eastAsia"/>
          <w:color w:val="000000"/>
          <w:kern w:val="0"/>
          <w:szCs w:val="32"/>
          <w:shd w:val="clear" w:color="auto" w:fill="FFFFFF"/>
        </w:rPr>
        <w:t>设立会计、出纳岗位，相互监督。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 w14:paraId="4A9D5A99">
      <w:pPr>
        <w:spacing w:line="560" w:lineRule="exact"/>
        <w:ind w:firstLine="640" w:firstLineChars="200"/>
      </w:pPr>
      <w:r>
        <w:rPr>
          <w:rFonts w:hint="eastAsia" w:ascii="仿宋_GB2312" w:cs="仿宋_GB2312"/>
          <w:szCs w:val="32"/>
        </w:rPr>
        <w:t>资金使用规范：本年度收到预算资金</w:t>
      </w:r>
      <w:r>
        <w:rPr>
          <w:rFonts w:hint="eastAsia" w:ascii="仿宋_GB2312" w:hAnsi="仿宋" w:cs="仿宋_GB2312"/>
          <w:szCs w:val="32"/>
        </w:rPr>
        <w:t>267.71</w:t>
      </w:r>
      <w:r>
        <w:rPr>
          <w:rFonts w:hint="eastAsia" w:ascii="仿宋_GB2312" w:cs="仿宋_GB2312"/>
          <w:szCs w:val="32"/>
        </w:rPr>
        <w:t>万元，实际使用</w:t>
      </w:r>
      <w:r>
        <w:rPr>
          <w:rFonts w:hint="eastAsia" w:ascii="仿宋_GB2312" w:hAnsi="仿宋" w:cs="仿宋_GB2312"/>
          <w:szCs w:val="32"/>
        </w:rPr>
        <w:t>267.71</w:t>
      </w:r>
      <w:r>
        <w:rPr>
          <w:rFonts w:hint="eastAsia" w:ascii="仿宋_GB2312" w:cs="仿宋_GB2312"/>
          <w:szCs w:val="32"/>
        </w:rPr>
        <w:t>万元。资金使用过程中严格按照单位财务管理制度要求执行，提高资金使用的合规性。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7026A13C">
      <w:pPr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3F5F6EF4">
      <w:pPr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人均资产变化率</w:t>
      </w:r>
      <w:r>
        <w:rPr>
          <w:rFonts w:hint="eastAsia"/>
          <w:color w:val="000000"/>
          <w:kern w:val="0"/>
          <w:szCs w:val="32"/>
          <w:shd w:val="clear" w:color="auto" w:fill="FFFFFF"/>
        </w:rPr>
        <w:t>=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期末人均资产-期初人均资产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）</w:t>
      </w:r>
      <w:r>
        <w:rPr>
          <w:rFonts w:hint="eastAsia"/>
          <w:color w:val="000000"/>
          <w:kern w:val="0"/>
          <w:szCs w:val="32"/>
          <w:shd w:val="clear" w:color="auto" w:fill="FFFFFF"/>
        </w:rPr>
        <w:t>/期初人均资产*100%。均符合相关规定，低于规定值。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0B174AA9"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固定资产在用率。</w:t>
      </w:r>
      <w:r>
        <w:rPr>
          <w:rFonts w:hint="eastAsia" w:ascii="仿宋_GB2312" w:cs="仿宋_GB2312"/>
          <w:szCs w:val="32"/>
          <w:lang w:eastAsia="zh-CN"/>
        </w:rPr>
        <w:t>截至</w:t>
      </w:r>
      <w:r>
        <w:rPr>
          <w:rFonts w:ascii="仿宋_GB2312" w:cs="仿宋_GB2312"/>
          <w:szCs w:val="32"/>
        </w:rPr>
        <w:t>202</w:t>
      </w:r>
      <w:r>
        <w:rPr>
          <w:rFonts w:hint="eastAsia" w:ascii="仿宋_GB2312" w:cs="仿宋_GB2312"/>
          <w:szCs w:val="32"/>
        </w:rPr>
        <w:t>4年</w:t>
      </w:r>
      <w:r>
        <w:rPr>
          <w:rFonts w:ascii="仿宋_GB2312" w:cs="仿宋_GB2312"/>
          <w:szCs w:val="32"/>
        </w:rPr>
        <w:t>12</w:t>
      </w:r>
      <w:r>
        <w:rPr>
          <w:rFonts w:hint="eastAsia" w:ascii="仿宋_GB2312" w:cs="仿宋_GB2312"/>
          <w:szCs w:val="32"/>
        </w:rPr>
        <w:t>月</w:t>
      </w:r>
      <w:r>
        <w:rPr>
          <w:rFonts w:ascii="仿宋_GB2312" w:cs="仿宋_GB2312"/>
          <w:szCs w:val="32"/>
        </w:rPr>
        <w:t>31</w:t>
      </w:r>
      <w:r>
        <w:rPr>
          <w:rFonts w:hint="eastAsia" w:ascii="仿宋_GB2312" w:cs="仿宋_GB2312"/>
          <w:szCs w:val="32"/>
        </w:rPr>
        <w:t>日，固定资产在用率达</w:t>
      </w:r>
      <w:r>
        <w:rPr>
          <w:rFonts w:ascii="仿宋_GB2312" w:cs="仿宋_GB2312"/>
          <w:szCs w:val="32"/>
        </w:rPr>
        <w:t>100%</w:t>
      </w:r>
      <w:r>
        <w:rPr>
          <w:rFonts w:hint="eastAsia" w:ascii="仿宋_GB2312" w:cs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227233C2"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资产盘活率。资产闲置0万元，资产盘活率达100%。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5FF90E8C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75134946"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采购执行率：采购执行规范性，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01BCA9CC">
      <w:pPr>
        <w:snapToGrid w:val="0"/>
        <w:spacing w:line="560" w:lineRule="exact"/>
        <w:ind w:firstLine="640" w:firstLineChars="200"/>
        <w:rPr>
          <w:lang w:val="zh-CN"/>
        </w:rPr>
      </w:pPr>
      <w:r>
        <w:rPr>
          <w:rFonts w:hint="eastAsia" w:ascii="仿宋_GB2312" w:cs="仿宋_GB2312"/>
          <w:szCs w:val="32"/>
        </w:rPr>
        <w:t>支持中小企业发展。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1DE4EC1B">
      <w:pPr>
        <w:widowControl/>
        <w:adjustRightInd w:val="0"/>
        <w:snapToGrid w:val="0"/>
        <w:spacing w:line="560" w:lineRule="exact"/>
        <w:ind w:firstLine="643" w:firstLineChars="200"/>
        <w:contextualSpacing/>
        <w:jc w:val="left"/>
        <w:rPr>
          <w:rFonts w:eastAsia="楷体_GB2312"/>
          <w:color w:val="000000"/>
          <w:kern w:val="0"/>
          <w:szCs w:val="32"/>
          <w:shd w:val="clear" w:color="auto" w:fill="FFFFFF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（二）部门预算项目绩效分析。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35分，自评得分35分。</w:t>
      </w:r>
    </w:p>
    <w:p w14:paraId="3575510C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color w:val="000000"/>
          <w:kern w:val="0"/>
          <w:szCs w:val="32"/>
          <w:shd w:val="clear" w:color="auto" w:fill="FFFFFF"/>
        </w:rPr>
        <w:t>常</w:t>
      </w:r>
      <w:r>
        <w:rPr>
          <w:kern w:val="0"/>
          <w:szCs w:val="32"/>
          <w:shd w:val="clear" w:color="auto" w:fill="FFFFFF"/>
        </w:rPr>
        <w:t>年项目绩效分析。</w:t>
      </w:r>
    </w:p>
    <w:p w14:paraId="518560FE">
      <w:pPr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6DDD0864">
      <w:pPr>
        <w:snapToGrid w:val="0"/>
        <w:spacing w:line="560" w:lineRule="exact"/>
        <w:ind w:firstLine="640" w:firstLineChars="200"/>
        <w:rPr>
          <w:rFonts w:ascii="仿宋_GB2312"/>
        </w:rPr>
      </w:pPr>
      <w:r>
        <w:rPr>
          <w:rFonts w:hint="eastAsia"/>
          <w:color w:val="000000"/>
          <w:kern w:val="0"/>
          <w:szCs w:val="32"/>
          <w:shd w:val="clear" w:color="auto" w:fill="FFFFFF"/>
        </w:rPr>
        <w:t>决策程序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；</w:t>
      </w:r>
      <w:r>
        <w:rPr>
          <w:rFonts w:hint="eastAsia"/>
          <w:color w:val="000000"/>
          <w:kern w:val="0"/>
          <w:szCs w:val="32"/>
          <w:shd w:val="clear" w:color="auto" w:fill="FFFFFF"/>
        </w:rPr>
        <w:t>我乡从项目立项必要性、投入经济性、目标合理性、实施可行性、筹资合规性。</w:t>
      </w:r>
      <w:r>
        <w:rPr>
          <w:rFonts w:hint="eastAsia" w:ascii="仿宋_GB2312"/>
        </w:rPr>
        <w:t>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_GB2312" w:cs="仿宋"/>
          <w:szCs w:val="32"/>
          <w:lang w:val="zh-CN"/>
        </w:rPr>
        <w:t>确定项目实施。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711E919E">
      <w:pPr>
        <w:snapToGrid w:val="0"/>
        <w:spacing w:line="560" w:lineRule="exact"/>
        <w:ind w:firstLine="640" w:firstLineChars="200"/>
      </w:pPr>
      <w:r>
        <w:rPr>
          <w:rFonts w:hint="eastAsia" w:ascii="仿宋_GB2312"/>
        </w:rPr>
        <w:t>项目入库；我乡按照项目建设要求在规定时间完成项目入库。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4B3D2B8B">
      <w:pPr>
        <w:snapToGrid w:val="0"/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  <w:lang w:val="zh-CN"/>
        </w:rPr>
        <w:t>目标设置：申报的</w:t>
      </w:r>
      <w:r>
        <w:rPr>
          <w:rFonts w:hint="eastAsia" w:ascii="仿宋_GB2312"/>
          <w:szCs w:val="32"/>
        </w:rPr>
        <w:t>资金项目内容</w:t>
      </w:r>
      <w:r>
        <w:rPr>
          <w:rFonts w:hint="eastAsia" w:ascii="仿宋_GB2312"/>
          <w:szCs w:val="32"/>
          <w:lang w:val="zh-CN"/>
        </w:rPr>
        <w:t>与具体实施内容相符的、申报目标是合理可行</w:t>
      </w:r>
      <w:r>
        <w:rPr>
          <w:rFonts w:hint="eastAsia" w:ascii="仿宋_GB2312" w:cs="仿宋"/>
          <w:szCs w:val="32"/>
          <w:lang w:val="zh-CN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4D563949">
      <w:pPr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7B4E6374">
      <w:pPr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0141DF0B">
      <w:pPr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项目调整：按照县委资金分配，设立项目，未调整。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3D3B5F49">
      <w:pPr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3BB254D3">
      <w:pPr>
        <w:adjustRightInd w:val="0"/>
        <w:snapToGrid w:val="0"/>
        <w:spacing w:line="560" w:lineRule="exact"/>
        <w:ind w:left="640" w:left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18EACC59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目标完成：项目从经济、社会、生态、可持续效益以及服务对象满意度等方面科学制定目标任务。截至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2024年年底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603F5AD8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目标偏离：预算项目绩效目标数量指标实现程度与预期目标无偏离情况。各项目在实际工作中达到预期的目标或标准，与设定的绩效目标之间不存在差异。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36D7C097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43F95E2E">
      <w:pPr>
        <w:numPr>
          <w:ilvl w:val="0"/>
          <w:numId w:val="2"/>
        </w:numPr>
        <w:snapToGrid w:val="0"/>
        <w:spacing w:line="560" w:lineRule="exact"/>
        <w:ind w:firstLine="643" w:firstLineChars="200"/>
        <w:rPr>
          <w:rFonts w:eastAsia="楷体_GB2312"/>
          <w:b/>
          <w:bCs/>
          <w:szCs w:val="32"/>
          <w:lang w:val="zh-CN"/>
        </w:rPr>
      </w:pPr>
      <w:r>
        <w:rPr>
          <w:rFonts w:eastAsia="楷体_GB2312"/>
          <w:b/>
          <w:bCs/>
          <w:szCs w:val="32"/>
          <w:lang w:val="zh-CN"/>
        </w:rPr>
        <w:t>绩效结果应用情况</w:t>
      </w:r>
      <w:r>
        <w:rPr>
          <w:rFonts w:hint="eastAsia" w:eastAsia="楷体_GB2312"/>
          <w:b/>
          <w:bCs/>
          <w:szCs w:val="32"/>
          <w:lang w:val="zh-CN"/>
        </w:rPr>
        <w:t>。</w:t>
      </w:r>
    </w:p>
    <w:p w14:paraId="15EACBF5">
      <w:pPr>
        <w:snapToGrid w:val="0"/>
        <w:spacing w:line="560" w:lineRule="exact"/>
        <w:ind w:firstLine="640" w:firstLineChars="200"/>
        <w:rPr>
          <w:b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我单位于202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年3月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日在黑水县人民政府信息公开网站上公开了《晴朗乡人民202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年度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预算编制说明》。202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</w:t>
      </w:r>
      <w:r>
        <w:rPr>
          <w:rFonts w:hint="eastAsia"/>
          <w:color w:val="000000"/>
          <w:kern w:val="0"/>
          <w:szCs w:val="32"/>
          <w:shd w:val="clear" w:color="auto" w:fill="FFFFFF"/>
        </w:rPr>
        <w:t>9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年度晴朗乡人民政府部门决算编制说明》。</w:t>
      </w:r>
    </w:p>
    <w:p w14:paraId="2A58C1EE">
      <w:pPr>
        <w:widowControl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四、评价结论及建议</w:t>
      </w:r>
    </w:p>
    <w:p w14:paraId="0C934220">
      <w:pPr>
        <w:spacing w:line="560" w:lineRule="exact"/>
        <w:ind w:firstLine="643" w:firstLineChars="200"/>
        <w:rPr>
          <w:rFonts w:ascii="仿宋" w:eastAsia="仿宋" w:cs="??_GB2312"/>
          <w:szCs w:val="32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（一）评价结论。</w:t>
      </w:r>
      <w:r>
        <w:rPr>
          <w:rFonts w:hint="eastAsia" w:ascii="仿宋" w:eastAsia="仿宋" w:cs="??_GB2312"/>
          <w:szCs w:val="32"/>
        </w:rPr>
        <w:t>我乡严格对照评分标准，</w:t>
      </w:r>
      <w:r>
        <w:rPr>
          <w:rFonts w:ascii="仿宋" w:eastAsia="仿宋" w:cs="??_GB2312"/>
          <w:szCs w:val="32"/>
        </w:rPr>
        <w:t>202</w:t>
      </w:r>
      <w:r>
        <w:rPr>
          <w:rFonts w:hint="eastAsia" w:ascii="仿宋" w:eastAsia="仿宋" w:cs="??_GB2312"/>
          <w:szCs w:val="32"/>
        </w:rPr>
        <w:t>4年度财政部门整体支出绩效评价自评分数为97分（详情见附件）。</w:t>
      </w:r>
    </w:p>
    <w:p w14:paraId="4B09BD56">
      <w:pPr>
        <w:widowControl/>
        <w:adjustRightInd w:val="0"/>
        <w:snapToGrid w:val="0"/>
        <w:spacing w:line="560" w:lineRule="exact"/>
        <w:ind w:firstLine="643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（二）存在问题。</w:t>
      </w:r>
    </w:p>
    <w:p w14:paraId="725147D3">
      <w:pPr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1.预算编制不够精确，财政资金紧张，存在中期调整取消资金的情况。</w:t>
      </w:r>
    </w:p>
    <w:p w14:paraId="72BA9C1A">
      <w:pPr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2.因本部门整体支出预算资金的安排及使用上有不可预见性。</w:t>
      </w:r>
    </w:p>
    <w:p w14:paraId="62E19EE6">
      <w:pPr>
        <w:spacing w:line="560" w:lineRule="exact"/>
        <w:ind w:firstLine="643" w:firstLineChars="200"/>
        <w:contextualSpacing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（三）改进建议。</w:t>
      </w:r>
    </w:p>
    <w:p w14:paraId="0F48E681">
      <w:pPr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一是重视绩效管理，切实履行好职责。努力提升工作绩效，围绕财政项目计划安排，合理使用财政资金，让财政监督职责发挥作用。</w:t>
      </w:r>
    </w:p>
    <w:p w14:paraId="5748273C">
      <w:pPr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二是建立长效机制。把绩效评价作为部门内控的日常工作，建立绩效评价管理工作考核长效机制。科学设定绩效目标，加强预算执行管理。</w:t>
      </w:r>
    </w:p>
    <w:p w14:paraId="490376BE">
      <w:pPr>
        <w:pStyle w:val="15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 w14:paraId="3747B728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633C66DD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47FB1D13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725E07C6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49286BBD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4819B644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268670A2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33E1B78D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2A2C5DC8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0FF03C1F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4D418D2C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3BCE1BE7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28A31CA1">
      <w:pPr>
        <w:tabs>
          <w:tab w:val="left" w:pos="1351"/>
        </w:tabs>
        <w:spacing w:line="560" w:lineRule="exact"/>
        <w:jc w:val="left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70CCE0-BE20-4190-A10F-A1C216DD51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0302E57-A2E4-4AE2-A6B6-24273AB2D82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5F9BECB-5CD3-4046-BC36-A80B9A5E1778}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BEE531C-F998-4817-B6CE-2A47EDD38B0C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034A567C-A396-4610-A6BE-ABB2F0399F2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B8D9E45C-7FC9-4755-8C78-F37E97815E1D}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E5890">
    <w:pPr>
      <w:pStyle w:val="11"/>
    </w:pPr>
    <w:r>
      <w:pict>
        <v:rect id="文本框 2" o:spid="_x0000_s1026" o:spt="1" style="position:absolute;left:0pt;margin-top:0pt;height:36.55pt;width:57.5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9D0hbXAAAABAEAAA8AAAAAAAAAAQAgAAAAIgAA&#10;AGRycy9kb3ducmV2LnhtbFBLAQIUABQAAAAIAIdO4kAcitVRCQIAAAIEAAAOAAAAAAAAAAEAIAAA&#10;ACYBAABkcnMvZTJvRG9jLnhtbFBLBQYAAAAABgAGAFkBAAChBQAAAAA=&#10;">
          <v:path/>
          <v:fill on="f" focussize="0,0"/>
          <v:stroke on="f" weight="0.5pt" joinstyle="round"/>
          <v:imagedata o:title=""/>
          <o:lock v:ext="edit"/>
          <v:textbox inset="0mm,0mm,0mm,0mm" style="mso-fit-shape-to-text:t;">
            <w:txbxContent>
              <w:p w14:paraId="1E640908">
                <w:pPr>
                  <w:pStyle w:val="11"/>
                  <w:ind w:right="451" w:rightChars="141"/>
                  <w:jc w:val="right"/>
                  <w:rPr>
                    <w:rFonts w:ascii="宋体"/>
                    <w:sz w:val="28"/>
                    <w:szCs w:val="28"/>
                  </w:rPr>
                </w:pPr>
                <w:r>
                  <w:rPr>
                    <w:rFonts w:ascii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/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rFonts w:ascii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/>
                    <w:sz w:val="28"/>
                    <w:szCs w:val="28"/>
                    <w:lang w:val="zh-CN"/>
                  </w:rPr>
                  <w:t>-</w:t>
                </w:r>
                <w:r>
                  <w:rPr>
                    <w:rFonts w:ascii="宋体"/>
                    <w:sz w:val="28"/>
                    <w:szCs w:val="28"/>
                  </w:rPr>
                  <w:t xml:space="preserve"> 28 -</w:t>
                </w:r>
                <w:r>
                  <w:rPr>
                    <w:rFonts w:ascii="宋体"/>
                    <w:sz w:val="28"/>
                    <w:szCs w:val="28"/>
                  </w:rPr>
                  <w:fldChar w:fldCharType="end"/>
                </w:r>
              </w:p>
              <w:p w14:paraId="59780F21"/>
            </w:txbxContent>
          </v:textbox>
        </v:rect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7B5B9"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F60339"/>
    <w:multiLevelType w:val="singleLevel"/>
    <w:tmpl w:val="39F6033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documentProtection w:edit="readOnly" w:enforcement="0"/>
  <w:defaultTabStop w:val="420"/>
  <w:drawingGridHorizontalSpacing w:val="160"/>
  <w:drawingGridVerticalSpacing w:val="435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2"/>
  </w:compat>
  <w:docVars>
    <w:docVar w:name="commondata" w:val="eyJoZGlkIjoiNWQzNjhjNDNiN2RjOWRkY2QxZGViYzI0NTBlYjA3NDAifQ=="/>
  </w:docVars>
  <w:rsids>
    <w:rsidRoot w:val="00172A27"/>
    <w:rsid w:val="00060CFE"/>
    <w:rsid w:val="00172A27"/>
    <w:rsid w:val="00213CF6"/>
    <w:rsid w:val="005C7D51"/>
    <w:rsid w:val="00767103"/>
    <w:rsid w:val="00A63199"/>
    <w:rsid w:val="00A95DA2"/>
    <w:rsid w:val="00C34800"/>
    <w:rsid w:val="00E33E8E"/>
    <w:rsid w:val="00F2615D"/>
    <w:rsid w:val="01585783"/>
    <w:rsid w:val="01BD29C8"/>
    <w:rsid w:val="02025461"/>
    <w:rsid w:val="0321400D"/>
    <w:rsid w:val="03F82FC0"/>
    <w:rsid w:val="040C05A4"/>
    <w:rsid w:val="06B74A9B"/>
    <w:rsid w:val="06C12F67"/>
    <w:rsid w:val="07A37A10"/>
    <w:rsid w:val="07EA141D"/>
    <w:rsid w:val="081A225E"/>
    <w:rsid w:val="08646E76"/>
    <w:rsid w:val="08A162D5"/>
    <w:rsid w:val="08AE049D"/>
    <w:rsid w:val="099C43EE"/>
    <w:rsid w:val="09ED5DAA"/>
    <w:rsid w:val="0CA248E3"/>
    <w:rsid w:val="0CF837EB"/>
    <w:rsid w:val="0DAE3513"/>
    <w:rsid w:val="0DBA7DB7"/>
    <w:rsid w:val="0E830584"/>
    <w:rsid w:val="0FEB39D9"/>
    <w:rsid w:val="10234F21"/>
    <w:rsid w:val="16B65F5A"/>
    <w:rsid w:val="177E2113"/>
    <w:rsid w:val="1A997F2F"/>
    <w:rsid w:val="1AC82188"/>
    <w:rsid w:val="1C3F1C36"/>
    <w:rsid w:val="1CBF5FD1"/>
    <w:rsid w:val="1E201112"/>
    <w:rsid w:val="1F262884"/>
    <w:rsid w:val="1F4D3D68"/>
    <w:rsid w:val="1FB5190D"/>
    <w:rsid w:val="1FE47C93"/>
    <w:rsid w:val="20254A06"/>
    <w:rsid w:val="20FC6049"/>
    <w:rsid w:val="222E44B2"/>
    <w:rsid w:val="2389558B"/>
    <w:rsid w:val="247D6215"/>
    <w:rsid w:val="24EF1412"/>
    <w:rsid w:val="25434489"/>
    <w:rsid w:val="262122BC"/>
    <w:rsid w:val="271635D9"/>
    <w:rsid w:val="27C052F3"/>
    <w:rsid w:val="27DF39CB"/>
    <w:rsid w:val="283F090E"/>
    <w:rsid w:val="29F0536A"/>
    <w:rsid w:val="2B20072F"/>
    <w:rsid w:val="2D4C0DDD"/>
    <w:rsid w:val="2D776B6B"/>
    <w:rsid w:val="2D7B23E8"/>
    <w:rsid w:val="2F0401BB"/>
    <w:rsid w:val="2F117C09"/>
    <w:rsid w:val="2F422EDC"/>
    <w:rsid w:val="2FA84FEB"/>
    <w:rsid w:val="303B7C0D"/>
    <w:rsid w:val="32803FFD"/>
    <w:rsid w:val="32C739DA"/>
    <w:rsid w:val="34DA52F0"/>
    <w:rsid w:val="35150A2C"/>
    <w:rsid w:val="36256E14"/>
    <w:rsid w:val="379FAD10"/>
    <w:rsid w:val="37E34E12"/>
    <w:rsid w:val="38683569"/>
    <w:rsid w:val="39AB5580"/>
    <w:rsid w:val="3B0F4170"/>
    <w:rsid w:val="3B1A7A2C"/>
    <w:rsid w:val="3B482C8F"/>
    <w:rsid w:val="3B4C2CCE"/>
    <w:rsid w:val="3C055EE8"/>
    <w:rsid w:val="3C357C06"/>
    <w:rsid w:val="3C5E715D"/>
    <w:rsid w:val="3C70304D"/>
    <w:rsid w:val="3DB65202"/>
    <w:rsid w:val="3E467EA9"/>
    <w:rsid w:val="3F5465F5"/>
    <w:rsid w:val="3FD17940"/>
    <w:rsid w:val="3FFC1AB1"/>
    <w:rsid w:val="40907B01"/>
    <w:rsid w:val="41570C59"/>
    <w:rsid w:val="41E31B9C"/>
    <w:rsid w:val="42832017"/>
    <w:rsid w:val="438E1A43"/>
    <w:rsid w:val="44B73BE0"/>
    <w:rsid w:val="47985D97"/>
    <w:rsid w:val="485C5EC2"/>
    <w:rsid w:val="49292CBC"/>
    <w:rsid w:val="495530D2"/>
    <w:rsid w:val="4B6422B6"/>
    <w:rsid w:val="4D1A2153"/>
    <w:rsid w:val="4EDE412D"/>
    <w:rsid w:val="4FC926E8"/>
    <w:rsid w:val="4FCD72D2"/>
    <w:rsid w:val="50615016"/>
    <w:rsid w:val="50EC24C8"/>
    <w:rsid w:val="51C47ACD"/>
    <w:rsid w:val="521F6F37"/>
    <w:rsid w:val="526A046E"/>
    <w:rsid w:val="53B92A73"/>
    <w:rsid w:val="54280CE4"/>
    <w:rsid w:val="558F7F2F"/>
    <w:rsid w:val="571511AC"/>
    <w:rsid w:val="5818420C"/>
    <w:rsid w:val="583077E2"/>
    <w:rsid w:val="5A85172D"/>
    <w:rsid w:val="5B7F0083"/>
    <w:rsid w:val="5D3E4715"/>
    <w:rsid w:val="5D861C18"/>
    <w:rsid w:val="5EDA6F3C"/>
    <w:rsid w:val="63070BFB"/>
    <w:rsid w:val="63D60815"/>
    <w:rsid w:val="654359FF"/>
    <w:rsid w:val="65D25593"/>
    <w:rsid w:val="66D439F4"/>
    <w:rsid w:val="675C43FC"/>
    <w:rsid w:val="683C2412"/>
    <w:rsid w:val="6D1B5B49"/>
    <w:rsid w:val="6D315ADF"/>
    <w:rsid w:val="6D7E46BA"/>
    <w:rsid w:val="6EA6064E"/>
    <w:rsid w:val="7077616F"/>
    <w:rsid w:val="716A38D3"/>
    <w:rsid w:val="72A51C4F"/>
    <w:rsid w:val="72BF19FC"/>
    <w:rsid w:val="734819F2"/>
    <w:rsid w:val="74E4399C"/>
    <w:rsid w:val="750D2EF3"/>
    <w:rsid w:val="751E18AC"/>
    <w:rsid w:val="78A3539C"/>
    <w:rsid w:val="7AE0603D"/>
    <w:rsid w:val="7B10579A"/>
    <w:rsid w:val="7CE46E89"/>
    <w:rsid w:val="7D162B61"/>
    <w:rsid w:val="7DA84FE4"/>
    <w:rsid w:val="7E953898"/>
    <w:rsid w:val="7FD63930"/>
    <w:rsid w:val="F5FE1C9A"/>
    <w:rsid w:val="FF7C61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eastAsia="黑体"/>
      <w:b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Normal Indent"/>
    <w:basedOn w:val="1"/>
    <w:next w:val="1"/>
    <w:qFormat/>
    <w:uiPriority w:val="0"/>
    <w:pPr>
      <w:spacing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7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8">
    <w:name w:val="Body Text"/>
    <w:basedOn w:val="1"/>
    <w:next w:val="1"/>
    <w:qFormat/>
    <w:uiPriority w:val="0"/>
    <w:pPr>
      <w:spacing w:after="120"/>
    </w:p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able of figures"/>
    <w:basedOn w:val="1"/>
    <w:next w:val="1"/>
    <w:qFormat/>
    <w:uiPriority w:val="0"/>
    <w:pPr>
      <w:ind w:left="400" w:leftChars="200" w:hanging="200" w:hangingChars="200"/>
    </w:pPr>
    <w:rPr>
      <w:szCs w:val="32"/>
    </w:rPr>
  </w:style>
  <w:style w:type="paragraph" w:styleId="15">
    <w:name w:val="Body Text First Indent 2"/>
    <w:basedOn w:val="9"/>
    <w:qFormat/>
    <w:uiPriority w:val="0"/>
    <w:pPr>
      <w:ind w:firstLine="200" w:firstLineChars="200"/>
    </w:p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page number"/>
    <w:basedOn w:val="17"/>
    <w:qFormat/>
    <w:uiPriority w:val="0"/>
  </w:style>
  <w:style w:type="paragraph" w:customStyle="1" w:styleId="20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21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2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3">
    <w:name w:val="font31"/>
    <w:basedOn w:val="17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4">
    <w:name w:val="font51"/>
    <w:basedOn w:val="17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5">
    <w:name w:val="font01"/>
    <w:basedOn w:val="17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6">
    <w:name w:val="font41"/>
    <w:basedOn w:val="17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7">
    <w:name w:val="列出段落1"/>
    <w:basedOn w:val="1"/>
    <w:qFormat/>
    <w:uiPriority w:val="0"/>
    <w:pPr>
      <w:ind w:firstLine="200" w:firstLineChars="200"/>
    </w:pPr>
  </w:style>
  <w:style w:type="paragraph" w:customStyle="1" w:styleId="28">
    <w:name w:val="NormalIndent"/>
    <w:next w:val="1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29">
    <w:name w:val="font61"/>
    <w:basedOn w:val="17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30">
    <w:name w:val="font1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dbd5e4c5-df03-468c-b736-303c5a65733f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379D834B</paraID>
      <start>10</start>
      <end>11</end>
      <status>modified</status>
      <modifiedWord>（</modifiedWord>
      <trackRevisions>false</trackRevisions>
    </reviewItem>
    <reviewItem>
      <errorID>0c7940d2-6367-4fa1-b7e4-03213c171db4</errorID>
      <errorWord>行政5个</errorWord>
      <group>L1_Grammar</group>
      <groupName>语法问题</groupName>
      <ability>L2_Order</ability>
      <abilityName>语序不当</abilityName>
      <candidateList>
        <item>5个行政</item>
      </candidateList>
      <explain>句子可能没有遵循时空、逻辑顺序，或者介词、关联词等位置不当。</explain>
      <paraID>584A0253</paraID>
      <start>113</start>
      <end>117</end>
      <status>modified</status>
      <modifiedWord>5个行政</modifiedWord>
      <trackRevisions>false</trackRevisions>
    </reviewItem>
    <reviewItem>
      <errorID>560c3712-3366-4335-9c9b-e0a21eb19e19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3F400DD6</paraID>
      <start>0</start>
      <end>2</end>
      <status>modified</status>
      <modifiedWord>1.</modifiedWord>
      <trackRevisions>false</trackRevisions>
    </reviewItem>
    <reviewItem>
      <errorID>b00013c9-e5b2-41ed-8382-a33cd56b9fce</errorID>
      <errorWord>全面从严治党责任</errorWord>
      <group>L1_Word</group>
      <groupName>字词问题</groupName>
      <ability>L2_Typo</ability>
      <abilityName>字词错误</abilityName>
      <candidateList>
        <item>全面从严治党主体责任</item>
      </candidateList>
      <explain/>
      <paraID>4389EEF9</paraID>
      <start>10</start>
      <end>20</end>
      <status>modified</status>
      <modifiedWord>全面从严治党主体责任</modifiedWord>
      <trackRevisions>false</trackRevisions>
    </reviewItem>
    <reviewItem>
      <errorID>254ea437-6d7a-4775-b8af-2e938667af3b</errorID>
      <errorWord>政治建设、经济建设、文化建设、社会建设、生态文明建设</errorWord>
      <group>L1_Political</group>
      <groupName>政治性问题</groupName>
      <ability>L2_Keyword</ability>
      <abilityName>固定表述</abilityName>
      <candidateList>
        <item>经济建设、政治建设、文化建设、社会建设、生态文明建设</item>
      </candidateList>
      <explain>词汇“经济建设、政治建设、文化建设、社会建设、生态文明建设”在特定场景下为固定表述形式，请确认此处的“政治建设、经济建设、文化建设、社会建设、生态文明建设”是否存在不当。</explain>
      <paraID>1C4E5EE6</paraID>
      <start>11</start>
      <end>37</end>
      <status>modified</status>
      <modifiedWord>经济建设、政治建设、文化建设、社会建设、生态文明建设</modifiedWord>
      <trackRevisions>false</trackRevisions>
    </reviewItem>
    <reviewItem>
      <errorID>3b69a4ba-4a03-4c35-8fd9-3a3a9fc18441</errorID>
      <errorWord>法制建设</errorWord>
      <group>L1_Political</group>
      <groupName>政治性问题</groupName>
      <ability>L2_Unpolitical</ability>
      <abilityName>政治敏感错误</abilityName>
      <candidateList>
        <item>法治建设</item>
      </candidateList>
      <explain/>
      <paraID>1C4E5EE6</paraID>
      <start>38</start>
      <end>42</end>
      <status>modified</status>
      <modifiedWord>法治建设</modifiedWord>
      <trackRevisions>false</trackRevisions>
    </reviewItem>
    <reviewItem>
      <errorID>851d586a-d338-43c6-ab6a-9b5493078319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24688C6</paraID>
      <start>0</start>
      <end>2</end>
      <status>modified</status>
      <modifiedWord>2.</modifiedWord>
      <trackRevisions>false</trackRevisions>
    </reviewItem>
    <reviewItem>
      <errorID>4b4b1035-8e12-4979-98a2-0c8d30077eb1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7C06EF6F</paraID>
      <start>0</start>
      <end>2</end>
      <status>modified</status>
      <modifiedWord>3.</modifiedWord>
      <trackRevisions>false</trackRevisions>
    </reviewItem>
    <reviewItem>
      <errorID>cfd2c54b-5cf4-4f4c-8f15-4902cd44c8e3</errorID>
      <errorWord>乡</errorWord>
      <group>L1_Word</group>
      <groupName>字词问题</groupName>
      <ability>L2_Typo</ability>
      <abilityName>字词错误</abilityName>
      <candidateList>
        <item>乡村</item>
      </candidateList>
      <explain/>
      <paraID>3AFCADA4</paraID>
      <start>5</start>
      <end>7</end>
      <status>modified</status>
      <modifiedWord>乡村</modifiedWord>
      <trackRevisions>false</trackRevisions>
    </reviewItem>
    <reviewItem>
      <errorID>cfe8721d-8ee1-4c06-8c39-eb50b1e5e6e3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15A79732</paraID>
      <start>0</start>
      <end>2</end>
      <status>modified</status>
      <modifiedWord>4.</modifiedWord>
      <trackRevisions>false</trackRevisions>
    </reviewItem>
    <reviewItem>
      <errorID>22556a34-a1b9-4dae-aef6-898b53c6d5fd</errorID>
      <errorWord>法制建设</errorWord>
      <group>L1_Political</group>
      <groupName>政治性问题</groupName>
      <ability>L2_Unpolitical</ability>
      <abilityName>政治敏感错误</abilityName>
      <candidateList>
        <item>法治建设</item>
      </candidateList>
      <explain/>
      <paraID>47B2D5A5</paraID>
      <start>20</start>
      <end>24</end>
      <status>modified</status>
      <modifiedWord>法治建设</modifiedWord>
      <trackRevisions>false</trackRevisions>
    </reviewItem>
    <reviewItem>
      <errorID>4907068c-522c-49e3-9b22-4cf1100dc426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3C171E88</paraID>
      <start>0</start>
      <end>2</end>
      <status>modified</status>
      <modifiedWord>5.</modifiedWord>
      <trackRevisions>false</trackRevisions>
    </reviewItem>
    <reviewItem>
      <errorID>9b8a86ee-f4b4-4676-a87c-81301d780fa5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3C171E88</paraID>
      <start>4</start>
      <end>8</end>
      <status>modified</status>
      <modifiedWord>法律法规</modifiedWord>
      <trackRevisions>false</trackRevisions>
    </reviewItem>
    <reviewItem>
      <errorID>dd0be938-cfbb-4120-a8e4-cd7abb13dc0a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43E75FF6</paraID>
      <start>63</start>
      <end>64</end>
      <status>modified</status>
      <modifiedWord>，</modifiedWord>
      <trackRevisions>false</trackRevisions>
    </reviewItem>
    <reviewItem>
      <errorID>6be73caf-346e-41bd-92cd-f75c2120c72f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48BC0A59</paraID>
      <start>29</start>
      <end>31</end>
      <status>modified</status>
      <modifiedWord>截至</modifiedWord>
      <trackRevisions>false</trackRevisions>
    </reviewItem>
    <reviewItem>
      <errorID>bfea45c2-6876-44db-b038-b07e761ce84f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 8537684</paraID>
      <start>17</start>
      <end>19</end>
      <status>modified</status>
      <modifiedWord>截至</modifiedWord>
      <trackRevisions>false</trackRevisions>
    </reviewItem>
    <reviewItem>
      <errorID>bc6c0ec2-ead0-4493-9af8-9a06f3a6704f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1B44AF7</paraID>
      <start>6</start>
      <end>7</end>
      <status>modified</status>
      <modifiedWord>：</modifiedWord>
      <trackRevisions>false</trackRevisions>
    </reviewItem>
    <reviewItem>
      <errorID>59e67655-a729-4a0a-a435-3854ddbd0a07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3CBE147A</paraID>
      <start>31</start>
      <end>35</end>
      <status>modified</status>
      <modifiedWord>法律法规</modifiedWord>
      <trackRevisions>false</trackRevisions>
    </reviewItem>
    <reviewItem>
      <errorID>4b81c12a-4214-4021-b1fb-1ba43791f519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44E8E5B</paraID>
      <start>17</start>
      <end>18</end>
      <status>modified</status>
      <modifiedWord>，</modifiedWord>
      <trackRevisions>false</trackRevisions>
    </reviewItem>
    <reviewItem>
      <errorID>b5f02772-f236-43ea-b418-300a0b15ef1e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3F5F6EF4</paraID>
      <start>8</start>
      <end>9</end>
      <status>modified</status>
      <modifiedWord>（</modifiedWord>
      <trackRevisions>false</trackRevisions>
    </reviewItem>
    <reviewItem>
      <errorID>a110cec7-d5b9-4923-9e28-0f13d292e65b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3F5F6EF4</paraID>
      <start>22</start>
      <end>23</end>
      <status>modified</status>
      <modifiedWord>）</modifiedWord>
      <trackRevisions>false</trackRevisions>
    </reviewItem>
    <reviewItem>
      <errorID>edea7390-6175-48e8-9cd9-966ef3b5b077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 B174AA9</paraID>
      <start>8</start>
      <end>10</end>
      <status>modified</status>
      <modifiedWord>截至</modifiedWord>
      <trackRevisions>false</trackRevisions>
    </reviewItem>
    <reviewItem>
      <errorID>075e68a2-c61f-4d85-bb83-f1086364a090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6DDD0864</paraID>
      <start>4</start>
      <end>5</end>
      <status>modified</status>
      <modifiedWord>；</modifiedWord>
      <trackRevisions>false</trackRevisions>
    </reviewItem>
    <reviewItem>
      <errorID>d6b9b2a0-5f70-48d9-b0f4-06c38b5b3850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4B3D2B8B</paraID>
      <start>4</start>
      <end>5</end>
      <status>modified</status>
      <modifiedWord>：</modifiedWord>
      <trackRevisions>false</trackRevisions>
    </reviewItem>
    <reviewItem>
      <errorID>0ffc4746-607a-4f55-a967-b4407c36f676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18EACC59</paraID>
      <start>43</start>
      <end>45</end>
      <status>modified</status>
      <modifiedWord>截至</modifiedWord>
      <trackRevisions>false</trackRevisions>
    </reviewItem>
    <reviewItem>
      <errorID>dc5ae3c8-9f91-419a-a0dd-7d7b19d93441</errorID>
      <errorWord>目</errorWord>
      <group>L1_Word</group>
      <groupName>字词问题</groupName>
      <ability>L2_Typo</ability>
      <abilityName>字词错误</abilityName>
      <candidateList>
        <item>目在</item>
      </candidateList>
      <explain/>
      <paraID>603F5AD8</paraID>
      <start>34</start>
      <end>36</end>
      <status>modified</status>
      <modifiedWord>目在</modifiedWord>
      <trackRevisions>false</trackRevisions>
    </reviewItem>
    <reviewItem>
      <errorID>ac3150fb-b1f6-48ef-8434-f51658491d18</errorID>
      <errorWord>年</errorWord>
      <group>L1_Word</group>
      <groupName>字词问题</groupName>
      <ability>L2_Typo</ability>
      <abilityName>字词错误</abilityName>
      <candidateList>
        <item>年度</item>
      </candidateList>
      <explain/>
      <paraID>15EACBF5</paraID>
      <start>42</start>
      <end>44</end>
      <status>modified</status>
      <modifiedWord>年度</modifiedWord>
      <trackRevisions>false</trackRevisions>
    </reviewItem>
    <reviewItem>
      <errorID>663da6f2-53b2-45e7-b7f2-b659765fc749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725147D3</paraID>
      <start>0</start>
      <end>2</end>
      <status>modified</status>
      <modifiedWord>1.</modifiedWord>
      <trackRevisions>false</trackRevisions>
    </reviewItem>
    <reviewItem>
      <errorID>8e329d62-96c7-44e1-bbcb-b4a59b79cca7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72BA9C1A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4ebb29-4fa2-4eba-bce4-a3005e62bb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PSZX</Company>
  <Pages>11</Pages>
  <Words>4358</Words>
  <Characters>4765</Characters>
  <Lines>90</Lines>
  <Paragraphs>25</Paragraphs>
  <TotalTime>0</TotalTime>
  <ScaleCrop>false</ScaleCrop>
  <LinksUpToDate>false</LinksUpToDate>
  <CharactersWithSpaces>4766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2025-10-10T11:47:00Z</dcterms:created>
  <dc:creator>陈萍</dc:creator>
  <cp:lastModifiedBy>李金洋</cp:lastModifiedBy>
  <cp:lastPrinted>2024-08-09T03:00:00Z</cp:lastPrinted>
  <dcterms:modified xsi:type="dcterms:W3CDTF">2025-12-02T01:24:17Z</dcterms:modified>
  <dc:title>区域性就业培训基地建设项目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DD1BDDEC5711854B28E3A768BB995D50_43</vt:lpwstr>
  </property>
  <property fmtid="{D5CDD505-2E9C-101B-9397-08002B2CF9AE}" pid="4" name="KSOTemplateDocerSaveRecord">
    <vt:lpwstr>eyJoZGlkIjoiMDczYmE5NjdmOTRlNGVkN2Y4NmRiZDA3YmY2ZDNlZDIiLCJ1c2VySWQiOiI0MTY3NDgzODEifQ==</vt:lpwstr>
  </property>
</Properties>
</file>