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D050C4">
      <w:pPr>
        <w:widowControl/>
        <w:spacing w:line="560" w:lineRule="exact"/>
        <w:contextualSpacing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shd w:val="clear" w:color="auto" w:fill="FFFFFF"/>
        </w:rPr>
        <w:t>黑水县晴朗乡人民政府（行政）</w:t>
      </w:r>
    </w:p>
    <w:p w14:paraId="2C32BE4F">
      <w:pPr>
        <w:widowControl/>
        <w:spacing w:line="560" w:lineRule="exact"/>
        <w:contextualSpacing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shd w:val="clear" w:color="auto" w:fill="FFFFFF"/>
        </w:rPr>
        <w:t>2024年整体支出绩效评价报告</w:t>
      </w:r>
    </w:p>
    <w:p w14:paraId="030E145C">
      <w:pPr>
        <w:widowControl/>
        <w:spacing w:line="560" w:lineRule="exact"/>
        <w:contextualSpacing/>
        <w:jc w:val="center"/>
        <w:rPr>
          <w:szCs w:val="32"/>
          <w:shd w:val="clear" w:color="auto" w:fill="FFFFFF"/>
        </w:rPr>
      </w:pPr>
    </w:p>
    <w:p w14:paraId="788A5C84">
      <w:pPr>
        <w:spacing w:line="560" w:lineRule="exact"/>
        <w:ind w:firstLine="640" w:firstLineChars="200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一、单位概况</w:t>
      </w:r>
    </w:p>
    <w:p w14:paraId="6A23AE05">
      <w:pPr>
        <w:spacing w:line="560" w:lineRule="exact"/>
        <w:ind w:firstLine="643" w:firstLineChars="200"/>
        <w:rPr>
          <w:rFonts w:ascii="方正楷体_GBK" w:hAnsi="方正楷体_GBK" w:eastAsia="方正楷体_GBK" w:cs="方正楷体_GBK"/>
          <w:b/>
          <w:bCs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szCs w:val="32"/>
        </w:rPr>
        <w:t>（一）机构组成</w:t>
      </w:r>
    </w:p>
    <w:p w14:paraId="584A0253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黑水县晴朗乡人民政府，统一社会信用代码：</w:t>
      </w:r>
      <w:r>
        <w:rPr>
          <w:rFonts w:ascii="仿宋_GB2312" w:hAnsi="仿宋" w:cs="仿宋_GB2312"/>
          <w:szCs w:val="32"/>
        </w:rPr>
        <w:t>11513228008943214R</w:t>
      </w:r>
      <w:r>
        <w:rPr>
          <w:rFonts w:hint="eastAsia" w:ascii="仿宋_GB2312" w:hAnsi="仿宋" w:cs="仿宋_GB2312"/>
          <w:szCs w:val="32"/>
        </w:rPr>
        <w:t>，机构地址：四川省阿坝州黑水县晴朗乡红星村，法定代表人：王维峰，机构性质：机关。</w:t>
      </w:r>
      <w:r>
        <w:rPr>
          <w:rFonts w:hint="eastAsia" w:ascii="仿宋_GB2312" w:eastAsia="仿宋_GB2312" w:cs="Times New Roman"/>
          <w:b w:val="0"/>
          <w:bCs w:val="0"/>
          <w:kern w:val="2"/>
          <w:sz w:val="32"/>
          <w:szCs w:val="32"/>
          <w:shd w:val="clear" w:color="auto" w:fill="auto"/>
          <w:lang w:val="en-US" w:eastAsia="zh-CN" w:bidi="ar-SA"/>
        </w:rPr>
        <w:t>黑水县晴朗乡人民政府无下属二级核算单位，全镇共辖7个行政村。晴朗乡下设</w:t>
      </w:r>
      <w:r>
        <w:rPr>
          <w:rFonts w:hint="eastAsia" w:ascii="仿宋_GB2312" w:cs="Times New Roman"/>
          <w:b w:val="0"/>
          <w:bCs w:val="0"/>
          <w:kern w:val="2"/>
          <w:sz w:val="32"/>
          <w:szCs w:val="32"/>
          <w:shd w:val="clear" w:color="auto" w:fill="auto"/>
          <w:lang w:val="en-US" w:eastAsia="zh-CN" w:bidi="ar-SA"/>
        </w:rPr>
        <w:t>5个行政</w:t>
      </w:r>
      <w:r>
        <w:rPr>
          <w:rFonts w:hint="eastAsia" w:ascii="仿宋_GB2312" w:eastAsia="仿宋_GB2312" w:cs="Times New Roman"/>
          <w:b w:val="0"/>
          <w:bCs w:val="0"/>
          <w:kern w:val="2"/>
          <w:sz w:val="32"/>
          <w:szCs w:val="32"/>
          <w:shd w:val="clear" w:color="auto" w:fill="auto"/>
          <w:lang w:val="en-US" w:eastAsia="zh-CN" w:bidi="ar-SA"/>
        </w:rPr>
        <w:t>办公室：党政综合办公室、党建工作办公室、应急管理和综合行政执法办公室、社会事务和村镇管理办公室、生态经济发展和乡村振兴办公室。下设事业机构2个：黑水县晴朗乡便民和退役军人服务中心、黑水县晴朗乡农业农村和文化旅游服务中心。</w:t>
      </w:r>
    </w:p>
    <w:p w14:paraId="78CB4022">
      <w:pPr>
        <w:spacing w:line="560" w:lineRule="exact"/>
        <w:ind w:firstLine="643" w:firstLineChars="200"/>
        <w:rPr>
          <w:rFonts w:ascii="方正楷体_GBK" w:hAnsi="方正楷体_GBK" w:eastAsia="方正楷体_GBK" w:cs="方正楷体_GBK"/>
          <w:b/>
          <w:bCs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szCs w:val="32"/>
        </w:rPr>
        <w:t>（二）机构职能</w:t>
      </w:r>
    </w:p>
    <w:p w14:paraId="0A62F8BF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  <w:lang w:eastAsia="zh-CN"/>
        </w:rPr>
        <w:t>1.</w:t>
      </w:r>
      <w:r>
        <w:rPr>
          <w:rFonts w:hint="eastAsia" w:ascii="仿宋_GB2312" w:hAnsi="仿宋" w:cs="仿宋_GB2312"/>
          <w:szCs w:val="32"/>
        </w:rPr>
        <w:t>加强党的领导，抓好基层党建</w:t>
      </w:r>
    </w:p>
    <w:p w14:paraId="52E67742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（1）履行政治领导责任，做好理论武装和思想政治工作，负责学习、宣传、贯彻执行党的理论和路线方针政策，贯彻落实党中央、省委、州委、县委的决策部署，发挥好把方向、管大局、保落实的重要作用。</w:t>
      </w:r>
    </w:p>
    <w:p w14:paraId="6872BF4E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（2）履行</w:t>
      </w:r>
      <w:r>
        <w:rPr>
          <w:rFonts w:hint="eastAsia" w:ascii="仿宋_GB2312" w:hAnsi="仿宋" w:cs="仿宋_GB2312"/>
          <w:szCs w:val="32"/>
          <w:lang w:eastAsia="zh-CN"/>
        </w:rPr>
        <w:t>党要管党、</w:t>
      </w:r>
      <w:bookmarkStart w:id="0" w:name="_GoBack"/>
      <w:r>
        <w:rPr>
          <w:rFonts w:hint="eastAsia" w:ascii="仿宋_GB2312" w:hAnsi="仿宋" w:cs="仿宋_GB2312"/>
          <w:szCs w:val="32"/>
          <w:lang w:eastAsia="zh-CN"/>
        </w:rPr>
        <w:t>全面从严治党主体责任</w:t>
      </w:r>
      <w:bookmarkEnd w:id="0"/>
      <w:r>
        <w:rPr>
          <w:rFonts w:hint="eastAsia" w:ascii="仿宋_GB2312" w:hAnsi="仿宋" w:cs="仿宋_GB2312"/>
          <w:szCs w:val="32"/>
        </w:rPr>
        <w:t>，全面推进辖区党的政治建设、思想建设、组织建设、作风建设、纪律建设，落实党建工作责任制，推动全面从严治党向基层延伸。认真履行党风廉政建设主体责任，维护和执行党的纪律，监督党员干部和其他任何工作人员严格遵守国家法律法规。</w:t>
      </w:r>
    </w:p>
    <w:p w14:paraId="4CA7E4C9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（3）讨论和决定辖区内</w:t>
      </w:r>
      <w:r>
        <w:rPr>
          <w:rFonts w:hint="eastAsia" w:ascii="仿宋_GB2312" w:hAnsi="仿宋" w:cs="仿宋_GB2312"/>
          <w:szCs w:val="32"/>
          <w:lang w:eastAsia="zh-CN"/>
        </w:rPr>
        <w:t>经济建设、政治建设、文化建设、社会建设、生态文明建设</w:t>
      </w:r>
      <w:r>
        <w:rPr>
          <w:rFonts w:hint="eastAsia" w:ascii="仿宋_GB2312" w:hAnsi="仿宋" w:cs="仿宋_GB2312"/>
          <w:szCs w:val="32"/>
        </w:rPr>
        <w:t>、</w:t>
      </w:r>
      <w:r>
        <w:rPr>
          <w:rFonts w:hint="eastAsia" w:ascii="仿宋_GB2312" w:hAnsi="仿宋" w:cs="仿宋_GB2312"/>
          <w:szCs w:val="32"/>
          <w:lang w:eastAsia="zh-CN"/>
        </w:rPr>
        <w:t>法治建设</w:t>
      </w:r>
      <w:r>
        <w:rPr>
          <w:rFonts w:hint="eastAsia" w:ascii="仿宋_GB2312" w:hAnsi="仿宋" w:cs="仿宋_GB2312"/>
          <w:szCs w:val="32"/>
        </w:rPr>
        <w:t>和党的建设以及乡村振兴中的重大问题。其他应当由党委讨论和决定的重大问题。</w:t>
      </w:r>
    </w:p>
    <w:p w14:paraId="6CD731AE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 xml:space="preserve">（4）贯彻党管干部原则，加强干部队伍建设，完善干部培养选拔机制，加强干部教育管理监督。贯彻党管人才原则，加强人才队伍建设。加强对本乡工会、共青团、妇联等群团工作的领导。 </w:t>
      </w:r>
    </w:p>
    <w:p w14:paraId="01832E71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（5）指导农村党建，落实基层党建工作责任制，严格抓好基层党组织建设各项制度，统筹抓好乡机关、村（社区）、驻辖区单位、行业、“两新”组织等党建工作，推进全面从严治党，强化“两个责任”，落实农村基层党建工作要求。</w:t>
      </w:r>
    </w:p>
    <w:p w14:paraId="6038A54B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（6）加强基层社会宣传、舆论引导、精神文明建设、统一战线工作，落实党管意识形态工作责任制，健全完善党建引领基层体系，强化基层治理平台建设，进一步增强党在农村的政治领导力、思想引领力、群众组织力、社会号召力。</w:t>
      </w:r>
    </w:p>
    <w:p w14:paraId="10AEBBF9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  <w:lang w:eastAsia="zh-CN"/>
        </w:rPr>
        <w:t>2.</w:t>
      </w:r>
      <w:r>
        <w:rPr>
          <w:rFonts w:hint="eastAsia" w:ascii="仿宋_GB2312" w:hAnsi="仿宋" w:cs="仿宋_GB2312"/>
          <w:szCs w:val="32"/>
        </w:rPr>
        <w:t>统筹经济发展，实施乡村振兴</w:t>
      </w:r>
    </w:p>
    <w:p w14:paraId="5ECB674C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（1）负责辖区经济发展工作，执行辖区内的经济和社会发展计划、预算。参与区域内土地利用、产业发展等规划编制，对区域内重大基础设施建设、重大公共服务资源布局、重大政策提出意见建议。落实辖区内发展规划、专项规划、区域规划、国土空间规划和“四好农村路”建设等。</w:t>
      </w:r>
    </w:p>
    <w:p w14:paraId="61D4CABD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（2）贯彻落实中央、省、州、县关于实施脱贫攻坚、乡村振兴战略的决策部署，提升农业发展质量，加强农村人居环境整治，推进宜居乡村建设，增强乡村振兴内生动力。</w:t>
      </w:r>
    </w:p>
    <w:p w14:paraId="6DE8B53F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（3）指导农村经济发展，推动产业结构调整。保护各种经济组织的合法权益，营造良好的营商环境。</w:t>
      </w:r>
    </w:p>
    <w:p w14:paraId="79DFB839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（4）落实财政保障和财政管理有关政策，统筹管理本级财务及集体资产，协助做好税收征管工作，指导、监管村级财务和资产管理工作等。</w:t>
      </w:r>
    </w:p>
    <w:p w14:paraId="5BA73BD8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  <w:lang w:eastAsia="zh-CN"/>
        </w:rPr>
        <w:t>3.</w:t>
      </w:r>
      <w:r>
        <w:rPr>
          <w:rFonts w:hint="eastAsia" w:ascii="仿宋_GB2312" w:hAnsi="仿宋" w:cs="仿宋_GB2312"/>
          <w:szCs w:val="32"/>
        </w:rPr>
        <w:t>组织公共服务，着力改善民生</w:t>
      </w:r>
    </w:p>
    <w:p w14:paraId="5010DE70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（1）加强</w:t>
      </w:r>
      <w:r>
        <w:rPr>
          <w:rFonts w:hint="eastAsia" w:ascii="仿宋_GB2312" w:hAnsi="仿宋" w:cs="仿宋_GB2312"/>
          <w:szCs w:val="32"/>
          <w:lang w:eastAsia="zh-CN"/>
        </w:rPr>
        <w:t>乡村</w:t>
      </w:r>
      <w:r>
        <w:rPr>
          <w:rFonts w:hint="eastAsia" w:ascii="仿宋_GB2312" w:hAnsi="仿宋" w:cs="仿宋_GB2312"/>
          <w:szCs w:val="32"/>
        </w:rPr>
        <w:t>综合便民服务平台标准化建设，做好村（社区）服务配套设施和综合服务平台建设，提升便民服务质量。</w:t>
      </w:r>
    </w:p>
    <w:p w14:paraId="640149FC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（2）负责教育体育、劳动就业、社会保障、卫生健康、计划生育、医疗保障、低保救助、助老助残、殡葬管理、文化旅游、民族宗教、移民搬迁、农技推广、农民工、妇女和未成年人保护等公共服务工作，承担组织领导、推进实施、综合协调等职责。</w:t>
      </w:r>
    </w:p>
    <w:p w14:paraId="5CD066EF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  <w:lang w:eastAsia="zh-CN"/>
        </w:rPr>
        <w:t>4.</w:t>
      </w:r>
      <w:r>
        <w:rPr>
          <w:rFonts w:hint="eastAsia" w:ascii="仿宋_GB2312" w:hAnsi="仿宋" w:cs="仿宋_GB2312"/>
          <w:szCs w:val="32"/>
        </w:rPr>
        <w:t>领导基层治理，维护社会治安</w:t>
      </w:r>
    </w:p>
    <w:p w14:paraId="5EE3AFF5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（1）负责辖区公共安全及安全生产监管、应急管理工作。构建公共安全防控体系，建立应对突发紧急事件的处理预案，做好安全生产、防汛、消防、森林（草原）防灭火、减灾救灾、防疫、气象灾害防御、食品药品安全、地质灾害防治等应急管理工作，加强监督检查、隐患排查，落实安全生产责任制。负责辖区内生态环境保护和自然资源管理等工作。</w:t>
      </w:r>
    </w:p>
    <w:p w14:paraId="4D142DAC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（2）承担辖区社会治安综合治理工作，加强</w:t>
      </w:r>
      <w:r>
        <w:rPr>
          <w:rFonts w:hint="eastAsia" w:ascii="仿宋_GB2312" w:hAnsi="仿宋" w:cs="仿宋_GB2312"/>
          <w:szCs w:val="32"/>
          <w:lang w:eastAsia="zh-CN"/>
        </w:rPr>
        <w:t>法治建设</w:t>
      </w:r>
      <w:r>
        <w:rPr>
          <w:rFonts w:hint="eastAsia" w:ascii="仿宋_GB2312" w:hAnsi="仿宋" w:cs="仿宋_GB2312"/>
          <w:szCs w:val="32"/>
        </w:rPr>
        <w:t>和社会治安综合治理。贯彻落实社会矛盾纠纷排查调处机制，及时化解辖区社会矛盾纠纷，确保社会稳定。协助司法机关开展打击各类刑事犯罪和禁毒、扫黑除恶等活动，稳妥处理突发性、群体性事件，确保人民群众生命财产安全。</w:t>
      </w:r>
    </w:p>
    <w:p w14:paraId="6C6EB35C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（3）指导村、村民自治，促进社会组织健康发展，完善村规民约，增强社会自治功能。</w:t>
      </w:r>
    </w:p>
    <w:p w14:paraId="3642032A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（4）负责国防教育，承担国防动员、征兵、民兵预备役、双拥等工作。</w:t>
      </w:r>
    </w:p>
    <w:p w14:paraId="0A59E3D2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（5）保障各少数民族的</w:t>
      </w:r>
      <w:r>
        <w:rPr>
          <w:rFonts w:hint="eastAsia" w:ascii="仿宋_GB2312" w:hAnsi="仿宋" w:cs="仿宋_GB2312"/>
          <w:szCs w:val="32"/>
          <w:lang w:eastAsia="zh-CN"/>
        </w:rPr>
        <w:t>合法权利</w:t>
      </w:r>
      <w:r>
        <w:rPr>
          <w:rFonts w:hint="eastAsia" w:ascii="仿宋_GB2312" w:hAnsi="仿宋" w:cs="仿宋_GB2312"/>
          <w:szCs w:val="32"/>
        </w:rPr>
        <w:t>和利益，尊重少数民族的风俗习惯，坚决与民族分裂活动和邪教组织斗争。</w:t>
      </w:r>
    </w:p>
    <w:p w14:paraId="10401FE8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（6）保障宪法和法律赋予妇女的男女平等、同工同酬和婚姻自由等各项权利。</w:t>
      </w:r>
    </w:p>
    <w:p w14:paraId="14E53313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  <w:lang w:eastAsia="zh-CN"/>
        </w:rPr>
        <w:t>5.</w:t>
      </w:r>
      <w:r>
        <w:rPr>
          <w:rFonts w:hint="eastAsia" w:ascii="仿宋_GB2312" w:hAnsi="仿宋" w:cs="仿宋_GB2312"/>
          <w:szCs w:val="32"/>
        </w:rPr>
        <w:t>完成</w:t>
      </w:r>
      <w:r>
        <w:rPr>
          <w:rFonts w:hint="eastAsia" w:ascii="仿宋_GB2312" w:hAnsi="仿宋" w:cs="仿宋_GB2312"/>
          <w:szCs w:val="32"/>
          <w:lang w:eastAsia="zh-CN"/>
        </w:rPr>
        <w:t>法律法规</w:t>
      </w:r>
      <w:r>
        <w:rPr>
          <w:rFonts w:hint="eastAsia" w:ascii="仿宋_GB2312" w:hAnsi="仿宋" w:cs="仿宋_GB2312"/>
          <w:szCs w:val="32"/>
        </w:rPr>
        <w:t>、规章规定和上级交办的其他事项。</w:t>
      </w:r>
    </w:p>
    <w:p w14:paraId="76C49854">
      <w:pPr>
        <w:spacing w:line="560" w:lineRule="exact"/>
        <w:ind w:firstLine="643" w:firstLineChars="200"/>
        <w:rPr>
          <w:rFonts w:ascii="方正楷体_GBK" w:hAnsi="方正楷体_GBK" w:eastAsia="方正楷体_GBK" w:cs="方正楷体_GBK"/>
          <w:b/>
          <w:bCs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szCs w:val="32"/>
        </w:rPr>
        <w:t>（三）人员概况</w:t>
      </w:r>
    </w:p>
    <w:p w14:paraId="0E960972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我单位总编制33人，其中行政编制20人，事业编制11人，行政工勤2人。截至2024年底职工在编32人，公务员18人，事业11人</w:t>
      </w:r>
      <w:r>
        <w:rPr>
          <w:rFonts w:hint="eastAsia" w:ascii="仿宋_GB2312" w:hAnsi="仿宋" w:cs="仿宋_GB2312"/>
          <w:szCs w:val="32"/>
          <w:lang w:eastAsia="zh-CN"/>
        </w:rPr>
        <w:t>，</w:t>
      </w:r>
      <w:r>
        <w:rPr>
          <w:rFonts w:hint="eastAsia" w:ascii="仿宋_GB2312" w:hAnsi="仿宋" w:cs="仿宋_GB2312"/>
          <w:szCs w:val="32"/>
        </w:rPr>
        <w:t>行政工勤2人。</w:t>
      </w:r>
    </w:p>
    <w:p w14:paraId="69245633">
      <w:pPr>
        <w:spacing w:line="560" w:lineRule="exact"/>
        <w:ind w:firstLine="640" w:firstLineChars="200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二、部门财政资金收支情况</w:t>
      </w:r>
    </w:p>
    <w:p w14:paraId="644DB53E">
      <w:pPr>
        <w:spacing w:line="560" w:lineRule="exact"/>
        <w:ind w:firstLine="643" w:firstLineChars="200"/>
        <w:rPr>
          <w:rFonts w:ascii="方正楷体_GBK" w:hAnsi="方正楷体_GBK" w:eastAsia="方正楷体_GBK" w:cs="方正楷体_GBK"/>
          <w:b/>
          <w:bCs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szCs w:val="32"/>
        </w:rPr>
        <w:t>（一）部门财政资金收入情况</w:t>
      </w:r>
    </w:p>
    <w:p w14:paraId="737C51E8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本单位本年度收入调整预算数为</w:t>
      </w:r>
      <w:r>
        <w:rPr>
          <w:rFonts w:ascii="仿宋_GB2312" w:hAnsi="仿宋" w:cs="仿宋_GB2312"/>
          <w:szCs w:val="32"/>
        </w:rPr>
        <w:t>1350.13</w:t>
      </w:r>
      <w:r>
        <w:rPr>
          <w:rFonts w:hint="eastAsia" w:ascii="仿宋_GB2312" w:hAnsi="仿宋" w:cs="仿宋_GB2312"/>
          <w:szCs w:val="32"/>
        </w:rPr>
        <w:t>万元，收入决算数为</w:t>
      </w:r>
      <w:r>
        <w:rPr>
          <w:rFonts w:ascii="仿宋_GB2312" w:hAnsi="仿宋" w:cs="仿宋_GB2312"/>
          <w:szCs w:val="32"/>
        </w:rPr>
        <w:t>1037.48</w:t>
      </w:r>
      <w:r>
        <w:rPr>
          <w:rFonts w:hint="eastAsia" w:ascii="仿宋_GB2312" w:hAnsi="仿宋" w:cs="仿宋_GB2312"/>
          <w:szCs w:val="32"/>
        </w:rPr>
        <w:t>万元，预算完成度为76.84%。本年度支出调整预算数为</w:t>
      </w:r>
      <w:r>
        <w:rPr>
          <w:rFonts w:ascii="仿宋_GB2312" w:hAnsi="仿宋" w:cs="仿宋_GB2312"/>
          <w:szCs w:val="32"/>
        </w:rPr>
        <w:t>1350.13</w:t>
      </w:r>
      <w:r>
        <w:rPr>
          <w:rFonts w:hint="eastAsia" w:ascii="仿宋_GB2312" w:hAnsi="仿宋" w:cs="仿宋_GB2312"/>
          <w:szCs w:val="32"/>
        </w:rPr>
        <w:t>万元，支出决算数为</w:t>
      </w:r>
      <w:r>
        <w:rPr>
          <w:rFonts w:ascii="仿宋_GB2312" w:hAnsi="仿宋" w:cs="仿宋_GB2312"/>
          <w:szCs w:val="32"/>
        </w:rPr>
        <w:t>1037.48</w:t>
      </w:r>
      <w:r>
        <w:rPr>
          <w:rFonts w:hint="eastAsia" w:ascii="仿宋_GB2312" w:hAnsi="仿宋" w:cs="仿宋_GB2312"/>
          <w:szCs w:val="32"/>
        </w:rPr>
        <w:t>万元，预算支出完成度为76.84%。</w:t>
      </w:r>
    </w:p>
    <w:p w14:paraId="56B4F811">
      <w:pPr>
        <w:numPr>
          <w:ilvl w:val="0"/>
          <w:numId w:val="1"/>
        </w:numPr>
        <w:spacing w:line="560" w:lineRule="exact"/>
        <w:ind w:firstLine="643" w:firstLineChars="200"/>
        <w:rPr>
          <w:rFonts w:ascii="方正楷体_GBK" w:hAnsi="方正楷体_GBK" w:eastAsia="方正楷体_GBK" w:cs="方正楷体_GBK"/>
          <w:b/>
          <w:bCs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szCs w:val="32"/>
        </w:rPr>
        <w:t>部门财政资金支出情况</w:t>
      </w:r>
    </w:p>
    <w:p w14:paraId="49FDC25A">
      <w:pPr>
        <w:spacing w:line="560" w:lineRule="exact"/>
        <w:ind w:firstLine="640" w:firstLineChars="200"/>
        <w:rPr>
          <w:rFonts w:ascii="仿宋_GB2312" w:hAnsi="仿宋" w:cs="仿宋_GB2312"/>
          <w:szCs w:val="32"/>
        </w:rPr>
      </w:pPr>
      <w:r>
        <w:rPr>
          <w:rFonts w:hint="eastAsia" w:ascii="仿宋_GB2312" w:hAnsi="仿宋" w:cs="仿宋_GB2312"/>
          <w:szCs w:val="32"/>
        </w:rPr>
        <w:t>本单位本年度总收入为</w:t>
      </w:r>
      <w:r>
        <w:rPr>
          <w:rFonts w:ascii="仿宋_GB2312" w:hAnsi="仿宋" w:cs="仿宋_GB2312"/>
          <w:szCs w:val="32"/>
        </w:rPr>
        <w:t>995.22</w:t>
      </w:r>
      <w:r>
        <w:rPr>
          <w:rFonts w:hint="eastAsia" w:ascii="仿宋_GB2312" w:hAnsi="仿宋" w:cs="仿宋_GB2312"/>
          <w:szCs w:val="32"/>
        </w:rPr>
        <w:t>万元。其中：一般公共预算财政拨款收入为</w:t>
      </w:r>
      <w:r>
        <w:rPr>
          <w:rFonts w:ascii="仿宋_GB2312" w:hAnsi="仿宋" w:cs="仿宋_GB2312"/>
          <w:szCs w:val="32"/>
        </w:rPr>
        <w:t>995.20</w:t>
      </w:r>
      <w:r>
        <w:rPr>
          <w:rFonts w:hint="eastAsia" w:ascii="仿宋_GB2312" w:hAnsi="仿宋" w:cs="仿宋_GB2312"/>
          <w:szCs w:val="32"/>
        </w:rPr>
        <w:t>万元，占比99.99%；政府性基金预算财政拨款收入为0.00万元，占比0.00%；国有资本经营预算财政拨款收入为</w:t>
      </w:r>
      <w:r>
        <w:rPr>
          <w:rFonts w:ascii="仿宋_GB2312" w:hAnsi="仿宋" w:cs="仿宋_GB2312"/>
          <w:szCs w:val="32"/>
        </w:rPr>
        <w:t>0.03</w:t>
      </w:r>
      <w:r>
        <w:rPr>
          <w:rFonts w:hint="eastAsia" w:ascii="仿宋_GB2312" w:hAnsi="仿宋" w:cs="仿宋_GB2312"/>
          <w:szCs w:val="32"/>
        </w:rPr>
        <w:t>万元，占比0.01%；上级补助收入为0.00万元，占比0.00%；事业收入为0.00万元，占比0.00%；经营收入为0.00万元，占比0.00%；附属单位上缴收入为0.00万元，占比0.00%；其他收入为0.00万元，占比0.00%。本年度总支出为</w:t>
      </w:r>
      <w:r>
        <w:rPr>
          <w:rFonts w:ascii="仿宋_GB2312" w:hAnsi="仿宋" w:cs="仿宋_GB2312"/>
          <w:szCs w:val="32"/>
        </w:rPr>
        <w:t>995.22</w:t>
      </w:r>
      <w:r>
        <w:rPr>
          <w:rFonts w:hint="eastAsia" w:ascii="仿宋_GB2312" w:hAnsi="仿宋" w:cs="仿宋_GB2312"/>
          <w:szCs w:val="32"/>
        </w:rPr>
        <w:t>万元。其中：一般公共服务支出为407.53万元，占比40.95%；外交支出为0.00万元，占比0.00%；国防支出为0.00万元，占比0.00%；公共安全支出为0.00万元，占比0.00%；教育支出为0.00万元，占比0.00%；科学技术支出为0.00万元，占比0.00%；文化旅游体育与传媒支出为0.00万元，占比0.00%；社会保障和就业支出为63.55万元，占比6.39%；卫生健康支出为28.42万元，占比2.86%；节能环保支出为0.00万元，占比0.00%；城乡社区支出为0.00万元，占比0.00%；农林水支出为445.88万元，占比44.80%；交通运输支出为0.00万元，占比0.00%；资源勘探工业信息等支出为0.00万元，占比0.00%；商业服务业等支出为0.00万元，占比0.00%；金融支出为0.00万元，占比0.00%；援助其他地区支出为0.00万元，占比0.00%；自然资源海洋气象等支出为0.00万元，占比0.00%；住房保障支出为37.91万元，占比3.38%；粮油物资储备支出为0.00万元，占比0.00%；国有资本经营预算支出为0.00万元，占比0.00%；灾害防治及应急管理支出为11.9万元，占比1.20%；其他支出为0.00万元，占比0.00%；债务还本支出为0.00万元，占比0.00%；债务付息支出为0.00万元，占比0.00%；抗疫特别国债安排的支出为0.00万元，占比0.00%。</w:t>
      </w:r>
    </w:p>
    <w:p w14:paraId="097E1DB4">
      <w:pPr>
        <w:numPr>
          <w:ilvl w:val="0"/>
          <w:numId w:val="1"/>
        </w:numPr>
        <w:spacing w:line="560" w:lineRule="exact"/>
        <w:ind w:firstLine="643" w:firstLineChars="200"/>
        <w:rPr>
          <w:rFonts w:ascii="方正楷体_GBK" w:hAnsi="方正楷体_GBK" w:eastAsia="方正楷体_GBK" w:cs="方正楷体_GBK"/>
          <w:b/>
          <w:bCs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szCs w:val="32"/>
        </w:rPr>
        <w:t>结余分配和结转结余情况</w:t>
      </w:r>
    </w:p>
    <w:p w14:paraId="7F5BBB74">
      <w:pPr>
        <w:spacing w:line="560" w:lineRule="exact"/>
        <w:ind w:left="640" w:leftChars="200"/>
        <w:rPr>
          <w:rFonts w:eastAsia="黑体"/>
          <w:color w:val="000000"/>
          <w:kern w:val="0"/>
          <w:szCs w:val="32"/>
          <w:shd w:val="clear" w:color="auto" w:fill="FFFFFF"/>
        </w:rPr>
      </w:pPr>
      <w:r>
        <w:rPr>
          <w:rFonts w:hint="eastAsia" w:ascii="仿宋_GB2312" w:hAnsi="仿宋" w:cs="仿宋_GB2312"/>
          <w:szCs w:val="32"/>
        </w:rPr>
        <w:t>晴朗乡2024年决算报表结转结余为</w:t>
      </w:r>
      <w:r>
        <w:rPr>
          <w:rFonts w:ascii="仿宋_GB2312" w:hAnsi="仿宋" w:cs="仿宋_GB2312"/>
          <w:szCs w:val="32"/>
        </w:rPr>
        <w:t>312.65</w:t>
      </w:r>
      <w:r>
        <w:rPr>
          <w:rFonts w:hint="eastAsia" w:ascii="仿宋_GB2312" w:hAnsi="仿宋" w:cs="仿宋_GB2312"/>
          <w:szCs w:val="32"/>
        </w:rPr>
        <w:t>万元。</w:t>
      </w:r>
      <w:r>
        <w:rPr>
          <w:rFonts w:ascii="仿宋_GB2312" w:hAnsi="仿宋" w:cs="仿宋_GB2312"/>
          <w:szCs w:val="32"/>
        </w:rPr>
        <w:t>（</w:t>
      </w:r>
      <w:r>
        <w:rPr>
          <w:rFonts w:hint="eastAsia" w:ascii="仿宋_GB2312" w:hAnsi="仿宋" w:cs="仿宋_GB2312"/>
          <w:szCs w:val="32"/>
        </w:rPr>
        <w:t>备注：黑水县2024年省星级现代农业园区激励补助项目</w:t>
      </w:r>
      <w:r>
        <w:rPr>
          <w:rFonts w:ascii="仿宋_GB2312" w:hAnsi="仿宋" w:cs="仿宋_GB2312"/>
          <w:szCs w:val="32"/>
        </w:rPr>
        <w:t>）</w:t>
      </w:r>
    </w:p>
    <w:p w14:paraId="0731AD0F">
      <w:pPr>
        <w:widowControl/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eastAsia="黑体"/>
          <w:color w:val="000000"/>
          <w:kern w:val="0"/>
          <w:szCs w:val="32"/>
          <w:shd w:val="clear" w:color="auto" w:fill="FFFFFF"/>
        </w:rPr>
      </w:pPr>
      <w:r>
        <w:rPr>
          <w:rFonts w:eastAsia="黑体"/>
          <w:color w:val="000000"/>
          <w:kern w:val="0"/>
          <w:szCs w:val="32"/>
          <w:shd w:val="clear" w:color="auto" w:fill="FFFFFF"/>
        </w:rPr>
        <w:t>三、部门预算绩效分析</w:t>
      </w:r>
    </w:p>
    <w:p w14:paraId="5E2F3223">
      <w:pPr>
        <w:adjustRightInd w:val="0"/>
        <w:snapToGrid w:val="0"/>
        <w:spacing w:line="560" w:lineRule="exact"/>
        <w:ind w:firstLine="643" w:firstLineChars="200"/>
        <w:contextualSpacing/>
        <w:jc w:val="left"/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（一）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部门预算</w:t>
      </w: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总体绩效分析。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指标分值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</w:rPr>
        <w:t>65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分，自评得分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</w:rPr>
        <w:t>63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分</w:t>
      </w:r>
    </w:p>
    <w:p w14:paraId="0D905A08"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1.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履职效能。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指标分值15分，自评得分15分。</w:t>
      </w:r>
    </w:p>
    <w:p w14:paraId="29107AD0"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核心职能目标</w:t>
      </w:r>
      <w:r>
        <w:rPr>
          <w:color w:val="000000"/>
          <w:kern w:val="0"/>
          <w:szCs w:val="32"/>
          <w:shd w:val="clear" w:color="auto" w:fill="FFFFFF"/>
          <w:lang w:val="zh-CN"/>
        </w:rPr>
        <w:t>一：基本支出，在职人员工资保险。目标完成情况，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截至</w:t>
      </w:r>
      <w:r>
        <w:rPr>
          <w:color w:val="000000"/>
          <w:kern w:val="0"/>
          <w:szCs w:val="32"/>
          <w:shd w:val="clear" w:color="auto" w:fill="FFFFFF"/>
          <w:lang w:val="zh-CN"/>
        </w:rPr>
        <w:t>202</w:t>
      </w:r>
      <w:r>
        <w:rPr>
          <w:rFonts w:hint="eastAsia"/>
          <w:color w:val="000000"/>
          <w:kern w:val="0"/>
          <w:szCs w:val="32"/>
          <w:shd w:val="clear" w:color="auto" w:fill="FFFFFF"/>
        </w:rPr>
        <w:t>4</w:t>
      </w:r>
      <w:r>
        <w:rPr>
          <w:color w:val="000000"/>
          <w:kern w:val="0"/>
          <w:szCs w:val="32"/>
          <w:shd w:val="clear" w:color="auto" w:fill="FFFFFF"/>
          <w:lang w:val="zh-CN"/>
        </w:rPr>
        <w:t>年底我单位如期完成全年工资保险发放。该资金开支范围、标准及支付进度，支付依据合规合法，资金支付与绩效目标相符。</w:t>
      </w:r>
    </w:p>
    <w:p w14:paraId="6284D334"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核心职能目标</w:t>
      </w:r>
      <w:r>
        <w:rPr>
          <w:color w:val="000000"/>
          <w:kern w:val="0"/>
          <w:szCs w:val="32"/>
          <w:shd w:val="clear" w:color="auto" w:fill="FFFFFF"/>
          <w:lang w:val="zh-CN"/>
        </w:rPr>
        <w:t>二：项目支出，基础组织运行及公共运行维护费。目标完成情况，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截至</w:t>
      </w:r>
      <w:r>
        <w:rPr>
          <w:color w:val="000000"/>
          <w:kern w:val="0"/>
          <w:szCs w:val="32"/>
          <w:shd w:val="clear" w:color="auto" w:fill="FFFFFF"/>
          <w:lang w:val="zh-CN"/>
        </w:rPr>
        <w:t>202</w:t>
      </w:r>
      <w:r>
        <w:rPr>
          <w:rFonts w:hint="eastAsia"/>
          <w:color w:val="000000"/>
          <w:kern w:val="0"/>
          <w:szCs w:val="32"/>
          <w:shd w:val="clear" w:color="auto" w:fill="FFFFFF"/>
        </w:rPr>
        <w:t>4</w:t>
      </w:r>
      <w:r>
        <w:rPr>
          <w:color w:val="000000"/>
          <w:kern w:val="0"/>
          <w:szCs w:val="32"/>
          <w:shd w:val="clear" w:color="auto" w:fill="FFFFFF"/>
          <w:lang w:val="zh-CN"/>
        </w:rPr>
        <w:t>年底我单位如期完成7个村日常办公费9.1万元，维修维护费</w:t>
      </w:r>
      <w:r>
        <w:rPr>
          <w:kern w:val="0"/>
          <w:szCs w:val="32"/>
          <w:shd w:val="clear" w:color="auto" w:fill="FFFFFF"/>
          <w:lang w:val="zh-CN"/>
        </w:rPr>
        <w:t>46</w:t>
      </w:r>
      <w:r>
        <w:rPr>
          <w:rFonts w:hint="eastAsia"/>
          <w:kern w:val="0"/>
          <w:szCs w:val="32"/>
          <w:shd w:val="clear" w:color="auto" w:fill="FFFFFF"/>
        </w:rPr>
        <w:t>.53</w:t>
      </w:r>
      <w:r>
        <w:rPr>
          <w:kern w:val="0"/>
          <w:szCs w:val="32"/>
          <w:shd w:val="clear" w:color="auto" w:fill="FFFFFF"/>
          <w:lang w:val="zh-CN"/>
        </w:rPr>
        <w:t>万元</w:t>
      </w:r>
      <w:r>
        <w:rPr>
          <w:color w:val="000000"/>
          <w:kern w:val="0"/>
          <w:szCs w:val="32"/>
          <w:shd w:val="clear" w:color="auto" w:fill="FFFFFF"/>
          <w:lang w:val="zh-CN"/>
        </w:rPr>
        <w:t>支付。该资金开支范围、标准及支付进度，支付依据合规合法，资金支付与预算相符。</w:t>
      </w:r>
    </w:p>
    <w:p w14:paraId="0805C06C"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核心职能目标</w:t>
      </w:r>
      <w:r>
        <w:rPr>
          <w:color w:val="000000"/>
          <w:kern w:val="0"/>
          <w:szCs w:val="32"/>
          <w:shd w:val="clear" w:color="auto" w:fill="FFFFFF"/>
          <w:lang w:val="zh-CN"/>
        </w:rPr>
        <w:t>三：项目支出，村干部工资保险。目标完成情况，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截至</w:t>
      </w:r>
      <w:r>
        <w:rPr>
          <w:color w:val="000000"/>
          <w:kern w:val="0"/>
          <w:szCs w:val="32"/>
          <w:shd w:val="clear" w:color="auto" w:fill="FFFFFF"/>
          <w:lang w:val="zh-CN"/>
        </w:rPr>
        <w:t>202</w:t>
      </w:r>
      <w:r>
        <w:rPr>
          <w:rFonts w:hint="eastAsia"/>
          <w:color w:val="000000"/>
          <w:kern w:val="0"/>
          <w:szCs w:val="32"/>
          <w:shd w:val="clear" w:color="auto" w:fill="FFFFFF"/>
        </w:rPr>
        <w:t>4</w:t>
      </w:r>
      <w:r>
        <w:rPr>
          <w:color w:val="000000"/>
          <w:kern w:val="0"/>
          <w:szCs w:val="32"/>
          <w:shd w:val="clear" w:color="auto" w:fill="FFFFFF"/>
          <w:lang w:val="zh-CN"/>
        </w:rPr>
        <w:t>年底我单位如期完成7个村67名村干部全年工资绩效发放。该资金开支范围、标准及支付进度，支付依据合规合法，资金支付与预算相符。</w:t>
      </w:r>
    </w:p>
    <w:p w14:paraId="695846A7"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2.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预算管理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。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指标分值25分，自评得分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23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分。</w:t>
      </w:r>
    </w:p>
    <w:p w14:paraId="6F428E9A"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ascii="仿宋_GB2312"/>
          <w:szCs w:val="32"/>
        </w:rPr>
        <w:t>预算编制质量：</w:t>
      </w:r>
      <w:r>
        <w:rPr>
          <w:rFonts w:hint="eastAsia" w:ascii="仿宋_GB2312"/>
          <w:szCs w:val="32"/>
        </w:rPr>
        <w:t>本单位本年度收入决算数为995.22万元，预算完成度为100.00%</w:t>
      </w:r>
      <w:r>
        <w:rPr>
          <w:rFonts w:ascii="仿宋_GB2312"/>
          <w:szCs w:val="32"/>
        </w:rPr>
        <w:t>。</w:t>
      </w:r>
      <w:r>
        <w:rPr>
          <w:rFonts w:hint="eastAsia" w:ascii="仿宋_GB2312"/>
          <w:szCs w:val="32"/>
        </w:rPr>
        <w:t>本年度支出决算数为995.22万元，预算支出完成度为100.00%</w:t>
      </w:r>
      <w:r>
        <w:rPr>
          <w:rFonts w:ascii="仿宋_GB2312"/>
          <w:szCs w:val="32"/>
        </w:rPr>
        <w:t>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8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6</w:t>
      </w:r>
      <w:r>
        <w:rPr>
          <w:rFonts w:hint="eastAsia" w:ascii="仿宋_GB2312"/>
          <w:szCs w:val="32"/>
          <w:lang w:val="zh-CN"/>
        </w:rPr>
        <w:t>分。</w:t>
      </w:r>
    </w:p>
    <w:p w14:paraId="2D11B9AC"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仿宋_GB2312"/>
          <w:szCs w:val="32"/>
          <w:lang w:val="zh-CN"/>
        </w:rPr>
      </w:pP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单位收入统筹</w:t>
      </w:r>
      <w:r>
        <w:rPr>
          <w:rFonts w:ascii="仿宋_GB2312"/>
          <w:szCs w:val="32"/>
        </w:rPr>
        <w:t>：</w:t>
      </w:r>
      <w:r>
        <w:rPr>
          <w:rFonts w:hint="eastAsia" w:ascii="仿宋_GB2312"/>
          <w:szCs w:val="32"/>
        </w:rPr>
        <w:t>我单位不涉及该项指标</w:t>
      </w:r>
      <w:r>
        <w:rPr>
          <w:rFonts w:ascii="仿宋_GB2312"/>
          <w:szCs w:val="32"/>
        </w:rPr>
        <w:t>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 w14:paraId="13163F79"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仿宋_GB2312"/>
          <w:szCs w:val="32"/>
          <w:lang w:val="zh-CN"/>
        </w:rPr>
      </w:pPr>
      <w:r>
        <w:rPr>
          <w:rFonts w:hint="eastAsia" w:ascii="仿宋_GB2312"/>
          <w:szCs w:val="32"/>
        </w:rPr>
        <w:t>支出执行进度</w:t>
      </w:r>
      <w:r>
        <w:rPr>
          <w:rFonts w:ascii="仿宋_GB2312"/>
          <w:szCs w:val="32"/>
        </w:rPr>
        <w:t>：</w:t>
      </w:r>
      <w:r>
        <w:rPr>
          <w:rFonts w:hint="eastAsia" w:ascii="仿宋_GB2312"/>
          <w:szCs w:val="32"/>
        </w:rPr>
        <w:t>1-12月预算支付数据995.22万元，支付率100%</w:t>
      </w:r>
      <w:r>
        <w:rPr>
          <w:rFonts w:ascii="仿宋_GB2312"/>
          <w:szCs w:val="32"/>
        </w:rPr>
        <w:t>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6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5</w:t>
      </w:r>
      <w:r>
        <w:rPr>
          <w:rFonts w:hint="eastAsia" w:ascii="仿宋_GB2312"/>
          <w:szCs w:val="32"/>
          <w:lang w:val="zh-CN"/>
        </w:rPr>
        <w:t>分。</w:t>
      </w:r>
    </w:p>
    <w:p w14:paraId="3E16E953"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仿宋_GB2312"/>
          <w:szCs w:val="32"/>
        </w:rPr>
      </w:pPr>
      <w:r>
        <w:rPr>
          <w:rFonts w:hint="eastAsia" w:ascii="仿宋_GB2312"/>
          <w:szCs w:val="32"/>
        </w:rPr>
        <w:t>预算年终结余</w:t>
      </w:r>
      <w:r>
        <w:rPr>
          <w:rFonts w:hint="eastAsia" w:ascii="仿宋_GB2312"/>
          <w:szCs w:val="32"/>
          <w:lang w:eastAsia="zh-CN"/>
        </w:rPr>
        <w:t>：</w:t>
      </w:r>
      <w:r>
        <w:rPr>
          <w:rFonts w:hint="eastAsia" w:ascii="仿宋_GB2312"/>
          <w:szCs w:val="32"/>
        </w:rPr>
        <w:t>2024年结转结余</w:t>
      </w:r>
      <w:r>
        <w:rPr>
          <w:rFonts w:ascii="仿宋_GB2312" w:hAnsi="仿宋" w:cs="仿宋_GB2312"/>
          <w:szCs w:val="32"/>
        </w:rPr>
        <w:t>312.65</w:t>
      </w:r>
      <w:r>
        <w:rPr>
          <w:rFonts w:hint="eastAsia" w:ascii="仿宋_GB2312" w:hAnsi="仿宋" w:cs="仿宋_GB2312"/>
          <w:szCs w:val="32"/>
        </w:rPr>
        <w:t>万元</w:t>
      </w:r>
      <w:r>
        <w:rPr>
          <w:rFonts w:hint="eastAsia" w:ascii="仿宋_GB2312"/>
          <w:szCs w:val="32"/>
        </w:rPr>
        <w:t>。</w:t>
      </w:r>
      <w:r>
        <w:rPr>
          <w:rFonts w:hint="eastAsia" w:ascii="仿宋_GB2312"/>
          <w:szCs w:val="32"/>
          <w:lang w:val="zh-CN"/>
        </w:rPr>
        <w:t>指标分值2分，自评得分</w:t>
      </w:r>
      <w:r>
        <w:rPr>
          <w:rFonts w:hint="eastAsia" w:ascii="仿宋_GB2312"/>
          <w:szCs w:val="32"/>
        </w:rPr>
        <w:t>2</w:t>
      </w:r>
      <w:r>
        <w:rPr>
          <w:rFonts w:hint="eastAsia" w:ascii="仿宋_GB2312"/>
          <w:szCs w:val="32"/>
          <w:lang w:val="zh-CN"/>
        </w:rPr>
        <w:t>分。</w:t>
      </w:r>
    </w:p>
    <w:p w14:paraId="76152EB3"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仿宋_GB2312"/>
          <w:szCs w:val="32"/>
        </w:rPr>
      </w:pPr>
      <w:r>
        <w:rPr>
          <w:rFonts w:ascii="仿宋_GB2312"/>
          <w:szCs w:val="32"/>
        </w:rPr>
        <w:t>严控一般性支出</w:t>
      </w:r>
      <w:r>
        <w:rPr>
          <w:rFonts w:hint="eastAsia" w:ascii="仿宋_GB2312"/>
          <w:szCs w:val="32"/>
        </w:rPr>
        <w:t>：我单位严控“三公”经费、会议、培训、差旅、办节办展、办公设备购置、信息网络及软件购置更新、课题经费等8项一般性支出。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5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5</w:t>
      </w:r>
      <w:r>
        <w:rPr>
          <w:rFonts w:hint="eastAsia" w:ascii="仿宋_GB2312"/>
          <w:szCs w:val="32"/>
          <w:lang w:val="zh-CN"/>
        </w:rPr>
        <w:t>分。</w:t>
      </w:r>
    </w:p>
    <w:p w14:paraId="51C71E77"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3.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财务管理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。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10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10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分。</w:t>
      </w:r>
    </w:p>
    <w:p w14:paraId="76B50ED2"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财务管理制度：强化制度建设。不断强化财务管理制度建设，依据相关法律法规及管理办法，制定符合我乡财务制度，着重从预算绩效管理主要内容和环节，规范操作程序和质量控制要求，构建起工作有指导、实施有方案、内部有规程等相互支撑制度体系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 w14:paraId="2148CBE1"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财务岗位设置：我乡按照财务制度规定，</w:t>
      </w:r>
      <w:r>
        <w:rPr>
          <w:rFonts w:hint="eastAsia"/>
          <w:color w:val="000000"/>
          <w:kern w:val="0"/>
          <w:szCs w:val="32"/>
          <w:shd w:val="clear" w:color="auto" w:fill="FFFFFF"/>
        </w:rPr>
        <w:t>设立会计、出纳岗位，相互监督。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2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2</w:t>
      </w:r>
      <w:r>
        <w:rPr>
          <w:rFonts w:hint="eastAsia" w:ascii="仿宋_GB2312"/>
          <w:szCs w:val="32"/>
          <w:lang w:val="zh-CN"/>
        </w:rPr>
        <w:t>分。</w:t>
      </w:r>
    </w:p>
    <w:p w14:paraId="14DAFAD5">
      <w:pPr>
        <w:spacing w:line="560" w:lineRule="exact"/>
        <w:ind w:firstLine="640" w:firstLineChars="200"/>
      </w:pPr>
      <w:r>
        <w:rPr>
          <w:rFonts w:hint="eastAsia" w:ascii="仿宋_GB2312" w:cs="仿宋_GB2312"/>
          <w:szCs w:val="32"/>
        </w:rPr>
        <w:t>资金使用规范：本年度收到预算资金</w:t>
      </w:r>
      <w:r>
        <w:rPr>
          <w:rFonts w:ascii="仿宋_GB2312" w:hAnsi="仿宋" w:cs="仿宋_GB2312"/>
          <w:szCs w:val="32"/>
        </w:rPr>
        <w:t>995.22</w:t>
      </w:r>
      <w:r>
        <w:rPr>
          <w:rFonts w:hint="eastAsia" w:ascii="仿宋_GB2312" w:cs="仿宋_GB2312"/>
          <w:szCs w:val="32"/>
        </w:rPr>
        <w:t>万元，实际使用</w:t>
      </w:r>
      <w:r>
        <w:rPr>
          <w:rFonts w:ascii="仿宋_GB2312" w:hAnsi="仿宋" w:cs="仿宋_GB2312"/>
          <w:szCs w:val="32"/>
        </w:rPr>
        <w:t>995.22</w:t>
      </w:r>
      <w:r>
        <w:rPr>
          <w:rFonts w:hint="eastAsia" w:ascii="仿宋_GB2312" w:cs="仿宋_GB2312"/>
          <w:szCs w:val="32"/>
        </w:rPr>
        <w:t>万元。资金使用过程中严格按照单位财务管理制度要求执行，提高资金使用的合规性。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 w14:paraId="501AD97D">
      <w:pPr>
        <w:snapToGrid w:val="0"/>
        <w:spacing w:line="560" w:lineRule="exact"/>
        <w:ind w:firstLine="640" w:firstLineChars="200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4.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资产管理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。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9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9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分。</w:t>
      </w:r>
    </w:p>
    <w:p w14:paraId="01EDC019">
      <w:pPr>
        <w:spacing w:line="560" w:lineRule="exact"/>
        <w:ind w:firstLine="640" w:firstLineChars="200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人均资产变化率</w:t>
      </w:r>
      <w:r>
        <w:rPr>
          <w:rFonts w:hint="eastAsia"/>
          <w:color w:val="000000"/>
          <w:kern w:val="0"/>
          <w:szCs w:val="32"/>
          <w:shd w:val="clear" w:color="auto" w:fill="FFFFFF"/>
        </w:rPr>
        <w:t>=</w:t>
      </w:r>
      <w:r>
        <w:rPr>
          <w:rFonts w:hint="eastAsia"/>
          <w:color w:val="000000"/>
          <w:kern w:val="0"/>
          <w:szCs w:val="32"/>
          <w:shd w:val="clear" w:color="auto" w:fill="FFFFFF"/>
          <w:lang w:eastAsia="zh-CN"/>
        </w:rPr>
        <w:t>（</w:t>
      </w:r>
      <w:r>
        <w:rPr>
          <w:rFonts w:hint="eastAsia"/>
          <w:color w:val="000000"/>
          <w:kern w:val="0"/>
          <w:szCs w:val="32"/>
          <w:shd w:val="clear" w:color="auto" w:fill="FFFFFF"/>
        </w:rPr>
        <w:t>期末人均资产-期初人均资产</w:t>
      </w:r>
      <w:r>
        <w:rPr>
          <w:rFonts w:hint="eastAsia"/>
          <w:color w:val="000000"/>
          <w:kern w:val="0"/>
          <w:szCs w:val="32"/>
          <w:shd w:val="clear" w:color="auto" w:fill="FFFFFF"/>
          <w:lang w:eastAsia="zh-CN"/>
        </w:rPr>
        <w:t>）</w:t>
      </w:r>
      <w:r>
        <w:rPr>
          <w:rFonts w:hint="eastAsia"/>
          <w:color w:val="000000"/>
          <w:kern w:val="0"/>
          <w:szCs w:val="32"/>
          <w:shd w:val="clear" w:color="auto" w:fill="FFFFFF"/>
        </w:rPr>
        <w:t>/期初人均资产*100%。均符合相关规定，低于规定值。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分。</w:t>
      </w:r>
    </w:p>
    <w:p w14:paraId="51B6F0F5">
      <w:pPr>
        <w:spacing w:line="560" w:lineRule="exact"/>
        <w:ind w:firstLine="640" w:firstLineChars="200"/>
        <w:rPr>
          <w:rFonts w:ascii="仿宋_GB2312" w:cs="仿宋_GB2312"/>
          <w:szCs w:val="32"/>
        </w:rPr>
      </w:pPr>
      <w:r>
        <w:rPr>
          <w:rFonts w:hint="eastAsia" w:ascii="仿宋_GB2312" w:cs="仿宋_GB2312"/>
          <w:szCs w:val="32"/>
        </w:rPr>
        <w:t>固定资产在用率。</w:t>
      </w:r>
      <w:r>
        <w:rPr>
          <w:rFonts w:hint="eastAsia" w:ascii="仿宋_GB2312" w:cs="仿宋_GB2312"/>
          <w:szCs w:val="32"/>
          <w:lang w:eastAsia="zh-CN"/>
        </w:rPr>
        <w:t>截至</w:t>
      </w:r>
      <w:r>
        <w:rPr>
          <w:rFonts w:ascii="仿宋_GB2312" w:cs="仿宋_GB2312"/>
          <w:szCs w:val="32"/>
        </w:rPr>
        <w:t>202</w:t>
      </w:r>
      <w:r>
        <w:rPr>
          <w:rFonts w:hint="eastAsia" w:ascii="仿宋_GB2312" w:cs="仿宋_GB2312"/>
          <w:szCs w:val="32"/>
        </w:rPr>
        <w:t>4年</w:t>
      </w:r>
      <w:r>
        <w:rPr>
          <w:rFonts w:ascii="仿宋_GB2312" w:cs="仿宋_GB2312"/>
          <w:szCs w:val="32"/>
        </w:rPr>
        <w:t>12</w:t>
      </w:r>
      <w:r>
        <w:rPr>
          <w:rFonts w:hint="eastAsia" w:ascii="仿宋_GB2312" w:cs="仿宋_GB2312"/>
          <w:szCs w:val="32"/>
        </w:rPr>
        <w:t>月</w:t>
      </w:r>
      <w:r>
        <w:rPr>
          <w:rFonts w:ascii="仿宋_GB2312" w:cs="仿宋_GB2312"/>
          <w:szCs w:val="32"/>
        </w:rPr>
        <w:t>31</w:t>
      </w:r>
      <w:r>
        <w:rPr>
          <w:rFonts w:hint="eastAsia" w:ascii="仿宋_GB2312" w:cs="仿宋_GB2312"/>
          <w:szCs w:val="32"/>
        </w:rPr>
        <w:t>日，固定资产总计400.23万元，在用的固定资产总计400.23万元，固定资产在用率达</w:t>
      </w:r>
      <w:r>
        <w:rPr>
          <w:rFonts w:ascii="仿宋_GB2312" w:cs="仿宋_GB2312"/>
          <w:szCs w:val="32"/>
        </w:rPr>
        <w:t>100%</w:t>
      </w:r>
      <w:r>
        <w:rPr>
          <w:rFonts w:hint="eastAsia" w:ascii="仿宋_GB2312" w:cs="仿宋_GB2312"/>
          <w:szCs w:val="32"/>
        </w:rPr>
        <w:t>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分。</w:t>
      </w:r>
    </w:p>
    <w:p w14:paraId="5B2015AA">
      <w:pPr>
        <w:spacing w:line="560" w:lineRule="exact"/>
        <w:ind w:firstLine="640" w:firstLineChars="200"/>
        <w:rPr>
          <w:rFonts w:ascii="仿宋_GB2312" w:cs="仿宋_GB2312"/>
          <w:szCs w:val="32"/>
        </w:rPr>
      </w:pPr>
      <w:r>
        <w:rPr>
          <w:rFonts w:hint="eastAsia" w:ascii="仿宋_GB2312" w:cs="仿宋_GB2312"/>
          <w:szCs w:val="32"/>
        </w:rPr>
        <w:t>资产盘活率。资产闲置0万元，资产盘活率达100%。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分。</w:t>
      </w:r>
    </w:p>
    <w:p w14:paraId="7B31DC02"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5.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采购管理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。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6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6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分。</w:t>
      </w:r>
    </w:p>
    <w:p w14:paraId="3A9AFF11">
      <w:pPr>
        <w:spacing w:line="560" w:lineRule="exact"/>
        <w:ind w:firstLine="640" w:firstLineChars="200"/>
        <w:rPr>
          <w:rFonts w:ascii="仿宋_GB2312" w:cs="仿宋_GB2312"/>
          <w:szCs w:val="32"/>
        </w:rPr>
      </w:pPr>
      <w:r>
        <w:rPr>
          <w:rFonts w:hint="eastAsia" w:ascii="仿宋_GB2312" w:cs="仿宋_GB2312"/>
          <w:szCs w:val="32"/>
        </w:rPr>
        <w:t>采购执行率：采购执行规范性，2024年年度政府采购货物计划0万元，支出0万元；政府采购工程计划0万元，支出0万元；政府采购服务支出</w:t>
      </w:r>
      <w:r>
        <w:rPr>
          <w:rFonts w:ascii="仿宋_GB2312" w:cs="仿宋_GB2312"/>
          <w:szCs w:val="32"/>
        </w:rPr>
        <w:t>0</w:t>
      </w:r>
      <w:r>
        <w:rPr>
          <w:rFonts w:hint="eastAsia" w:ascii="仿宋_GB2312" w:cs="仿宋_GB2312"/>
          <w:szCs w:val="32"/>
        </w:rPr>
        <w:t>万元。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分。</w:t>
      </w:r>
    </w:p>
    <w:p w14:paraId="50C3C387">
      <w:pPr>
        <w:snapToGrid w:val="0"/>
        <w:spacing w:line="560" w:lineRule="exact"/>
        <w:ind w:firstLine="640" w:firstLineChars="200"/>
        <w:rPr>
          <w:lang w:val="zh-CN"/>
        </w:rPr>
      </w:pPr>
      <w:r>
        <w:rPr>
          <w:rFonts w:hint="eastAsia" w:ascii="仿宋_GB2312" w:cs="仿宋_GB2312"/>
          <w:szCs w:val="32"/>
        </w:rPr>
        <w:t>支持中小企业发展：政府采购授予中小企业合同金额0万元，其中：授予小微企业合同金额</w:t>
      </w:r>
      <w:r>
        <w:rPr>
          <w:rFonts w:ascii="仿宋_GB2312" w:cs="仿宋_GB2312"/>
          <w:szCs w:val="32"/>
        </w:rPr>
        <w:t>0</w:t>
      </w:r>
      <w:r>
        <w:rPr>
          <w:rFonts w:hint="eastAsia" w:ascii="仿宋_GB2312" w:cs="仿宋_GB2312"/>
          <w:szCs w:val="32"/>
        </w:rPr>
        <w:t>万元。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分。</w:t>
      </w:r>
    </w:p>
    <w:p w14:paraId="4CCD960D">
      <w:pPr>
        <w:widowControl/>
        <w:adjustRightInd w:val="0"/>
        <w:snapToGrid w:val="0"/>
        <w:spacing w:line="560" w:lineRule="exact"/>
        <w:ind w:firstLine="643" w:firstLineChars="200"/>
        <w:contextualSpacing/>
        <w:jc w:val="left"/>
        <w:rPr>
          <w:rFonts w:eastAsia="楷体_GB2312"/>
          <w:color w:val="000000"/>
          <w:kern w:val="0"/>
          <w:szCs w:val="32"/>
          <w:shd w:val="clear" w:color="auto" w:fill="FFFFFF"/>
        </w:rPr>
      </w:pP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（二）部门预算项目绩效分析。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指标分值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</w:rPr>
        <w:t>35分，自评得分35分。</w:t>
      </w:r>
    </w:p>
    <w:p w14:paraId="794D1B64"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color w:val="auto"/>
          <w:kern w:val="0"/>
          <w:szCs w:val="32"/>
          <w:shd w:val="clear" w:color="auto" w:fill="FFFFFF"/>
          <w:lang w:val="zh-CN"/>
        </w:rPr>
      </w:pPr>
      <w:r>
        <w:rPr>
          <w:color w:val="auto"/>
          <w:kern w:val="0"/>
          <w:szCs w:val="32"/>
          <w:shd w:val="clear" w:color="auto" w:fill="FFFFFF"/>
        </w:rPr>
        <w:t>常年项目绩效分析。</w:t>
      </w:r>
      <w:r>
        <w:rPr>
          <w:color w:val="auto"/>
          <w:kern w:val="0"/>
          <w:szCs w:val="32"/>
          <w:shd w:val="clear" w:color="auto" w:fill="FFFFFF"/>
          <w:lang w:val="zh-CN"/>
        </w:rPr>
        <w:t>该类项目总数</w:t>
      </w:r>
      <w:r>
        <w:rPr>
          <w:rFonts w:hint="eastAsia"/>
          <w:color w:val="auto"/>
          <w:kern w:val="0"/>
          <w:szCs w:val="32"/>
          <w:shd w:val="clear" w:color="auto" w:fill="FFFFFF"/>
          <w:lang w:val="en-US" w:eastAsia="zh-CN"/>
        </w:rPr>
        <w:t>6</w:t>
      </w:r>
      <w:r>
        <w:rPr>
          <w:color w:val="auto"/>
          <w:kern w:val="0"/>
          <w:szCs w:val="32"/>
          <w:shd w:val="clear" w:color="auto" w:fill="FFFFFF"/>
          <w:lang w:val="zh-CN"/>
        </w:rPr>
        <w:t>个，涉及预算总金额</w:t>
      </w:r>
      <w:r>
        <w:rPr>
          <w:rFonts w:hint="eastAsia"/>
          <w:color w:val="auto"/>
          <w:kern w:val="0"/>
          <w:szCs w:val="32"/>
          <w:shd w:val="clear" w:color="auto" w:fill="FFFFFF"/>
          <w:lang w:val="en-US" w:eastAsia="zh-CN"/>
        </w:rPr>
        <w:t>310.36</w:t>
      </w:r>
      <w:r>
        <w:rPr>
          <w:color w:val="auto"/>
          <w:kern w:val="0"/>
          <w:szCs w:val="32"/>
          <w:shd w:val="clear" w:color="auto" w:fill="FFFFFF"/>
          <w:lang w:val="zh-CN"/>
        </w:rPr>
        <w:t>万元，1</w:t>
      </w:r>
      <w:r>
        <w:rPr>
          <w:rFonts w:hint="eastAsia"/>
          <w:color w:val="auto"/>
          <w:kern w:val="0"/>
          <w:szCs w:val="32"/>
          <w:shd w:val="clear" w:color="auto" w:fill="FFFFFF"/>
          <w:lang w:val="zh-CN"/>
        </w:rPr>
        <w:t>—</w:t>
      </w:r>
      <w:r>
        <w:rPr>
          <w:color w:val="auto"/>
          <w:kern w:val="0"/>
          <w:szCs w:val="32"/>
          <w:shd w:val="clear" w:color="auto" w:fill="FFFFFF"/>
          <w:lang w:val="zh-CN"/>
        </w:rPr>
        <w:t>1</w:t>
      </w:r>
      <w:r>
        <w:rPr>
          <w:color w:val="auto"/>
          <w:kern w:val="0"/>
          <w:szCs w:val="32"/>
          <w:shd w:val="clear" w:color="auto" w:fill="FFFFFF"/>
        </w:rPr>
        <w:t>2</w:t>
      </w:r>
      <w:r>
        <w:rPr>
          <w:color w:val="auto"/>
          <w:kern w:val="0"/>
          <w:szCs w:val="32"/>
          <w:shd w:val="clear" w:color="auto" w:fill="FFFFFF"/>
          <w:lang w:val="zh-CN"/>
        </w:rPr>
        <w:t>月预算执行总体进度为</w:t>
      </w:r>
      <w:r>
        <w:rPr>
          <w:rFonts w:hint="eastAsia"/>
          <w:color w:val="auto"/>
          <w:kern w:val="0"/>
          <w:szCs w:val="32"/>
          <w:shd w:val="clear" w:color="auto" w:fill="FFFFFF"/>
        </w:rPr>
        <w:t>100</w:t>
      </w:r>
      <w:r>
        <w:rPr>
          <w:color w:val="auto"/>
          <w:kern w:val="0"/>
          <w:szCs w:val="32"/>
          <w:shd w:val="clear" w:color="auto" w:fill="FFFFFF"/>
          <w:lang w:val="zh-CN"/>
        </w:rPr>
        <w:t>%，其中：预算结余率大于</w:t>
      </w:r>
      <w:r>
        <w:rPr>
          <w:color w:val="auto"/>
          <w:kern w:val="0"/>
          <w:szCs w:val="32"/>
          <w:shd w:val="clear" w:color="auto" w:fill="FFFFFF"/>
        </w:rPr>
        <w:t>10%</w:t>
      </w:r>
      <w:r>
        <w:rPr>
          <w:color w:val="auto"/>
          <w:kern w:val="0"/>
          <w:szCs w:val="32"/>
          <w:shd w:val="clear" w:color="auto" w:fill="FFFFFF"/>
          <w:lang w:val="zh-CN"/>
        </w:rPr>
        <w:t>的项目共计</w:t>
      </w:r>
      <w:r>
        <w:rPr>
          <w:rFonts w:hint="eastAsia"/>
          <w:color w:val="auto"/>
          <w:kern w:val="0"/>
          <w:szCs w:val="32"/>
          <w:shd w:val="clear" w:color="auto" w:fill="FFFFFF"/>
        </w:rPr>
        <w:t>0</w:t>
      </w:r>
      <w:r>
        <w:rPr>
          <w:color w:val="auto"/>
          <w:kern w:val="0"/>
          <w:szCs w:val="32"/>
          <w:shd w:val="clear" w:color="auto" w:fill="FFFFFF"/>
          <w:lang w:val="zh-CN"/>
        </w:rPr>
        <w:t>个。</w:t>
      </w:r>
    </w:p>
    <w:p w14:paraId="4B15B222"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color w:val="FF0000"/>
          <w:kern w:val="0"/>
          <w:szCs w:val="32"/>
          <w:shd w:val="clear" w:color="auto" w:fill="FFFFFF"/>
          <w:lang w:val="zh-CN"/>
        </w:rPr>
      </w:pPr>
      <w:r>
        <w:rPr>
          <w:color w:val="auto"/>
          <w:kern w:val="0"/>
          <w:szCs w:val="32"/>
          <w:shd w:val="clear" w:color="auto" w:fill="FFFFFF"/>
        </w:rPr>
        <w:t>阶段</w:t>
      </w:r>
      <w:r>
        <w:rPr>
          <w:rFonts w:hint="eastAsia"/>
          <w:color w:val="auto"/>
          <w:kern w:val="0"/>
          <w:szCs w:val="32"/>
          <w:shd w:val="clear" w:color="auto" w:fill="FFFFFF"/>
        </w:rPr>
        <w:t>（</w:t>
      </w:r>
      <w:r>
        <w:rPr>
          <w:color w:val="auto"/>
          <w:kern w:val="0"/>
          <w:szCs w:val="32"/>
          <w:shd w:val="clear" w:color="auto" w:fill="FFFFFF"/>
        </w:rPr>
        <w:t>一次性</w:t>
      </w:r>
      <w:r>
        <w:rPr>
          <w:rFonts w:hint="eastAsia"/>
          <w:color w:val="auto"/>
          <w:kern w:val="0"/>
          <w:szCs w:val="32"/>
          <w:shd w:val="clear" w:color="auto" w:fill="FFFFFF"/>
        </w:rPr>
        <w:t>）</w:t>
      </w:r>
      <w:r>
        <w:rPr>
          <w:color w:val="auto"/>
          <w:kern w:val="0"/>
          <w:szCs w:val="32"/>
          <w:shd w:val="clear" w:color="auto" w:fill="FFFFFF"/>
        </w:rPr>
        <w:t>项目绩效分析。</w:t>
      </w:r>
      <w:r>
        <w:rPr>
          <w:color w:val="auto"/>
          <w:kern w:val="0"/>
          <w:szCs w:val="32"/>
          <w:shd w:val="clear" w:color="auto" w:fill="FFFFFF"/>
          <w:lang w:val="zh-CN"/>
        </w:rPr>
        <w:t>该类项目总数</w:t>
      </w:r>
      <w:r>
        <w:rPr>
          <w:rFonts w:hint="eastAsia"/>
          <w:color w:val="auto"/>
          <w:kern w:val="0"/>
          <w:szCs w:val="32"/>
          <w:shd w:val="clear" w:color="auto" w:fill="FFFFFF"/>
        </w:rPr>
        <w:t>1</w:t>
      </w:r>
      <w:r>
        <w:rPr>
          <w:rFonts w:hint="eastAsia"/>
          <w:color w:val="auto"/>
          <w:kern w:val="0"/>
          <w:szCs w:val="32"/>
          <w:shd w:val="clear" w:color="auto" w:fill="FFFFFF"/>
          <w:lang w:val="en-US" w:eastAsia="zh-CN"/>
        </w:rPr>
        <w:t>5</w:t>
      </w:r>
      <w:r>
        <w:rPr>
          <w:color w:val="auto"/>
          <w:kern w:val="0"/>
          <w:szCs w:val="32"/>
          <w:shd w:val="clear" w:color="auto" w:fill="FFFFFF"/>
          <w:lang w:val="zh-CN"/>
        </w:rPr>
        <w:t>个，涉及预算总金额</w:t>
      </w:r>
      <w:r>
        <w:rPr>
          <w:rFonts w:hint="eastAsia"/>
          <w:color w:val="auto"/>
          <w:kern w:val="0"/>
          <w:szCs w:val="32"/>
          <w:shd w:val="clear" w:color="auto" w:fill="FFFFFF"/>
          <w:lang w:val="en-US" w:eastAsia="zh-CN"/>
        </w:rPr>
        <w:t>267.59</w:t>
      </w:r>
      <w:r>
        <w:rPr>
          <w:color w:val="auto"/>
          <w:kern w:val="0"/>
          <w:szCs w:val="32"/>
          <w:shd w:val="clear" w:color="auto" w:fill="FFFFFF"/>
          <w:lang w:val="zh-CN"/>
        </w:rPr>
        <w:t>万元，1</w:t>
      </w:r>
      <w:r>
        <w:rPr>
          <w:rFonts w:hint="eastAsia"/>
          <w:color w:val="auto"/>
          <w:kern w:val="0"/>
          <w:szCs w:val="32"/>
          <w:shd w:val="clear" w:color="auto" w:fill="FFFFFF"/>
          <w:lang w:val="zh-CN"/>
        </w:rPr>
        <w:t>—</w:t>
      </w:r>
      <w:r>
        <w:rPr>
          <w:color w:val="auto"/>
          <w:kern w:val="0"/>
          <w:szCs w:val="32"/>
          <w:shd w:val="clear" w:color="auto" w:fill="FFFFFF"/>
          <w:lang w:val="zh-CN"/>
        </w:rPr>
        <w:t>1</w:t>
      </w:r>
      <w:r>
        <w:rPr>
          <w:color w:val="auto"/>
          <w:kern w:val="0"/>
          <w:szCs w:val="32"/>
          <w:shd w:val="clear" w:color="auto" w:fill="FFFFFF"/>
        </w:rPr>
        <w:t>2</w:t>
      </w:r>
      <w:r>
        <w:rPr>
          <w:color w:val="auto"/>
          <w:kern w:val="0"/>
          <w:szCs w:val="32"/>
          <w:shd w:val="clear" w:color="auto" w:fill="FFFFFF"/>
          <w:lang w:val="zh-CN"/>
        </w:rPr>
        <w:t>月预算执行总体进度为</w:t>
      </w:r>
      <w:r>
        <w:rPr>
          <w:rFonts w:hint="eastAsia"/>
          <w:color w:val="auto"/>
          <w:kern w:val="0"/>
          <w:szCs w:val="32"/>
          <w:shd w:val="clear" w:color="auto" w:fill="FFFFFF"/>
        </w:rPr>
        <w:t>100</w:t>
      </w:r>
      <w:r>
        <w:rPr>
          <w:color w:val="auto"/>
          <w:kern w:val="0"/>
          <w:szCs w:val="32"/>
          <w:shd w:val="clear" w:color="auto" w:fill="FFFFFF"/>
          <w:lang w:val="zh-CN"/>
        </w:rPr>
        <w:t>%，其中：预算结余率大于</w:t>
      </w:r>
      <w:r>
        <w:rPr>
          <w:color w:val="auto"/>
          <w:kern w:val="0"/>
          <w:szCs w:val="32"/>
          <w:shd w:val="clear" w:color="auto" w:fill="FFFFFF"/>
        </w:rPr>
        <w:t>10%</w:t>
      </w:r>
      <w:r>
        <w:rPr>
          <w:color w:val="auto"/>
          <w:kern w:val="0"/>
          <w:szCs w:val="32"/>
          <w:shd w:val="clear" w:color="auto" w:fill="FFFFFF"/>
          <w:lang w:val="zh-CN"/>
        </w:rPr>
        <w:t>的项目共计</w:t>
      </w:r>
      <w:r>
        <w:rPr>
          <w:rFonts w:hint="eastAsia"/>
          <w:color w:val="auto"/>
          <w:kern w:val="0"/>
          <w:szCs w:val="32"/>
          <w:shd w:val="clear" w:color="auto" w:fill="FFFFFF"/>
        </w:rPr>
        <w:t>0</w:t>
      </w:r>
      <w:r>
        <w:rPr>
          <w:color w:val="auto"/>
          <w:kern w:val="0"/>
          <w:szCs w:val="32"/>
          <w:shd w:val="clear" w:color="auto" w:fill="FFFFFF"/>
          <w:lang w:val="zh-CN"/>
        </w:rPr>
        <w:t>个。</w:t>
      </w:r>
    </w:p>
    <w:p w14:paraId="18D83D3C">
      <w:pPr>
        <w:snapToGrid w:val="0"/>
        <w:spacing w:line="560" w:lineRule="exact"/>
        <w:ind w:firstLine="640" w:firstLineChars="200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1.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项目决策。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12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12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分。</w:t>
      </w:r>
    </w:p>
    <w:p w14:paraId="0C15141E">
      <w:pPr>
        <w:snapToGrid w:val="0"/>
        <w:spacing w:line="560" w:lineRule="exact"/>
        <w:ind w:firstLine="640" w:firstLineChars="200"/>
        <w:rPr>
          <w:rFonts w:ascii="仿宋_GB2312"/>
        </w:rPr>
      </w:pPr>
      <w:r>
        <w:rPr>
          <w:rFonts w:hint="eastAsia"/>
          <w:color w:val="000000"/>
          <w:kern w:val="0"/>
          <w:szCs w:val="32"/>
          <w:shd w:val="clear" w:color="auto" w:fill="FFFFFF"/>
        </w:rPr>
        <w:t>决策程序</w:t>
      </w:r>
      <w:r>
        <w:rPr>
          <w:rFonts w:hint="eastAsia"/>
          <w:color w:val="000000"/>
          <w:kern w:val="0"/>
          <w:szCs w:val="32"/>
          <w:shd w:val="clear" w:color="auto" w:fill="FFFFFF"/>
          <w:lang w:eastAsia="zh-CN"/>
        </w:rPr>
        <w:t>；</w:t>
      </w:r>
      <w:r>
        <w:rPr>
          <w:rFonts w:hint="eastAsia"/>
          <w:color w:val="000000"/>
          <w:kern w:val="0"/>
          <w:szCs w:val="32"/>
          <w:shd w:val="clear" w:color="auto" w:fill="FFFFFF"/>
        </w:rPr>
        <w:t>我乡从项目立项必要性、投入经济性、目标合理性、实施可行性、筹资合规性。</w:t>
      </w:r>
      <w:r>
        <w:rPr>
          <w:rFonts w:hint="eastAsia" w:ascii="仿宋_GB2312"/>
        </w:rPr>
        <w:t>按照厉行节约的要求，结合项目开支情况结合实际需求、相关费用标准及市场价格水平，重点对目标数量是否合理、投入是否经济、预算测算是否准确、测算过程是否详细、测算依据是否充分等方面进行了分析。</w:t>
      </w:r>
      <w:r>
        <w:rPr>
          <w:rFonts w:hint="eastAsia" w:ascii="仿宋_GB2312" w:cs="仿宋"/>
          <w:szCs w:val="32"/>
          <w:lang w:val="zh-CN"/>
        </w:rPr>
        <w:t>确定项目实施。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 w14:paraId="71A917CB">
      <w:pPr>
        <w:snapToGrid w:val="0"/>
        <w:spacing w:line="560" w:lineRule="exact"/>
        <w:ind w:firstLine="640" w:firstLineChars="200"/>
      </w:pPr>
      <w:r>
        <w:rPr>
          <w:rFonts w:hint="eastAsia" w:ascii="仿宋_GB2312"/>
        </w:rPr>
        <w:t>项目入库；我乡按照项目建设要求在规定时间完成项目入库。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 w14:paraId="44CF24F2">
      <w:pPr>
        <w:snapToGrid w:val="0"/>
        <w:spacing w:line="560" w:lineRule="exact"/>
        <w:ind w:firstLine="640" w:firstLineChars="200"/>
        <w:rPr>
          <w:rFonts w:ascii="仿宋_GB2312"/>
          <w:szCs w:val="32"/>
        </w:rPr>
      </w:pPr>
      <w:r>
        <w:rPr>
          <w:rFonts w:hint="eastAsia" w:ascii="仿宋_GB2312"/>
          <w:szCs w:val="32"/>
          <w:lang w:val="zh-CN"/>
        </w:rPr>
        <w:t>目标设置：申报的</w:t>
      </w:r>
      <w:r>
        <w:rPr>
          <w:rFonts w:hint="eastAsia" w:ascii="仿宋_GB2312"/>
          <w:szCs w:val="32"/>
        </w:rPr>
        <w:t>资金项目内容</w:t>
      </w:r>
      <w:r>
        <w:rPr>
          <w:rFonts w:hint="eastAsia" w:ascii="仿宋_GB2312"/>
          <w:szCs w:val="32"/>
          <w:lang w:val="zh-CN"/>
        </w:rPr>
        <w:t>与具体实施内容相符的、申报目标是合理可行</w:t>
      </w:r>
      <w:r>
        <w:rPr>
          <w:rFonts w:hint="eastAsia" w:ascii="仿宋_GB2312" w:cs="仿宋"/>
          <w:szCs w:val="32"/>
          <w:lang w:val="zh-CN"/>
        </w:rPr>
        <w:t>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 w14:paraId="0F57E8BD">
      <w:pPr>
        <w:spacing w:line="560" w:lineRule="exact"/>
        <w:ind w:firstLine="640" w:firstLineChars="200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2.项目执行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。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12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12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分。</w:t>
      </w:r>
    </w:p>
    <w:p w14:paraId="26CF6464">
      <w:pPr>
        <w:spacing w:line="560" w:lineRule="exact"/>
        <w:ind w:firstLine="640" w:firstLineChars="200"/>
        <w:rPr>
          <w:rFonts w:ascii="仿宋_GB2312"/>
          <w:szCs w:val="32"/>
          <w:lang w:val="zh-CN"/>
        </w:rPr>
      </w:pPr>
      <w:r>
        <w:rPr>
          <w:rFonts w:hint="eastAsia" w:ascii="仿宋_GB2312"/>
          <w:szCs w:val="32"/>
        </w:rPr>
        <w:t>执行同向：各项目实际列支内容是否与绩效目标设置方向相符。项目组织管理架构及具体实施流程，包括机构设置、监管措施、执行相关管理制度等符合相关规定。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 w14:paraId="05CE0556">
      <w:pPr>
        <w:spacing w:line="560" w:lineRule="exact"/>
        <w:ind w:firstLine="640" w:firstLineChars="200"/>
        <w:rPr>
          <w:rFonts w:ascii="仿宋_GB2312"/>
          <w:szCs w:val="32"/>
          <w:lang w:val="zh-CN"/>
        </w:rPr>
      </w:pPr>
      <w:r>
        <w:rPr>
          <w:rFonts w:hint="eastAsia" w:ascii="仿宋_GB2312"/>
          <w:szCs w:val="32"/>
        </w:rPr>
        <w:t>项目调整：按照县委资金分配，设立项目，未调整。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 w14:paraId="292472CB">
      <w:pPr>
        <w:spacing w:line="560" w:lineRule="exact"/>
        <w:ind w:firstLine="640" w:firstLineChars="200"/>
        <w:rPr>
          <w:rFonts w:ascii="仿宋_GB2312"/>
          <w:szCs w:val="32"/>
        </w:rPr>
      </w:pPr>
      <w:r>
        <w:rPr>
          <w:rFonts w:hint="eastAsia" w:ascii="仿宋_GB2312"/>
          <w:szCs w:val="32"/>
        </w:rPr>
        <w:t>执行结果：资金开支范围、标准及支付进度，支付依据合规合法，资金支付与预算相符。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 w14:paraId="032D21AA">
      <w:pPr>
        <w:adjustRightInd w:val="0"/>
        <w:snapToGrid w:val="0"/>
        <w:spacing w:line="560" w:lineRule="exact"/>
        <w:ind w:left="640" w:leftChars="200"/>
        <w:contextualSpacing/>
        <w:jc w:val="left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3.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目标实现。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11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11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分。</w:t>
      </w:r>
    </w:p>
    <w:p w14:paraId="3C4D0261"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目标完成：项目从经济、社会、生态、可持续效益以及服务对象满意度等方面科学制定目标任务。截至</w:t>
      </w:r>
      <w:r>
        <w:rPr>
          <w:rFonts w:hint="eastAsia"/>
          <w:color w:val="000000"/>
          <w:kern w:val="0"/>
          <w:szCs w:val="32"/>
          <w:shd w:val="clear" w:color="auto" w:fill="FFFFFF"/>
        </w:rPr>
        <w:t>2023年年底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项目按照目标任务完成数量、质量、时效、成本等计划完成目标。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 w14:paraId="033EAA20"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目标偏离：预算项目绩效目标数量指标实现程度与预期目标无偏离情况。各项目在实际工作中达到预期的目标或标准，与设定的绩效目标之间不存在差异。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 w14:paraId="045141E4"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实现效果：加快构建全方位、全过程、全覆盖预算绩效管理体系，财政资源配置效率和资金使用效益实现“双提升”。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分。</w:t>
      </w:r>
    </w:p>
    <w:p w14:paraId="3F618F1A">
      <w:pPr>
        <w:spacing w:line="560" w:lineRule="exact"/>
        <w:ind w:firstLine="640" w:firstLineChars="200"/>
        <w:rPr>
          <w:rFonts w:eastAsia="楷体_GB2312"/>
          <w:color w:val="333333"/>
          <w:szCs w:val="32"/>
        </w:rPr>
      </w:pPr>
      <w:r>
        <w:rPr>
          <w:rFonts w:hint="eastAsia"/>
          <w:szCs w:val="32"/>
        </w:rPr>
        <w:t>我单位不涉及2024年度</w:t>
      </w:r>
      <w:r>
        <w:rPr>
          <w:szCs w:val="32"/>
        </w:rPr>
        <w:t>若涉及国有资本经营预算、社会保险基金预算。</w:t>
      </w:r>
    </w:p>
    <w:p w14:paraId="00ACFDE3">
      <w:pPr>
        <w:snapToGrid w:val="0"/>
        <w:spacing w:line="560" w:lineRule="exact"/>
        <w:ind w:firstLine="640" w:firstLineChars="200"/>
        <w:rPr>
          <w:rFonts w:ascii="仿宋_GB2312" w:cs="仿宋_GB2312"/>
          <w:szCs w:val="32"/>
        </w:rPr>
      </w:pPr>
      <w:r>
        <w:rPr>
          <w:rFonts w:hint="eastAsia" w:ascii="仿宋_GB2312" w:cs="仿宋_GB2312"/>
          <w:szCs w:val="32"/>
          <w:lang w:eastAsia="zh-CN"/>
        </w:rPr>
        <w:t>截至</w:t>
      </w:r>
      <w:r>
        <w:rPr>
          <w:rFonts w:ascii="仿宋_GB2312" w:cs="仿宋_GB2312"/>
          <w:szCs w:val="32"/>
        </w:rPr>
        <w:t>202</w:t>
      </w:r>
      <w:r>
        <w:rPr>
          <w:rFonts w:hint="eastAsia" w:ascii="仿宋_GB2312" w:cs="仿宋_GB2312"/>
          <w:szCs w:val="32"/>
        </w:rPr>
        <w:t>4年</w:t>
      </w:r>
      <w:r>
        <w:rPr>
          <w:rFonts w:ascii="仿宋_GB2312" w:cs="仿宋_GB2312"/>
          <w:szCs w:val="32"/>
        </w:rPr>
        <w:t>12</w:t>
      </w:r>
      <w:r>
        <w:rPr>
          <w:rFonts w:hint="eastAsia" w:ascii="仿宋_GB2312" w:cs="仿宋_GB2312"/>
          <w:szCs w:val="32"/>
        </w:rPr>
        <w:t>月</w:t>
      </w:r>
      <w:r>
        <w:rPr>
          <w:rFonts w:ascii="仿宋_GB2312" w:cs="仿宋_GB2312"/>
          <w:szCs w:val="32"/>
        </w:rPr>
        <w:t>31</w:t>
      </w:r>
      <w:r>
        <w:rPr>
          <w:rFonts w:hint="eastAsia" w:ascii="仿宋_GB2312" w:cs="仿宋_GB2312"/>
          <w:szCs w:val="32"/>
        </w:rPr>
        <w:t>日，固定资产总计400.23万元，在用的固定资产总计400.23万元，固定资产在用率达</w:t>
      </w:r>
      <w:r>
        <w:rPr>
          <w:rFonts w:ascii="仿宋_GB2312" w:cs="仿宋_GB2312"/>
          <w:szCs w:val="32"/>
        </w:rPr>
        <w:t>100%</w:t>
      </w:r>
      <w:r>
        <w:rPr>
          <w:rFonts w:hint="eastAsia" w:ascii="仿宋_GB2312" w:cs="仿宋_GB2312"/>
          <w:szCs w:val="32"/>
        </w:rPr>
        <w:t>。</w:t>
      </w:r>
    </w:p>
    <w:p w14:paraId="599390B8">
      <w:pPr>
        <w:snapToGrid w:val="0"/>
        <w:spacing w:line="560" w:lineRule="exact"/>
        <w:ind w:firstLine="640" w:firstLineChars="200"/>
        <w:rPr>
          <w:rFonts w:ascii="仿宋_GB2312" w:cs="仿宋_GB2312"/>
          <w:szCs w:val="32"/>
        </w:rPr>
      </w:pPr>
      <w:r>
        <w:rPr>
          <w:rFonts w:hint="eastAsia" w:ascii="仿宋_GB2312" w:cs="仿宋_GB2312"/>
          <w:szCs w:val="32"/>
        </w:rPr>
        <w:t>2024年年度政府采购货物支出0万元，政府采购工程支出0万元，政府采购服务支出</w:t>
      </w:r>
      <w:r>
        <w:rPr>
          <w:rFonts w:ascii="仿宋_GB2312" w:cs="仿宋_GB2312"/>
          <w:szCs w:val="32"/>
        </w:rPr>
        <w:t>0</w:t>
      </w:r>
      <w:r>
        <w:rPr>
          <w:rFonts w:hint="eastAsia" w:ascii="仿宋_GB2312" w:cs="仿宋_GB2312"/>
          <w:szCs w:val="32"/>
        </w:rPr>
        <w:t>万元。</w:t>
      </w:r>
    </w:p>
    <w:p w14:paraId="63A2E2CA">
      <w:pPr>
        <w:snapToGrid w:val="0"/>
        <w:spacing w:line="560" w:lineRule="exact"/>
        <w:ind w:firstLine="640" w:firstLineChars="200"/>
        <w:rPr>
          <w:kern w:val="0"/>
          <w:szCs w:val="32"/>
          <w:shd w:val="clear" w:color="auto" w:fill="FFFFFF"/>
        </w:rPr>
      </w:pPr>
      <w:r>
        <w:rPr>
          <w:rFonts w:hint="eastAsia" w:ascii="仿宋_GB2312" w:cs="仿宋_GB2312"/>
          <w:szCs w:val="32"/>
        </w:rPr>
        <w:t>政府采购授予中小企业合同金额0万元，其中：授予小微企业合同金额</w:t>
      </w:r>
      <w:r>
        <w:rPr>
          <w:rFonts w:ascii="仿宋_GB2312" w:cs="仿宋_GB2312"/>
          <w:szCs w:val="32"/>
        </w:rPr>
        <w:t>0</w:t>
      </w:r>
      <w:r>
        <w:rPr>
          <w:rFonts w:hint="eastAsia" w:ascii="仿宋_GB2312" w:cs="仿宋_GB2312"/>
          <w:szCs w:val="32"/>
        </w:rPr>
        <w:t>万元。</w:t>
      </w:r>
    </w:p>
    <w:p w14:paraId="37B8D626">
      <w:pPr>
        <w:numPr>
          <w:ilvl w:val="0"/>
          <w:numId w:val="2"/>
        </w:numPr>
        <w:snapToGrid w:val="0"/>
        <w:spacing w:line="560" w:lineRule="exact"/>
        <w:ind w:firstLine="643" w:firstLineChars="200"/>
        <w:rPr>
          <w:rFonts w:eastAsia="楷体_GB2312"/>
          <w:b/>
          <w:bCs/>
          <w:szCs w:val="32"/>
          <w:lang w:val="zh-CN"/>
        </w:rPr>
      </w:pPr>
      <w:r>
        <w:rPr>
          <w:rFonts w:eastAsia="楷体_GB2312"/>
          <w:b/>
          <w:bCs/>
          <w:szCs w:val="32"/>
          <w:lang w:val="zh-CN"/>
        </w:rPr>
        <w:t>绩效结果应用情况</w:t>
      </w:r>
      <w:r>
        <w:rPr>
          <w:rFonts w:hint="eastAsia" w:eastAsia="楷体_GB2312"/>
          <w:b/>
          <w:bCs/>
          <w:szCs w:val="32"/>
          <w:lang w:val="zh-CN"/>
        </w:rPr>
        <w:t>。</w:t>
      </w:r>
    </w:p>
    <w:p w14:paraId="092D3B61">
      <w:pPr>
        <w:snapToGrid w:val="0"/>
        <w:spacing w:line="560" w:lineRule="exact"/>
        <w:ind w:firstLine="640" w:firstLineChars="200"/>
        <w:rPr>
          <w:b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我单位于202</w:t>
      </w:r>
      <w:r>
        <w:rPr>
          <w:rFonts w:hint="eastAsia"/>
          <w:color w:val="000000"/>
          <w:kern w:val="0"/>
          <w:szCs w:val="32"/>
          <w:shd w:val="clear" w:color="auto" w:fill="FFFFFF"/>
        </w:rPr>
        <w:t>4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年3月</w:t>
      </w:r>
      <w:r>
        <w:rPr>
          <w:rFonts w:hint="eastAsia"/>
          <w:color w:val="000000"/>
          <w:kern w:val="0"/>
          <w:szCs w:val="32"/>
          <w:shd w:val="clear" w:color="auto" w:fill="FFFFFF"/>
        </w:rPr>
        <w:t>20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日在黑水县人民政府信息公开网站上公开了《晴朗乡人民202</w:t>
      </w:r>
      <w:r>
        <w:rPr>
          <w:rFonts w:hint="eastAsia"/>
          <w:color w:val="000000"/>
          <w:kern w:val="0"/>
          <w:szCs w:val="32"/>
          <w:shd w:val="clear" w:color="auto" w:fill="FFFFFF"/>
        </w:rPr>
        <w:t>4</w:t>
      </w:r>
      <w:r>
        <w:rPr>
          <w:rFonts w:hint="eastAsia"/>
          <w:color w:val="000000"/>
          <w:kern w:val="0"/>
          <w:szCs w:val="32"/>
          <w:shd w:val="clear" w:color="auto" w:fill="FFFFFF"/>
          <w:lang w:eastAsia="zh-CN"/>
        </w:rPr>
        <w:t>年度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预算编制说明》。202</w:t>
      </w:r>
      <w:r>
        <w:rPr>
          <w:rFonts w:hint="eastAsia"/>
          <w:color w:val="000000"/>
          <w:kern w:val="0"/>
          <w:szCs w:val="32"/>
          <w:shd w:val="clear" w:color="auto" w:fill="FFFFFF"/>
        </w:rPr>
        <w:t>4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年</w:t>
      </w:r>
      <w:r>
        <w:rPr>
          <w:rFonts w:hint="eastAsia"/>
          <w:color w:val="000000"/>
          <w:kern w:val="0"/>
          <w:szCs w:val="32"/>
          <w:shd w:val="clear" w:color="auto" w:fill="FFFFFF"/>
        </w:rPr>
        <w:t>9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月</w:t>
      </w:r>
      <w:r>
        <w:rPr>
          <w:rFonts w:hint="eastAsia"/>
          <w:color w:val="000000"/>
          <w:kern w:val="0"/>
          <w:szCs w:val="32"/>
          <w:shd w:val="clear" w:color="auto" w:fill="FFFFFF"/>
        </w:rPr>
        <w:t>20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日在黑水县人民政府信息公开网站上公开了《202</w:t>
      </w:r>
      <w:r>
        <w:rPr>
          <w:rFonts w:hint="eastAsia"/>
          <w:color w:val="000000"/>
          <w:kern w:val="0"/>
          <w:szCs w:val="32"/>
          <w:shd w:val="clear" w:color="auto" w:fill="FFFFFF"/>
        </w:rPr>
        <w:t>3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年度晴朗乡人民政府部门决算编制说明》。于202</w:t>
      </w:r>
      <w:r>
        <w:rPr>
          <w:rFonts w:hint="eastAsia"/>
          <w:color w:val="000000"/>
          <w:kern w:val="0"/>
          <w:szCs w:val="32"/>
          <w:shd w:val="clear" w:color="auto" w:fill="FFFFFF"/>
        </w:rPr>
        <w:t>4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年</w:t>
      </w:r>
      <w:r>
        <w:rPr>
          <w:rFonts w:hint="eastAsia"/>
          <w:color w:val="000000"/>
          <w:kern w:val="0"/>
          <w:szCs w:val="32"/>
          <w:shd w:val="clear" w:color="auto" w:fill="FFFFFF"/>
        </w:rPr>
        <w:t>9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月</w:t>
      </w:r>
      <w:r>
        <w:rPr>
          <w:rFonts w:hint="eastAsia"/>
          <w:color w:val="000000"/>
          <w:kern w:val="0"/>
          <w:szCs w:val="32"/>
          <w:shd w:val="clear" w:color="auto" w:fill="FFFFFF"/>
        </w:rPr>
        <w:t>30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日在黑水县政府信息公开网站上公开了《202</w:t>
      </w:r>
      <w:r>
        <w:rPr>
          <w:rFonts w:hint="eastAsia"/>
          <w:color w:val="000000"/>
          <w:kern w:val="0"/>
          <w:szCs w:val="32"/>
          <w:shd w:val="clear" w:color="auto" w:fill="FFFFFF"/>
        </w:rPr>
        <w:t>3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年度晴朗乡人民政府部门决算编制说明》，说明中公开了预算绩效管理工作开展情况，并公开了202</w:t>
      </w:r>
      <w:r>
        <w:rPr>
          <w:rFonts w:hint="eastAsia"/>
          <w:color w:val="000000"/>
          <w:kern w:val="0"/>
          <w:szCs w:val="32"/>
          <w:shd w:val="clear" w:color="auto" w:fill="FFFFFF"/>
        </w:rPr>
        <w:t>3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年整体支出绩效报告。</w:t>
      </w:r>
    </w:p>
    <w:p w14:paraId="6C97DF54">
      <w:pPr>
        <w:widowControl/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eastAsia="黑体"/>
          <w:color w:val="000000"/>
          <w:kern w:val="0"/>
          <w:szCs w:val="32"/>
          <w:shd w:val="clear" w:color="auto" w:fill="FFFFFF"/>
        </w:rPr>
      </w:pPr>
      <w:r>
        <w:rPr>
          <w:rFonts w:eastAsia="黑体"/>
          <w:color w:val="000000"/>
          <w:kern w:val="0"/>
          <w:szCs w:val="32"/>
          <w:shd w:val="clear" w:color="auto" w:fill="FFFFFF"/>
        </w:rPr>
        <w:t>四、评价结论及建议</w:t>
      </w:r>
    </w:p>
    <w:p w14:paraId="41AA1FCB">
      <w:pPr>
        <w:spacing w:line="560" w:lineRule="exact"/>
        <w:ind w:firstLine="643" w:firstLineChars="200"/>
        <w:rPr>
          <w:rFonts w:ascii="仿宋" w:eastAsia="仿宋" w:cs="??_GB2312"/>
          <w:szCs w:val="32"/>
        </w:rPr>
      </w:pP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（一）评价结论。</w:t>
      </w:r>
      <w:r>
        <w:rPr>
          <w:rFonts w:hint="eastAsia" w:ascii="仿宋" w:eastAsia="仿宋" w:cs="??_GB2312"/>
          <w:szCs w:val="32"/>
        </w:rPr>
        <w:t>我乡严格对照评分标准，</w:t>
      </w:r>
      <w:r>
        <w:rPr>
          <w:rFonts w:ascii="仿宋" w:eastAsia="仿宋" w:cs="??_GB2312"/>
          <w:szCs w:val="32"/>
        </w:rPr>
        <w:t>202</w:t>
      </w:r>
      <w:r>
        <w:rPr>
          <w:rFonts w:hint="eastAsia" w:ascii="仿宋" w:eastAsia="仿宋" w:cs="??_GB2312"/>
          <w:szCs w:val="32"/>
        </w:rPr>
        <w:t>4年度财政局部门整体支出绩效评价自评分数为97分（详情见附件）。</w:t>
      </w:r>
    </w:p>
    <w:p w14:paraId="0030EF9B">
      <w:pPr>
        <w:widowControl/>
        <w:adjustRightInd w:val="0"/>
        <w:snapToGrid w:val="0"/>
        <w:spacing w:line="560" w:lineRule="exact"/>
        <w:ind w:firstLine="643" w:firstLineChars="200"/>
        <w:contextualSpacing/>
        <w:jc w:val="left"/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（二）存在问题。</w:t>
      </w:r>
    </w:p>
    <w:p w14:paraId="0D40AB70">
      <w:pPr>
        <w:spacing w:line="560" w:lineRule="exact"/>
        <w:ind w:firstLine="640" w:firstLineChars="200"/>
        <w:rPr>
          <w:rFonts w:ascii="仿宋" w:eastAsia="仿宋" w:cs="??_GB2312"/>
          <w:szCs w:val="32"/>
          <w:lang w:val="zh-CN"/>
        </w:rPr>
      </w:pPr>
      <w:r>
        <w:rPr>
          <w:rFonts w:hint="eastAsia" w:ascii="仿宋" w:eastAsia="仿宋" w:cs="??_GB2312"/>
          <w:szCs w:val="32"/>
          <w:lang w:val="zh-CN"/>
        </w:rPr>
        <w:t>1.预算编制不够精确，财政资金紧张，存在中期调整取消资金的情况。</w:t>
      </w:r>
    </w:p>
    <w:p w14:paraId="46539A20">
      <w:pPr>
        <w:spacing w:line="560" w:lineRule="exact"/>
        <w:ind w:firstLine="640" w:firstLineChars="200"/>
        <w:rPr>
          <w:rFonts w:ascii="仿宋" w:eastAsia="仿宋" w:cs="??_GB2312"/>
          <w:szCs w:val="32"/>
          <w:lang w:val="zh-CN"/>
        </w:rPr>
      </w:pPr>
      <w:r>
        <w:rPr>
          <w:rFonts w:hint="eastAsia" w:ascii="仿宋" w:eastAsia="仿宋" w:cs="??_GB2312"/>
          <w:szCs w:val="32"/>
          <w:lang w:val="zh-CN"/>
        </w:rPr>
        <w:t>2.因本部门整体支出预算资金的安排及使用上有不可预见性。</w:t>
      </w:r>
    </w:p>
    <w:p w14:paraId="70D74BC2">
      <w:pPr>
        <w:spacing w:line="560" w:lineRule="exact"/>
        <w:ind w:firstLine="643" w:firstLineChars="200"/>
        <w:contextualSpacing/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（三）改进建议。</w:t>
      </w:r>
    </w:p>
    <w:p w14:paraId="05C23D6A">
      <w:pPr>
        <w:spacing w:line="560" w:lineRule="exact"/>
        <w:ind w:firstLine="640" w:firstLineChars="200"/>
        <w:rPr>
          <w:rFonts w:ascii="仿宋" w:eastAsia="仿宋" w:cs="??_GB2312"/>
          <w:szCs w:val="32"/>
        </w:rPr>
      </w:pPr>
      <w:r>
        <w:rPr>
          <w:rFonts w:hint="eastAsia" w:ascii="仿宋" w:eastAsia="仿宋" w:cs="??_GB2312"/>
          <w:szCs w:val="32"/>
        </w:rPr>
        <w:t>一是重视绩效管理，切实履行好职责。努力提升工作绩效，围绕财政项目计划安排，合理使用财政资金，让财政监督职责发挥作用。</w:t>
      </w:r>
    </w:p>
    <w:p w14:paraId="32007527">
      <w:pPr>
        <w:spacing w:line="560" w:lineRule="exact"/>
        <w:ind w:firstLine="640" w:firstLineChars="200"/>
        <w:rPr>
          <w:rFonts w:ascii="仿宋" w:eastAsia="仿宋" w:cs="??_GB2312"/>
          <w:szCs w:val="32"/>
        </w:rPr>
      </w:pPr>
      <w:r>
        <w:rPr>
          <w:rFonts w:hint="eastAsia" w:ascii="仿宋" w:eastAsia="仿宋" w:cs="??_GB2312"/>
          <w:szCs w:val="32"/>
        </w:rPr>
        <w:t>二是建立长效机制。把绩效评价作为部门内控的日常工作，建立绩效评价管理工作考核长效机制。科学设定绩效目标，加强预算执行管理。</w:t>
      </w:r>
    </w:p>
    <w:p w14:paraId="4B9AFB12">
      <w:pPr>
        <w:pStyle w:val="15"/>
        <w:spacing w:line="560" w:lineRule="exact"/>
        <w:ind w:left="0" w:leftChars="0" w:firstLine="0" w:firstLineChars="0"/>
        <w:rPr>
          <w:rFonts w:ascii="Times New Roman"/>
          <w:color w:val="000000"/>
          <w:kern w:val="0"/>
          <w:shd w:val="clear" w:color="auto" w:fill="FFFFFF"/>
        </w:rPr>
      </w:pPr>
    </w:p>
    <w:p w14:paraId="7C90A146">
      <w:pPr>
        <w:pStyle w:val="15"/>
        <w:spacing w:line="560" w:lineRule="exact"/>
        <w:ind w:left="0" w:leftChars="0" w:firstLine="0" w:firstLineChars="0"/>
        <w:rPr>
          <w:rFonts w:ascii="Times New Roman"/>
        </w:rPr>
      </w:pPr>
    </w:p>
    <w:p w14:paraId="7366C4FC">
      <w:pPr>
        <w:pStyle w:val="15"/>
        <w:spacing w:line="560" w:lineRule="exact"/>
        <w:ind w:left="0" w:leftChars="0" w:firstLine="0" w:firstLineChars="0"/>
        <w:rPr>
          <w:rFonts w:ascii="Times New Roman"/>
        </w:rPr>
      </w:pPr>
    </w:p>
    <w:p w14:paraId="22FB9318">
      <w:pPr>
        <w:pStyle w:val="15"/>
        <w:spacing w:line="560" w:lineRule="exact"/>
        <w:ind w:left="0" w:leftChars="0" w:firstLine="0" w:firstLineChars="0"/>
        <w:rPr>
          <w:rFonts w:ascii="Times New Roman"/>
        </w:rPr>
      </w:pPr>
    </w:p>
    <w:p w14:paraId="422D78A9">
      <w:pPr>
        <w:pStyle w:val="15"/>
        <w:spacing w:line="560" w:lineRule="exact"/>
        <w:ind w:left="0" w:leftChars="0" w:firstLine="0" w:firstLineChars="0"/>
        <w:rPr>
          <w:rFonts w:ascii="Times New Roman"/>
        </w:rPr>
      </w:pPr>
    </w:p>
    <w:p w14:paraId="5D444046">
      <w:pPr>
        <w:tabs>
          <w:tab w:val="left" w:pos="1351"/>
        </w:tabs>
        <w:spacing w:line="560" w:lineRule="exact"/>
        <w:jc w:val="left"/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F81F7DF-1F28-4340-915D-851A1DB9D0E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3E3B8ADB-9CC7-4601-961B-7CE802D4BEC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EDB11670-40B8-4FCB-BE4C-45400A5E6639}"/>
  </w:font>
  <w:font w:name="??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85AF8F33-2564-494B-9117-039877249C6D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F6DB9E9C-67BE-4B06-B9F5-ABDD0DA78C56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04B390DB-973F-427F-B7AB-12EAC7836EAD}"/>
  </w:font>
  <w:font w:name="??_GB2312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7B468E">
    <w:pPr>
      <w:pStyle w:val="11"/>
    </w:pPr>
    <w:r>
      <w:pict>
        <v:rect id="文本框 2" o:spid="_x0000_s1026" o:spt="1" style="position:absolute;left:0pt;margin-top:0pt;height:36.55pt;width:57.5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C9D0hbXAAAABAEAAA8AAAAAAAAAAQAgAAAAIgAA&#10;AGRycy9kb3ducmV2LnhtbFBLAQIUABQAAAAIAIdO4kAcitVRCQIAAAIEAAAOAAAAAAAAAAEAIAAA&#10;ACYBAABkcnMvZTJvRG9jLnhtbFBLBQYAAAAABgAGAFkBAAChBQAAAAA=&#10;">
          <v:path/>
          <v:fill on="f" focussize="0,0"/>
          <v:stroke on="f" weight="0.5pt" joinstyle="round"/>
          <v:imagedata o:title=""/>
          <o:lock v:ext="edit"/>
          <v:textbox inset="0mm,0mm,0mm,0mm" style="mso-fit-shape-to-text:t;">
            <w:txbxContent>
              <w:p w14:paraId="603E034B">
                <w:pPr>
                  <w:pStyle w:val="11"/>
                  <w:ind w:right="451" w:rightChars="141"/>
                  <w:jc w:val="right"/>
                  <w:rPr>
                    <w:rFonts w:ascii="宋体"/>
                    <w:sz w:val="28"/>
                    <w:szCs w:val="28"/>
                  </w:rPr>
                </w:pPr>
                <w:r>
                  <w:rPr>
                    <w:rFonts w:ascii="宋体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/>
                    <w:sz w:val="28"/>
                    <w:szCs w:val="28"/>
                  </w:rPr>
                  <w:instrText xml:space="preserve">PAGE   \* MERGEFORMAT</w:instrText>
                </w:r>
                <w:r>
                  <w:rPr>
                    <w:rFonts w:ascii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/>
                    <w:sz w:val="28"/>
                    <w:szCs w:val="28"/>
                    <w:lang w:val="zh-CN"/>
                  </w:rPr>
                  <w:t>-</w:t>
                </w:r>
                <w:r>
                  <w:rPr>
                    <w:rFonts w:ascii="宋体"/>
                    <w:sz w:val="28"/>
                    <w:szCs w:val="28"/>
                  </w:rPr>
                  <w:t xml:space="preserve"> 16 -</w:t>
                </w:r>
                <w:r>
                  <w:rPr>
                    <w:rFonts w:ascii="宋体"/>
                    <w:sz w:val="28"/>
                    <w:szCs w:val="28"/>
                  </w:rPr>
                  <w:fldChar w:fldCharType="end"/>
                </w:r>
              </w:p>
              <w:p w14:paraId="6D04927C"/>
            </w:txbxContent>
          </v:textbox>
        </v:rect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CD493C">
    <w:pPr>
      <w:pStyle w:val="12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9F60339"/>
    <w:multiLevelType w:val="singleLevel"/>
    <w:tmpl w:val="39F60339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52710CDF"/>
    <w:multiLevelType w:val="singleLevel"/>
    <w:tmpl w:val="52710CDF"/>
    <w:lvl w:ilvl="0" w:tentative="0">
      <w:start w:val="4"/>
      <w:numFmt w:val="chineseCounting"/>
      <w:suff w:val="nothing"/>
      <w:lvlText w:val="（%1）"/>
      <w:lvlJc w:val="left"/>
      <w:pPr>
        <w:ind w:left="0" w:firstLine="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TrueTypeFonts/>
  <w:saveSubsetFonts/>
  <w:bordersDoNotSurroundHeader w:val="1"/>
  <w:bordersDoNotSurroundFooter w:val="1"/>
  <w:documentProtection w:edit="readOnly" w:enforcement="0"/>
  <w:defaultTabStop w:val="420"/>
  <w:drawingGridHorizontalSpacing w:val="160"/>
  <w:drawingGridVerticalSpacing w:val="435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ulTrailSpace/>
    <w:doNotExpandShiftReturn/>
    <w:adjustLineHeightInTable/>
    <w:useFELayout/>
    <w:useAltKinsokuLineBreakRules/>
    <w:compatSetting w:name="compatibilityMode" w:uri="http://schemas.microsoft.com/office/word" w:val="12"/>
  </w:compat>
  <w:docVars>
    <w:docVar w:name="commondata" w:val="eyJoZGlkIjoiNWQzNjhjNDNiN2RjOWRkY2QxZGViYzI0NTBlYjA3NDAifQ=="/>
  </w:docVars>
  <w:rsids>
    <w:rsidRoot w:val="00172A27"/>
    <w:rsid w:val="00060CFE"/>
    <w:rsid w:val="00172A27"/>
    <w:rsid w:val="001A555C"/>
    <w:rsid w:val="00213CF6"/>
    <w:rsid w:val="00267069"/>
    <w:rsid w:val="00303105"/>
    <w:rsid w:val="0036434F"/>
    <w:rsid w:val="0043022F"/>
    <w:rsid w:val="005967EE"/>
    <w:rsid w:val="005C7D51"/>
    <w:rsid w:val="005D23FD"/>
    <w:rsid w:val="006511FC"/>
    <w:rsid w:val="006D1318"/>
    <w:rsid w:val="00710D9E"/>
    <w:rsid w:val="008018A2"/>
    <w:rsid w:val="00A63199"/>
    <w:rsid w:val="00C34800"/>
    <w:rsid w:val="00C84AAD"/>
    <w:rsid w:val="00CE3C35"/>
    <w:rsid w:val="00D0357C"/>
    <w:rsid w:val="00E718D5"/>
    <w:rsid w:val="00F971FD"/>
    <w:rsid w:val="00FC040B"/>
    <w:rsid w:val="01BD29C8"/>
    <w:rsid w:val="02025461"/>
    <w:rsid w:val="03F82FC0"/>
    <w:rsid w:val="040C05A4"/>
    <w:rsid w:val="06B74A9B"/>
    <w:rsid w:val="06C12F67"/>
    <w:rsid w:val="07A37A10"/>
    <w:rsid w:val="07B61D37"/>
    <w:rsid w:val="07EA141D"/>
    <w:rsid w:val="081A225E"/>
    <w:rsid w:val="08646E76"/>
    <w:rsid w:val="08A162D5"/>
    <w:rsid w:val="08AE049D"/>
    <w:rsid w:val="099C43EE"/>
    <w:rsid w:val="09ED5DAA"/>
    <w:rsid w:val="0A697832"/>
    <w:rsid w:val="0CA248E3"/>
    <w:rsid w:val="0DAE3513"/>
    <w:rsid w:val="0DBA7DB7"/>
    <w:rsid w:val="10234F21"/>
    <w:rsid w:val="169604F8"/>
    <w:rsid w:val="16B65F5A"/>
    <w:rsid w:val="177E2113"/>
    <w:rsid w:val="1A997F2F"/>
    <w:rsid w:val="1AC82188"/>
    <w:rsid w:val="1C3F1C36"/>
    <w:rsid w:val="1CBF5FD1"/>
    <w:rsid w:val="1E201112"/>
    <w:rsid w:val="1F262884"/>
    <w:rsid w:val="1F4D3D68"/>
    <w:rsid w:val="1FB5190D"/>
    <w:rsid w:val="1FE47C93"/>
    <w:rsid w:val="20254A06"/>
    <w:rsid w:val="20FC6049"/>
    <w:rsid w:val="222E44B2"/>
    <w:rsid w:val="2389558B"/>
    <w:rsid w:val="247D6215"/>
    <w:rsid w:val="24EF1412"/>
    <w:rsid w:val="25434489"/>
    <w:rsid w:val="262122BC"/>
    <w:rsid w:val="271635D9"/>
    <w:rsid w:val="27DF39CB"/>
    <w:rsid w:val="283F090E"/>
    <w:rsid w:val="29F0536A"/>
    <w:rsid w:val="2B20072F"/>
    <w:rsid w:val="2D4C0DDD"/>
    <w:rsid w:val="2D776B6B"/>
    <w:rsid w:val="2D7B23E8"/>
    <w:rsid w:val="2F0401BB"/>
    <w:rsid w:val="2F117C09"/>
    <w:rsid w:val="2FA84FEB"/>
    <w:rsid w:val="303B7C0D"/>
    <w:rsid w:val="32803FFD"/>
    <w:rsid w:val="32C739DA"/>
    <w:rsid w:val="34DA52F0"/>
    <w:rsid w:val="35150A2C"/>
    <w:rsid w:val="37E34E12"/>
    <w:rsid w:val="38683569"/>
    <w:rsid w:val="39AB5580"/>
    <w:rsid w:val="3B0F4170"/>
    <w:rsid w:val="3B211D7B"/>
    <w:rsid w:val="3B482C8F"/>
    <w:rsid w:val="3B4C2CCE"/>
    <w:rsid w:val="3C055EE8"/>
    <w:rsid w:val="3C357C06"/>
    <w:rsid w:val="3C5E715D"/>
    <w:rsid w:val="3C70304D"/>
    <w:rsid w:val="3DB65202"/>
    <w:rsid w:val="3E467EA9"/>
    <w:rsid w:val="3F5465F5"/>
    <w:rsid w:val="3FD17940"/>
    <w:rsid w:val="3FFC1AB1"/>
    <w:rsid w:val="40907B01"/>
    <w:rsid w:val="41570C59"/>
    <w:rsid w:val="41E31B9C"/>
    <w:rsid w:val="42832017"/>
    <w:rsid w:val="438E1A43"/>
    <w:rsid w:val="44B73BE0"/>
    <w:rsid w:val="47985D97"/>
    <w:rsid w:val="485C5EC2"/>
    <w:rsid w:val="49292CBC"/>
    <w:rsid w:val="4B6422B6"/>
    <w:rsid w:val="4D1A2153"/>
    <w:rsid w:val="4EDE412D"/>
    <w:rsid w:val="4FC926E8"/>
    <w:rsid w:val="4FCD72D2"/>
    <w:rsid w:val="50615016"/>
    <w:rsid w:val="50EC24C8"/>
    <w:rsid w:val="510E33E9"/>
    <w:rsid w:val="51C47ACD"/>
    <w:rsid w:val="521F6F37"/>
    <w:rsid w:val="526A046E"/>
    <w:rsid w:val="53B92A73"/>
    <w:rsid w:val="54280CE4"/>
    <w:rsid w:val="558F7F2F"/>
    <w:rsid w:val="571511AC"/>
    <w:rsid w:val="5818420C"/>
    <w:rsid w:val="583077E2"/>
    <w:rsid w:val="5A85172D"/>
    <w:rsid w:val="5B7F0083"/>
    <w:rsid w:val="5D3E4715"/>
    <w:rsid w:val="5D861C18"/>
    <w:rsid w:val="5EDA6F3C"/>
    <w:rsid w:val="63070BFB"/>
    <w:rsid w:val="63D60815"/>
    <w:rsid w:val="654359FF"/>
    <w:rsid w:val="65D25593"/>
    <w:rsid w:val="66D439F4"/>
    <w:rsid w:val="675C43FC"/>
    <w:rsid w:val="683C2412"/>
    <w:rsid w:val="6D315ADF"/>
    <w:rsid w:val="6D7E46BA"/>
    <w:rsid w:val="6EA6064E"/>
    <w:rsid w:val="7077616F"/>
    <w:rsid w:val="716A38D3"/>
    <w:rsid w:val="718D4066"/>
    <w:rsid w:val="72A51C4F"/>
    <w:rsid w:val="72BF19FC"/>
    <w:rsid w:val="734819F2"/>
    <w:rsid w:val="74E4399C"/>
    <w:rsid w:val="74ED2CB8"/>
    <w:rsid w:val="750D2EF3"/>
    <w:rsid w:val="751E18AC"/>
    <w:rsid w:val="78A3539C"/>
    <w:rsid w:val="7AE0603D"/>
    <w:rsid w:val="7B10579A"/>
    <w:rsid w:val="7C2F4CB3"/>
    <w:rsid w:val="7CE46E89"/>
    <w:rsid w:val="7D162B61"/>
    <w:rsid w:val="7DA84FE4"/>
    <w:rsid w:val="7E953898"/>
    <w:rsid w:val="7FE78068"/>
    <w:rsid w:val="9AFF9516"/>
    <w:rsid w:val="F957F88A"/>
    <w:rsid w:val="FF7C619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99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eastAsia="黑体"/>
      <w:b/>
    </w:rPr>
  </w:style>
  <w:style w:type="paragraph" w:styleId="5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6">
    <w:name w:val="Normal Indent"/>
    <w:basedOn w:val="1"/>
    <w:next w:val="1"/>
    <w:qFormat/>
    <w:uiPriority w:val="0"/>
    <w:pPr>
      <w:spacing w:beforeLines="50" w:line="360" w:lineRule="auto"/>
      <w:ind w:firstLine="200" w:firstLineChars="200"/>
    </w:pPr>
    <w:rPr>
      <w:rFonts w:eastAsia="仿宋"/>
      <w:sz w:val="24"/>
      <w:szCs w:val="23"/>
      <w:lang w:eastAsia="ar-SA"/>
    </w:rPr>
  </w:style>
  <w:style w:type="paragraph" w:styleId="7">
    <w:name w:val="Document Map"/>
    <w:basedOn w:val="1"/>
    <w:qFormat/>
    <w:uiPriority w:val="0"/>
    <w:rPr>
      <w:rFonts w:ascii="宋体" w:eastAsia="宋体"/>
      <w:sz w:val="18"/>
      <w:szCs w:val="18"/>
    </w:rPr>
  </w:style>
  <w:style w:type="paragraph" w:styleId="8">
    <w:name w:val="Body Text"/>
    <w:basedOn w:val="1"/>
    <w:next w:val="1"/>
    <w:qFormat/>
    <w:uiPriority w:val="0"/>
    <w:pPr>
      <w:spacing w:after="120"/>
    </w:pPr>
  </w:style>
  <w:style w:type="paragraph" w:styleId="9">
    <w:name w:val="Body Text Indent"/>
    <w:basedOn w:val="1"/>
    <w:qFormat/>
    <w:uiPriority w:val="0"/>
    <w:pPr>
      <w:spacing w:after="120"/>
      <w:ind w:left="200" w:leftChars="200"/>
    </w:pPr>
    <w:rPr>
      <w:rFonts w:ascii="仿宋_GB2312"/>
      <w:szCs w:val="32"/>
    </w:rPr>
  </w:style>
  <w:style w:type="paragraph" w:styleId="10">
    <w:name w:val="Balloon Text"/>
    <w:basedOn w:val="1"/>
    <w:qFormat/>
    <w:uiPriority w:val="0"/>
    <w:rPr>
      <w:sz w:val="18"/>
      <w:szCs w:val="18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1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sz w:val="18"/>
      <w:szCs w:val="18"/>
    </w:rPr>
  </w:style>
  <w:style w:type="paragraph" w:styleId="13">
    <w:name w:val="toc 1"/>
    <w:basedOn w:val="1"/>
    <w:next w:val="1"/>
    <w:qFormat/>
    <w:uiPriority w:val="0"/>
  </w:style>
  <w:style w:type="paragraph" w:styleId="14">
    <w:name w:val="table of figures"/>
    <w:basedOn w:val="1"/>
    <w:next w:val="1"/>
    <w:qFormat/>
    <w:uiPriority w:val="0"/>
    <w:pPr>
      <w:ind w:left="400" w:leftChars="200" w:hanging="200" w:hangingChars="200"/>
    </w:pPr>
    <w:rPr>
      <w:szCs w:val="32"/>
    </w:rPr>
  </w:style>
  <w:style w:type="paragraph" w:styleId="15">
    <w:name w:val="Body Text First Indent 2"/>
    <w:basedOn w:val="9"/>
    <w:qFormat/>
    <w:uiPriority w:val="0"/>
    <w:pPr>
      <w:ind w:firstLine="200" w:firstLineChars="200"/>
    </w:pPr>
  </w:style>
  <w:style w:type="character" w:styleId="18">
    <w:name w:val="Strong"/>
    <w:basedOn w:val="17"/>
    <w:qFormat/>
    <w:uiPriority w:val="0"/>
    <w:rPr>
      <w:b/>
    </w:rPr>
  </w:style>
  <w:style w:type="character" w:styleId="19">
    <w:name w:val="page number"/>
    <w:basedOn w:val="17"/>
    <w:qFormat/>
    <w:uiPriority w:val="0"/>
  </w:style>
  <w:style w:type="paragraph" w:customStyle="1" w:styleId="20">
    <w:name w:val="标题 5（有编号）（绿盟科技）"/>
    <w:next w:val="1"/>
    <w:qFormat/>
    <w:uiPriority w:val="0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customStyle="1" w:styleId="21">
    <w:name w:val="四号正文"/>
    <w:basedOn w:val="1"/>
    <w:qFormat/>
    <w:uiPriority w:val="0"/>
    <w:pPr>
      <w:spacing w:line="360" w:lineRule="auto"/>
    </w:pPr>
    <w:rPr>
      <w:rFonts w:ascii="??" w:hAnsi="??" w:eastAsia="宋体" w:cs="宋体"/>
      <w:color w:val="000000"/>
      <w:kern w:val="0"/>
      <w:sz w:val="28"/>
      <w:szCs w:val="21"/>
    </w:rPr>
  </w:style>
  <w:style w:type="paragraph" w:customStyle="1" w:styleId="22">
    <w:name w:val="a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eastAsia="宋体" w:cs="宋体"/>
      <w:kern w:val="0"/>
      <w:sz w:val="24"/>
    </w:rPr>
  </w:style>
  <w:style w:type="character" w:customStyle="1" w:styleId="23">
    <w:name w:val="font31"/>
    <w:basedOn w:val="17"/>
    <w:qFormat/>
    <w:uiPriority w:val="0"/>
    <w:rPr>
      <w:rFonts w:ascii="宋体" w:eastAsia="宋体" w:cs="宋体"/>
      <w:color w:val="000000"/>
      <w:sz w:val="24"/>
      <w:szCs w:val="24"/>
      <w:u w:val="none"/>
    </w:rPr>
  </w:style>
  <w:style w:type="character" w:customStyle="1" w:styleId="24">
    <w:name w:val="font51"/>
    <w:basedOn w:val="17"/>
    <w:qFormat/>
    <w:uiPriority w:val="0"/>
    <w:rPr>
      <w:rFonts w:ascii="Wingdings 2" w:hAnsi="Wingdings 2" w:eastAsia="Wingdings 2" w:cs="Wingdings 2"/>
      <w:color w:val="000000"/>
      <w:sz w:val="18"/>
      <w:szCs w:val="18"/>
      <w:u w:val="none"/>
    </w:rPr>
  </w:style>
  <w:style w:type="character" w:customStyle="1" w:styleId="25">
    <w:name w:val="font01"/>
    <w:basedOn w:val="17"/>
    <w:qFormat/>
    <w:uiPriority w:val="0"/>
    <w:rPr>
      <w:rFonts w:ascii="宋体" w:eastAsia="宋体" w:cs="宋体"/>
      <w:color w:val="000000"/>
      <w:sz w:val="18"/>
      <w:szCs w:val="18"/>
      <w:u w:val="none"/>
    </w:rPr>
  </w:style>
  <w:style w:type="character" w:customStyle="1" w:styleId="26">
    <w:name w:val="font41"/>
    <w:basedOn w:val="17"/>
    <w:qFormat/>
    <w:uiPriority w:val="0"/>
    <w:rPr>
      <w:rFonts w:ascii="宋体" w:eastAsia="宋体" w:cs="宋体"/>
      <w:color w:val="000000"/>
      <w:sz w:val="18"/>
      <w:szCs w:val="18"/>
      <w:u w:val="none"/>
    </w:rPr>
  </w:style>
  <w:style w:type="paragraph" w:customStyle="1" w:styleId="27">
    <w:name w:val="列出段落1"/>
    <w:basedOn w:val="1"/>
    <w:qFormat/>
    <w:uiPriority w:val="0"/>
    <w:pPr>
      <w:ind w:firstLine="200" w:firstLineChars="200"/>
    </w:pPr>
  </w:style>
  <w:style w:type="paragraph" w:customStyle="1" w:styleId="28">
    <w:name w:val="NormalIndent"/>
    <w:next w:val="12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customStyle="1" w:styleId="29">
    <w:name w:val="font61"/>
    <w:basedOn w:val="17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30">
    <w:name w:val="font11"/>
    <w:basedOn w:val="1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contractReview xmlns="http://schemas.wps.cn/vas-ai-hub/contract-review">
  <reviewItems>
    <reviewItem>
      <errorID>cd91d9c5-644c-4868-a8d5-82ac4594c71d</errorID>
      <errorWord>全面从严治党责任</errorWord>
      <group>L1_Word</group>
      <groupName>字词问题</groupName>
      <ability>L2_Typo</ability>
      <abilityName>字词错误</abilityName>
      <candidateList>
        <item>全面从严治党主体责任</item>
      </candidateList>
      <explain/>
      <paraID>6872BF4E</paraID>
      <start>10</start>
      <end>20</end>
      <status>modified</status>
      <modifiedWord>全面从严治党主体责任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b784112-29e8-4a18-8541-404afb5f77e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PSZX</Company>
  <Pages>12</Pages>
  <Words>3529</Words>
  <Characters>3946</Characters>
  <Lines>181</Lines>
  <Paragraphs>51</Paragraphs>
  <TotalTime>0</TotalTime>
  <ScaleCrop>false</ScaleCrop>
  <LinksUpToDate>false</LinksUpToDate>
  <CharactersWithSpaces>3947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2025-10-10T09:32:00Z</dcterms:created>
  <dc:creator>陈萍</dc:creator>
  <cp:lastModifiedBy>李金洋</cp:lastModifiedBy>
  <cp:lastPrinted>2024-08-09T03:00:00Z</cp:lastPrinted>
  <dcterms:modified xsi:type="dcterms:W3CDTF">2025-12-02T01:26:43Z</dcterms:modified>
  <dc:title>区域性就业培训基地建设项目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DD1BDDEC5711854B28E3A768BB995D50_43</vt:lpwstr>
  </property>
  <property fmtid="{D5CDD505-2E9C-101B-9397-08002B2CF9AE}" pid="4" name="KSOTemplateDocerSaveRecord">
    <vt:lpwstr>eyJoZGlkIjoiMDczYmE5NjdmOTRlNGVkN2Y4NmRiZDA3YmY2ZDNlZDIiLCJ1c2VySWQiOiI0MTY3NDgzODEifQ==</vt:lpwstr>
  </property>
</Properties>
</file>