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20"/>
        </w:tabs>
        <w:ind w:firstLine="0" w:firstLineChars="0"/>
        <w:jc w:val="left"/>
        <w:rPr>
          <w:rFonts w:ascii="仿宋" w:hAnsi="仿宋" w:eastAsia="仿宋_GB2312"/>
          <w:b/>
          <w:color w:val="FF0000"/>
          <w:spacing w:val="-24"/>
          <w:w w:val="66"/>
          <w:sz w:val="144"/>
          <w:szCs w:val="144"/>
        </w:rPr>
      </w:pPr>
      <w:bookmarkStart w:id="1" w:name="_GoBack"/>
      <w:r>
        <w:rPr>
          <w:rFonts w:hint="eastAsia" w:ascii="仿宋_GB2312" w:eastAsia="仿宋_GB2312" w:cs="仿宋_GB2312"/>
        </w:rPr>
        <w:t xml:space="preserve"> </w:t>
      </w:r>
    </w:p>
    <w:p>
      <w:pPr>
        <w:spacing w:line="580" w:lineRule="exact"/>
        <w:ind w:firstLine="0" w:firstLineChars="0"/>
        <w:jc w:val="center"/>
        <w:rPr>
          <w:rFonts w:hint="eastAsia" w:asci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>黑水县晴朗乡便民和退役军人服务中心</w:t>
      </w:r>
    </w:p>
    <w:p>
      <w:pPr>
        <w:spacing w:line="580" w:lineRule="exact"/>
        <w:ind w:firstLine="0" w:firstLineChars="0"/>
        <w:jc w:val="center"/>
        <w:rPr>
          <w:rFonts w:asci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 xml:space="preserve">  2025年部门整体支出绩效评价报告</w:t>
      </w:r>
    </w:p>
    <w:p>
      <w:pPr>
        <w:pStyle w:val="14"/>
        <w:jc w:val="left"/>
      </w:pPr>
    </w:p>
    <w:p>
      <w:pPr>
        <w:pStyle w:val="3"/>
      </w:pPr>
      <w:r>
        <w:rPr>
          <w:rFonts w:hint="eastAsia"/>
          <w:lang w:val="zh-CN"/>
        </w:rPr>
        <w:t>一、</w:t>
      </w:r>
      <w:r>
        <w:rPr>
          <w:lang w:val="zh-CN"/>
        </w:rPr>
        <w:t>部门（单位）基本情况</w:t>
      </w:r>
    </w:p>
    <w:p>
      <w:pPr>
        <w:pStyle w:val="4"/>
        <w:rPr>
          <w:rFonts w:ascii="楷体" w:eastAsia="楷体" w:cs="楷体"/>
        </w:rPr>
      </w:pPr>
      <w:r>
        <w:rPr>
          <w:rFonts w:hint="eastAsia" w:ascii="楷体" w:eastAsia="楷体" w:cs="楷体"/>
          <w:lang w:val="zh-CN"/>
        </w:rPr>
        <w:t>（</w:t>
      </w:r>
      <w:r>
        <w:rPr>
          <w:rFonts w:hint="eastAsia" w:ascii="楷体" w:eastAsia="楷体" w:cs="楷体"/>
        </w:rPr>
        <w:t>一）</w:t>
      </w:r>
      <w:r>
        <w:rPr>
          <w:rFonts w:hint="eastAsia" w:ascii="楷体" w:eastAsia="楷体" w:cs="楷体"/>
          <w:lang w:val="zh-CN"/>
        </w:rPr>
        <w:t>机构组成。</w:t>
      </w:r>
    </w:p>
    <w:p>
      <w:pPr>
        <w:rPr>
          <w:rFonts w:ascii="仿宋_GB2312" w:eastAsia="仿宋_GB2312" w:cs="仿宋_GB2312"/>
          <w:color w:val="FF0000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属于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财县管的镇，设有独立的财政所，本单位无下属二级预算单位。全镇共辖</w:t>
      </w:r>
      <w:r>
        <w:rPr>
          <w:rFonts w:hint="eastAsia" w:ascii="仿宋_GB2312" w:eastAsia="仿宋_GB2312" w:cs="仿宋_GB2312"/>
          <w:lang w:val="en-US" w:eastAsia="zh-CN"/>
        </w:rPr>
        <w:t>7</w:t>
      </w:r>
      <w:r>
        <w:rPr>
          <w:rFonts w:hint="eastAsia" w:ascii="仿宋_GB2312" w:eastAsia="仿宋_GB2312" w:cs="仿宋_GB2312"/>
        </w:rPr>
        <w:t>个行政村。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下设5个行政办公室：党政综合办公室、党建工作办公室、应急管理和综合行政执法办公室、社会治理事务和村镇管理办公室、生态经济发展和乡村振兴办公室。下设事业机构2个：便民和退役军人服务中心便民服务中心、农业农村和文化旅游服务中心。 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（二）机构职能。</w:t>
      </w:r>
    </w:p>
    <w:p>
      <w:pPr>
        <w:rPr>
          <w:rFonts w:ascii="仿宋_GB2312" w:eastAsia="仿宋_GB2312" w:cs="仿宋_GB2312"/>
          <w:lang w:val="zh-CN"/>
        </w:rPr>
      </w:pPr>
      <w:r>
        <w:rPr>
          <w:rFonts w:hint="eastAsia" w:ascii="仿宋_GB2312" w:eastAsia="仿宋_GB2312" w:cs="仿宋_GB2312"/>
        </w:rPr>
        <w:t>黑水县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人民政府是基层国家行政机关，行使本行政区域的政府行政</w:t>
      </w:r>
      <w:r>
        <w:rPr>
          <w:rFonts w:hint="eastAsia" w:ascii="仿宋_GB2312" w:eastAsia="仿宋_GB2312" w:cs="仿宋_GB2312"/>
          <w:lang w:eastAsia="zh-CN"/>
        </w:rPr>
        <w:t>效</w:t>
      </w:r>
      <w:r>
        <w:rPr>
          <w:rFonts w:hint="eastAsia" w:ascii="仿宋_GB2312" w:eastAsia="仿宋_GB2312" w:cs="仿宋_GB2312"/>
        </w:rPr>
        <w:t>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、环境、教育、科学、卫生、社会保障、食品药品、卫生计生、财政、民政、公安、司法、国土等工作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（三）人员概况。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黑水县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总编制</w:t>
      </w:r>
      <w:r>
        <w:rPr>
          <w:rFonts w:hint="eastAsia" w:ascii="仿宋_GB2312" w:eastAsia="仿宋_GB2312" w:cs="仿宋_GB2312"/>
          <w:lang w:val="en-US" w:eastAsia="zh-CN"/>
        </w:rPr>
        <w:t>31</w:t>
      </w:r>
      <w:r>
        <w:rPr>
          <w:rFonts w:hint="eastAsia" w:ascii="仿宋_GB2312" w:eastAsia="仿宋_GB2312" w:cs="仿宋_GB2312"/>
        </w:rPr>
        <w:t>名，其中：行政编制</w:t>
      </w:r>
      <w:r>
        <w:rPr>
          <w:rFonts w:hint="eastAsia" w:ascii="仿宋_GB2312" w:eastAsia="仿宋_GB2312" w:cs="仿宋_GB2312"/>
          <w:lang w:val="en-US" w:eastAsia="zh-CN"/>
        </w:rPr>
        <w:t>21</w:t>
      </w:r>
      <w:r>
        <w:rPr>
          <w:rFonts w:hint="eastAsia" w:ascii="仿宋_GB2312" w:eastAsia="仿宋_GB2312" w:cs="仿宋_GB2312"/>
        </w:rPr>
        <w:t>名，事业编制</w:t>
      </w:r>
      <w:r>
        <w:rPr>
          <w:rFonts w:hint="eastAsia" w:ascii="仿宋_GB2312" w:eastAsia="仿宋_GB2312" w:cs="仿宋_GB2312"/>
          <w:lang w:val="en-US" w:eastAsia="zh-CN"/>
        </w:rPr>
        <w:t>10</w:t>
      </w:r>
      <w:r>
        <w:rPr>
          <w:rFonts w:hint="eastAsia" w:ascii="仿宋_GB2312" w:eastAsia="仿宋_GB2312" w:cs="仿宋_GB2312"/>
        </w:rPr>
        <w:t>名。在职人员总数</w:t>
      </w:r>
      <w:r>
        <w:rPr>
          <w:rFonts w:hint="eastAsia" w:ascii="仿宋_GB2312" w:eastAsia="仿宋_GB2312" w:cs="仿宋_GB2312"/>
          <w:lang w:val="en-US" w:eastAsia="zh-CN"/>
        </w:rPr>
        <w:t>31</w:t>
      </w:r>
      <w:r>
        <w:rPr>
          <w:rFonts w:hint="eastAsia" w:ascii="仿宋_GB2312" w:eastAsia="仿宋_GB2312" w:cs="仿宋_GB2312"/>
        </w:rPr>
        <w:t>人，其中：行政人员</w:t>
      </w:r>
      <w:r>
        <w:rPr>
          <w:rFonts w:hint="eastAsia" w:ascii="仿宋_GB2312" w:eastAsia="仿宋_GB2312" w:cs="仿宋_GB2312"/>
          <w:lang w:val="en-US" w:eastAsia="zh-CN"/>
        </w:rPr>
        <w:t>19</w:t>
      </w:r>
      <w:r>
        <w:rPr>
          <w:rFonts w:hint="eastAsia" w:ascii="仿宋_GB2312" w:eastAsia="仿宋_GB2312" w:cs="仿宋_GB2312"/>
        </w:rPr>
        <w:t>名，行政工勤人员2名，事业人员</w:t>
      </w:r>
      <w:r>
        <w:rPr>
          <w:rFonts w:hint="eastAsia" w:ascii="仿宋_GB2312" w:eastAsia="仿宋_GB2312" w:cs="仿宋_GB2312"/>
          <w:lang w:val="en-US" w:eastAsia="zh-CN"/>
        </w:rPr>
        <w:t>10</w:t>
      </w:r>
      <w:r>
        <w:rPr>
          <w:rFonts w:hint="eastAsia" w:ascii="仿宋_GB2312" w:eastAsia="仿宋_GB2312" w:cs="仿宋_GB2312"/>
        </w:rPr>
        <w:t>名。遗属人员</w:t>
      </w:r>
      <w:r>
        <w:rPr>
          <w:rFonts w:hint="eastAsia" w:ascii="仿宋_GB2312" w:eastAsia="仿宋_GB2312" w:cs="仿宋_GB2312"/>
          <w:lang w:val="en-US" w:eastAsia="zh-CN"/>
        </w:rPr>
        <w:t>4</w:t>
      </w:r>
      <w:r>
        <w:rPr>
          <w:rFonts w:hint="eastAsia" w:ascii="仿宋_GB2312" w:eastAsia="仿宋_GB2312" w:cs="仿宋_GB2312"/>
        </w:rPr>
        <w:t>名。</w:t>
      </w:r>
    </w:p>
    <w:p>
      <w:pPr>
        <w:pStyle w:val="3"/>
      </w:pPr>
      <w:r>
        <w:t>二、部门资金收支情况</w:t>
      </w:r>
    </w:p>
    <w:p>
      <w:pPr>
        <w:rPr>
          <w:rStyle w:val="21"/>
          <w:lang w:val="zh-CN"/>
        </w:rPr>
      </w:pPr>
      <w:r>
        <w:rPr>
          <w:rStyle w:val="21"/>
          <w:lang w:val="zh-CN"/>
        </w:rPr>
        <w:t>（一</w:t>
      </w:r>
      <w:r>
        <w:rPr>
          <w:rFonts w:hint="eastAsia" w:ascii="楷体" w:eastAsia="楷体" w:cs="楷体"/>
          <w:b/>
          <w:lang w:val="zh-CN"/>
        </w:rPr>
        <w:t>）收入情况。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2025年预算收入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273.58万</w:t>
      </w:r>
      <w:r>
        <w:rPr>
          <w:rFonts w:hint="eastAsia" w:ascii="仿宋_GB2312" w:eastAsia="仿宋_GB2312" w:cs="仿宋_GB2312"/>
        </w:rPr>
        <w:t>元，与决算报表收入一致，其中：一般公共预算财政拨款收入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273.58万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100</w:t>
      </w:r>
      <w:r>
        <w:rPr>
          <w:rFonts w:hint="eastAsia" w:ascii="仿宋_GB2312" w:eastAsia="仿宋_GB2312" w:cs="仿宋_GB2312"/>
        </w:rPr>
        <w:t>%；年初财政拨款结转结余0万元，占0%；政府性基金预算财政拨款收入0万元，占0%；国有资本经营预算财政拨款收入</w:t>
      </w:r>
      <w:r>
        <w:rPr>
          <w:rFonts w:hint="eastAsia" w:ascii="仿宋_GB2312" w:eastAsia="仿宋_GB2312" w:cs="仿宋_GB2312"/>
          <w:lang w:val="en-US" w:eastAsia="zh-CN"/>
        </w:rPr>
        <w:t>0</w:t>
      </w:r>
      <w:r>
        <w:rPr>
          <w:rFonts w:hint="eastAsia" w:ascii="仿宋_GB2312" w:eastAsia="仿宋_GB2312" w:cs="仿宋_GB2312"/>
        </w:rPr>
        <w:t>万元，占0%；事业收入0万元，占0%；经营收入0万元，占0%；附属单位上缴收入0万元，占0%；其他收入</w:t>
      </w:r>
      <w:r>
        <w:rPr>
          <w:rFonts w:hint="eastAsia" w:ascii="仿宋_GB2312" w:eastAsia="仿宋_GB2312" w:cs="仿宋_GB2312"/>
          <w:lang w:val="en-US" w:eastAsia="zh-CN"/>
        </w:rPr>
        <w:t>0</w:t>
      </w:r>
      <w:r>
        <w:rPr>
          <w:rFonts w:hint="eastAsia" w:ascii="仿宋_GB2312" w:eastAsia="仿宋_GB2312" w:cs="仿宋_GB2312"/>
        </w:rPr>
        <w:t>万元，占</w:t>
      </w:r>
      <w:r>
        <w:rPr>
          <w:rFonts w:hint="eastAsia" w:ascii="仿宋_GB2312" w:eastAsia="仿宋_GB2312" w:cs="仿宋_GB2312"/>
          <w:lang w:val="en-US" w:eastAsia="zh-CN"/>
        </w:rPr>
        <w:t>0</w:t>
      </w:r>
      <w:r>
        <w:rPr>
          <w:rFonts w:hint="eastAsia" w:ascii="仿宋_GB2312" w:eastAsia="仿宋_GB2312" w:cs="仿宋_GB2312"/>
        </w:rPr>
        <w:t>%。</w:t>
      </w:r>
    </w:p>
    <w:p>
      <w:pPr>
        <w:rPr>
          <w:rStyle w:val="21"/>
          <w:lang w:val="zh-CN"/>
        </w:rPr>
      </w:pPr>
      <w:r>
        <w:rPr>
          <w:rStyle w:val="21"/>
          <w:rFonts w:hint="eastAsia"/>
          <w:lang w:val="zh-CN"/>
        </w:rPr>
        <w:t>（</w:t>
      </w:r>
      <w:r>
        <w:rPr>
          <w:rFonts w:hint="eastAsia" w:ascii="楷体" w:eastAsia="楷体" w:cs="楷体"/>
          <w:b/>
        </w:rPr>
        <w:t>二）</w:t>
      </w:r>
      <w:r>
        <w:rPr>
          <w:rFonts w:hint="eastAsia" w:ascii="楷体" w:eastAsia="楷体" w:cs="楷体"/>
          <w:b/>
          <w:lang w:val="zh-CN"/>
        </w:rPr>
        <w:t>支出情况。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2025年年初预算支出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273.58万</w:t>
      </w:r>
      <w:r>
        <w:rPr>
          <w:rFonts w:hint="eastAsia" w:ascii="仿宋_GB2312" w:eastAsia="仿宋_GB2312" w:cs="仿宋_GB2312"/>
        </w:rPr>
        <w:t>元，与决算报表支出一致，其中：基本支出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273.58万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100</w:t>
      </w:r>
      <w:r>
        <w:rPr>
          <w:rFonts w:hint="eastAsia" w:ascii="仿宋_GB2312" w:eastAsia="仿宋_GB2312" w:cs="仿宋_GB2312"/>
        </w:rPr>
        <w:t>%，项目支出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0万</w:t>
      </w:r>
      <w:r>
        <w:rPr>
          <w:rFonts w:hint="eastAsia" w:ascii="仿宋_GB2312" w:eastAsia="仿宋_GB2312" w:cs="仿宋_GB2312"/>
        </w:rPr>
        <w:t>元,占</w:t>
      </w:r>
      <w:r>
        <w:rPr>
          <w:rFonts w:hint="eastAsia" w:ascii="仿宋_GB2312" w:eastAsia="仿宋_GB2312" w:cs="仿宋_GB2312"/>
          <w:lang w:val="en-US" w:eastAsia="zh-CN"/>
        </w:rPr>
        <w:t>0</w:t>
      </w:r>
      <w:r>
        <w:rPr>
          <w:rFonts w:hint="eastAsia" w:ascii="仿宋_GB2312" w:eastAsia="仿宋_GB2312" w:cs="仿宋_GB2312"/>
        </w:rPr>
        <w:t>%；上缴上级支出0万元，占0%；经营支出0万元，占0%；对附属单位补助支出0万元，占0%。</w:t>
      </w:r>
    </w:p>
    <w:p>
      <w:pPr>
        <w:spacing w:line="580" w:lineRule="exact"/>
        <w:rPr>
          <w:rFonts w:ascii="仿宋_GB2312" w:eastAsia="仿宋_GB2312" w:cs="黑体"/>
        </w:rPr>
      </w:pPr>
      <w:r>
        <w:rPr>
          <w:rFonts w:hint="eastAsia" w:ascii="仿宋_GB2312" w:eastAsia="仿宋_GB2312" w:cs="黑体"/>
          <w:b/>
        </w:rPr>
        <w:t>三、单位整体预算绩效管理情况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（一）部门预算管理。</w:t>
      </w:r>
    </w:p>
    <w:p>
      <w:pPr>
        <w:spacing w:line="580" w:lineRule="exact"/>
        <w:rPr>
          <w:rFonts w:ascii="仿宋_GB2312" w:eastAsia="仿宋_GB2312" w:cs="仿宋_GB2312"/>
          <w:lang w:val="zh-CN"/>
        </w:rPr>
      </w:pPr>
      <w:r>
        <w:rPr>
          <w:rFonts w:hint="eastAsia" w:ascii="仿宋_GB2312" w:eastAsia="仿宋_GB2312" w:cs="仿宋_GB2312"/>
        </w:rPr>
        <w:t>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按照县财政的统一要求，对2025年的各项收入及支出作了认真的清理，真实、准确、全面、及时的完成年度预、决算工作；认真对绩效目标的填报，对专项预算进行分期、分批并结合实际提前细化，保障本部门工作正常运行。资金支付严格按序时进度支付，不存在违规违纪情况。 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（二）专项预算管理。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专项预算项目程序严密、规划合理、结果符合、分配科学、分配及时、专项预算绩效目标完成、实施绩效合法合规。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（三）结果应用情况。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根据部门支出绩效评价指标体系，积极开展对本单位预算支出绩效自评工作，并对自评结果加以总结分析，为局领导决策提供参考，完善资金分配，健全管理制度，为下年预算、支出安排予以调整。 </w:t>
      </w:r>
    </w:p>
    <w:p>
      <w:pPr>
        <w:spacing w:line="580" w:lineRule="exact"/>
        <w:rPr>
          <w:rFonts w:hint="default" w:asci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highlight w:val="none"/>
        </w:rPr>
        <w:t>2025年我</w:t>
      </w:r>
      <w:r>
        <w:rPr>
          <w:rFonts w:hint="eastAsia" w:ascii="仿宋_GB2312" w:eastAsia="仿宋_GB2312" w:cs="仿宋_GB2312"/>
          <w:highlight w:val="none"/>
          <w:lang w:eastAsia="zh-CN"/>
        </w:rPr>
        <w:t>乡</w:t>
      </w:r>
      <w:r>
        <w:rPr>
          <w:rFonts w:hint="eastAsia" w:ascii="仿宋_GB2312" w:eastAsia="仿宋_GB2312" w:cs="仿宋_GB2312"/>
          <w:highlight w:val="none"/>
        </w:rPr>
        <w:t>总体绩效支出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273.58</w:t>
      </w:r>
      <w:r>
        <w:rPr>
          <w:rFonts w:hint="eastAsia" w:ascii="仿宋_GB2312" w:eastAsia="仿宋_GB2312" w:cs="仿宋_GB2312"/>
          <w:highlight w:val="none"/>
        </w:rPr>
        <w:t>万元。</w:t>
      </w:r>
      <w:r>
        <w:rPr>
          <w:rFonts w:hint="eastAsia" w:ascii="仿宋_GB2312" w:eastAsia="仿宋_GB2312" w:cs="仿宋_GB2312"/>
          <w:highlight w:val="none"/>
          <w:lang w:eastAsia="zh-CN"/>
        </w:rPr>
        <w:t>其中：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社会保障和就业支出32.02万元，卫生健康支出13.04万元，农林水支出209.43万元，住房保障支出19.09万元。</w:t>
      </w:r>
    </w:p>
    <w:p>
      <w:pPr>
        <w:pStyle w:val="3"/>
      </w:pPr>
      <w:r>
        <w:t>四、评价结论及建议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（一）评价结论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2025年，我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预算绩效单位自评为93分。在县委、县政府的坚强领导下，我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的</w:t>
      </w:r>
      <w:r>
        <w:rPr>
          <w:rFonts w:hint="default" w:ascii="仿宋_GB2312" w:eastAsia="仿宋_GB2312" w:cs="仿宋_GB2312"/>
        </w:rPr>
        <w:t>巩固拓展脱贫攻坚同乡村振兴有效衔接</w:t>
      </w:r>
      <w:r>
        <w:rPr>
          <w:rFonts w:hint="eastAsia" w:ascii="仿宋_GB2312" w:eastAsia="仿宋_GB2312" w:cs="仿宋_GB2312"/>
        </w:rPr>
        <w:t>工作、发展生产、综治、维稳等各项工作得到平稳推进，并取得较好成效。为全县经济发展、社会稳定做出了自身的贡献。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（二）存在问题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项目绩效目标设定方面绩效目标与预算安排不匹配，绩效目标动态调整不够及时；预算编制的前瞻性不够,导致预算和实际支出存在调整。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（三）改进建议</w:t>
      </w:r>
      <w:bookmarkStart w:id="0" w:name="_Hlk110546638"/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切实加强项目阶段性监控，合理设置绩效目标。坚持推进精细化管理，强化预算绩效目标管理、细化绩效目标，并将绩效目标细化分解为具体工作计划。细化预算编制工作，及时安排部署。按照部门预算编制口径，从严从紧编制部门预算，合理确定支出预算规模。严格内容审核，确保预算精准，提高预算编制的科学性和资金使用的有效性。树牢绩效理念，提高管理水平。严格执行预算，加强资金调度。增强部门预算单位加强预算执行的责任意识，提高财政资金的效益性和安全性。</w:t>
      </w:r>
      <w:bookmarkEnd w:id="0"/>
    </w:p>
    <w:bookmarkEnd w:id="1"/>
    <w:sectPr>
      <w:footerReference r:id="rId5" w:type="default"/>
      <w:pgSz w:w="11906" w:h="16839"/>
      <w:pgMar w:top="2098" w:right="1474" w:bottom="1984" w:left="1587" w:header="0" w:footer="0" w:gutter="0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3556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99" cy="3556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asci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28pt;width:3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wgxql9EAAAADAQAADwAAAAAA&#10;AAABACAAAAA4AAAAZHJzL2Rvd25yZXYueG1sUEsBAhQAFAAAAAgAh07iQC3HkPMEAgAA9AMAAA4A&#10;AAAAAAAAAQAgAAAANgEAAGRycy9lMm9Eb2MueG1sUEsFBgAAAAAGAAYAWQEAAKw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asci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60"/>
  <w:drawingGridVerticalSpacing w:val="156"/>
  <w:displayHorizontalDrawingGridEvery w:val="0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YjgwOWQ0ZjQ5ZTkwMDFmYzUyMmViNmI0MjEyZTYifQ=="/>
  </w:docVars>
  <w:rsids>
    <w:rsidRoot w:val="00000000"/>
    <w:rsid w:val="06E02108"/>
    <w:rsid w:val="17FE10A7"/>
    <w:rsid w:val="47EF2E92"/>
    <w:rsid w:val="74FF2EA5"/>
    <w:rsid w:val="7F65A3B7"/>
    <w:rsid w:val="C5E7A63E"/>
    <w:rsid w:val="DF7D211E"/>
    <w:rsid w:val="E9FF6E03"/>
    <w:rsid w:val="EFF33232"/>
    <w:rsid w:val="F5EB0FBC"/>
    <w:rsid w:val="FBFF41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jc w:val="left"/>
      <w:outlineLvl w:val="0"/>
    </w:pPr>
    <w:rPr>
      <w:rFonts w:eastAsia="黑体"/>
      <w:kern w:val="44"/>
    </w:rPr>
  </w:style>
  <w:style w:type="paragraph" w:styleId="4">
    <w:name w:val="heading 2"/>
    <w:basedOn w:val="1"/>
    <w:next w:val="1"/>
    <w:link w:val="21"/>
    <w:qFormat/>
    <w:uiPriority w:val="0"/>
    <w:pPr>
      <w:keepNext/>
      <w:keepLines/>
      <w:widowControl w:val="0"/>
      <w:outlineLvl w:val="1"/>
    </w:pPr>
    <w:rPr>
      <w:rFonts w:ascii="Arial" w:hAnsi="Arial" w:eastAsia="方正楷体_GB2312"/>
      <w:b/>
    </w:rPr>
  </w:style>
  <w:style w:type="paragraph" w:styleId="5">
    <w:name w:val="heading 3"/>
    <w:basedOn w:val="1"/>
    <w:next w:val="1"/>
    <w:qFormat/>
    <w:uiPriority w:val="0"/>
    <w:pPr>
      <w:widowControl/>
      <w:spacing w:before="100" w:beforeAutospacing="1" w:afterAutospacing="1"/>
      <w:jc w:val="left"/>
      <w:outlineLvl w:val="2"/>
    </w:pPr>
    <w:rPr>
      <w:rFonts w:ascii="宋体" w:hAnsi="宋体" w:cs="宋体"/>
      <w:b/>
      <w:bCs/>
      <w:kern w:val="0"/>
      <w:szCs w:val="27"/>
    </w:rPr>
  </w:style>
  <w:style w:type="paragraph" w:styleId="6">
    <w:name w:val="heading 4"/>
    <w:basedOn w:val="1"/>
    <w:next w:val="1"/>
    <w:qFormat/>
    <w:uiPriority w:val="0"/>
    <w:pPr>
      <w:keepNext/>
      <w:keepLines/>
      <w:widowControl w:val="0"/>
      <w:outlineLvl w:val="3"/>
    </w:pPr>
    <w:rPr>
      <w:rFonts w:ascii="Arial" w:hAnsi="Arial" w:eastAsia="方正楷体_GB2312"/>
      <w:b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7">
    <w:name w:val="Normal Indent"/>
    <w:basedOn w:val="1"/>
    <w:next w:val="1"/>
    <w:qFormat/>
    <w:uiPriority w:val="0"/>
  </w:style>
  <w:style w:type="paragraph" w:styleId="8">
    <w:name w:val="Body Text"/>
    <w:basedOn w:val="1"/>
    <w:next w:val="1"/>
    <w:qFormat/>
    <w:uiPriority w:val="0"/>
    <w:pPr>
      <w:widowControl/>
      <w:tabs>
        <w:tab w:val="left" w:pos="2160"/>
      </w:tabs>
      <w:spacing w:line="480" w:lineRule="auto"/>
      <w:jc w:val="left"/>
    </w:pPr>
    <w:rPr>
      <w:rFonts w:ascii="楷体_GB2312" w:hAnsi="楷体_GB2312" w:eastAsia="黑体"/>
      <w:kern w:val="0"/>
      <w:position w:val="3"/>
      <w:sz w:val="20"/>
      <w:szCs w:val="20"/>
    </w:r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 w:hAnsi="仿宋_GB2312"/>
    </w:rPr>
  </w:style>
  <w:style w:type="paragraph" w:styleId="10">
    <w:name w:val="Plain Text"/>
    <w:basedOn w:val="1"/>
    <w:qFormat/>
    <w:uiPriority w:val="0"/>
    <w:pPr>
      <w:widowControl/>
      <w:jc w:val="left"/>
    </w:pPr>
    <w:rPr>
      <w:rFonts w:ascii="宋体" w:hAnsi="宋体"/>
      <w:kern w:val="0"/>
      <w:szCs w:val="21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/>
      <w:kern w:val="0"/>
      <w:sz w:val="24"/>
      <w:szCs w:val="24"/>
    </w:r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paragraph" w:styleId="17">
    <w:name w:val="Body Text First Indent 2"/>
    <w:basedOn w:val="9"/>
    <w:qFormat/>
    <w:uiPriority w:val="0"/>
  </w:style>
  <w:style w:type="character" w:styleId="20">
    <w:name w:val="Strong"/>
    <w:qFormat/>
    <w:uiPriority w:val="0"/>
    <w:rPr>
      <w:b/>
      <w:bCs/>
    </w:rPr>
  </w:style>
  <w:style w:type="character" w:customStyle="1" w:styleId="21">
    <w:name w:val="heading 2 Char"/>
    <w:basedOn w:val="19"/>
    <w:link w:val="4"/>
    <w:qFormat/>
    <w:uiPriority w:val="0"/>
    <w:rPr>
      <w:rFonts w:ascii="Arial" w:hAnsi="Arial" w:eastAsia="方正楷体_GB2312" w:cs="Times New Roman"/>
      <w:b/>
      <w:kern w:val="2"/>
      <w:sz w:val="32"/>
      <w:szCs w:val="32"/>
      <w:lang w:val="en-US" w:eastAsia="zh-CN" w:bidi="ar-SA"/>
    </w:rPr>
  </w:style>
  <w:style w:type="paragraph" w:customStyle="1" w:styleId="22">
    <w:name w:val="正文2"/>
    <w:basedOn w:val="1"/>
    <w:next w:val="1"/>
    <w:qFormat/>
    <w:uiPriority w:val="0"/>
  </w:style>
  <w:style w:type="character" w:customStyle="1" w:styleId="23">
    <w:name w:val="NormalCharacter"/>
    <w:qFormat/>
    <w:uiPriority w:val="0"/>
  </w:style>
  <w:style w:type="paragraph" w:customStyle="1" w:styleId="2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25">
    <w:name w:val="普通(网站) Char"/>
    <w:basedOn w:val="1"/>
    <w:qFormat/>
    <w:uiPriority w:val="0"/>
    <w:pPr>
      <w:spacing w:before="100" w:beforeAutospacing="1" w:after="100" w:afterAutospacing="1"/>
      <w:jc w:val="left"/>
    </w:pPr>
    <w:rPr>
      <w:rFonts w:ascii="宋体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1607</Words>
  <Characters>1724</Characters>
  <Lines>80</Lines>
  <Paragraphs>31</Paragraphs>
  <TotalTime>6</TotalTime>
  <ScaleCrop>false</ScaleCrop>
  <LinksUpToDate>false</LinksUpToDate>
  <CharactersWithSpaces>1738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2024-08-11T11:17:00Z</dcterms:created>
  <dc:creator>卡龙镇公共账号</dc:creator>
  <cp:lastModifiedBy>user</cp:lastModifiedBy>
  <cp:lastPrinted>2025-08-30T18:11:00Z</cp:lastPrinted>
  <dcterms:modified xsi:type="dcterms:W3CDTF">2026-09-15T17:10:19Z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A48A45C66B572738CD299E6A429B6BFD_43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