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晴朗乡人民政府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5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10.44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年决算增长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0.05万元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,</w:t>
      </w:r>
      <w:bookmarkStart w:id="0" w:name="_GoBack"/>
      <w:bookmarkEnd w:id="0"/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原因是下村及出差使用次数增加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10.44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上县、下村开展工作等所需的公务用车燃油费、维修费。保险费等支出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黑水县晴朗乡人民政府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10.44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10.44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黑体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A00002EF" w:usb1="4000207B" w:usb2="00000000" w:usb3="00000000" w:csb0="200000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2</Pages>
  <Words>385</Words>
  <Characters>445</Characters>
  <Lines>51</Lines>
  <Paragraphs>26</Paragraphs>
  <CharactersWithSpaces>525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2026-09-08T03:25:01Z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eyJoZGlkIjoiZTA4NzIyN2MxYTlmMzQ1NGE2MjU5NWRkMjhlOGMxYTAifQ==</vt:lpwstr>
  </property>
</Properties>
</file>