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晴朗乡人民政府（行政）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5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10.44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年决算增长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0.05万元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,原因是下村及出差使用次数增加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10.44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上县、下村开展工作等所需的公务用车燃油费、维修费。保险费等支出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黑水县晴朗乡人民政府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10.44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10.44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黑体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A00002EF" w:usb1="4000207B" w:usb2="00000000" w:usb3="00000000" w:csb0="200000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2</Pages>
  <Words>389</Words>
  <Characters>449</Characters>
  <Lines>51</Lines>
  <Paragraphs>26</Paragraphs>
  <CharactersWithSpaces>529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2026-09-08T03:24:42Z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eyJoZGlkIjoiZTA4NzIyN2MxYTlmMzQ1NGE2MjU5NWRkMjhlOGMxYTAifQ==</vt:lpwstr>
  </property>
</Properties>
</file>