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020"/>
        </w:tabs>
        <w:ind w:firstLine="0" w:firstLineChars="0"/>
        <w:jc w:val="left"/>
        <w:rPr>
          <w:rFonts w:ascii="仿宋" w:hAnsi="仿宋" w:eastAsia="仿宋_GB2312"/>
          <w:b/>
          <w:color w:val="FF0000"/>
          <w:spacing w:val="-24"/>
          <w:w w:val="66"/>
          <w:sz w:val="144"/>
          <w:szCs w:val="144"/>
        </w:rPr>
      </w:pPr>
      <w:bookmarkStart w:id="1" w:name="_GoBack"/>
      <w:r>
        <w:rPr>
          <w:rFonts w:hint="eastAsia" w:ascii="仿宋_GB2312" w:eastAsia="仿宋_GB2312" w:cs="仿宋_GB2312"/>
        </w:rPr>
        <w:t xml:space="preserve"> </w:t>
      </w:r>
    </w:p>
    <w:p>
      <w:pPr>
        <w:spacing w:line="580" w:lineRule="exact"/>
        <w:jc w:val="center"/>
        <w:rPr>
          <w:rFonts w:hint="eastAsia" w:ascii="方正小标宋_GBK" w:eastAsia="方正小标宋_GBK" w:cs="方正小标宋_GBK"/>
          <w:kern w:val="0"/>
          <w:sz w:val="44"/>
          <w:szCs w:val="44"/>
          <w:lang w:eastAsia="zh-CN"/>
        </w:rPr>
      </w:pP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>黑水县</w:t>
      </w:r>
      <w:r>
        <w:rPr>
          <w:rFonts w:hint="eastAsia" w:ascii="方正小标宋_GBK" w:eastAsia="方正小标宋_GBK" w:cs="方正小标宋_GBK"/>
          <w:kern w:val="0"/>
          <w:sz w:val="44"/>
          <w:szCs w:val="44"/>
          <w:lang w:eastAsia="zh-CN"/>
        </w:rPr>
        <w:t>晴朗乡</w:t>
      </w: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>人民政府</w:t>
      </w:r>
      <w:r>
        <w:rPr>
          <w:rFonts w:hint="eastAsia" w:ascii="方正小标宋_GBK" w:eastAsia="方正小标宋_GBK" w:cs="方正小标宋_GBK"/>
          <w:kern w:val="0"/>
          <w:sz w:val="44"/>
          <w:szCs w:val="44"/>
          <w:lang w:eastAsia="zh-CN"/>
        </w:rPr>
        <w:t>（行政）</w:t>
      </w:r>
    </w:p>
    <w:p>
      <w:pPr>
        <w:spacing w:line="580" w:lineRule="exact"/>
        <w:ind w:firstLine="0" w:firstLineChars="0"/>
        <w:jc w:val="center"/>
        <w:rPr>
          <w:rFonts w:asci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eastAsia="方正小标宋_GBK" w:cs="方正小标宋_GBK"/>
          <w:kern w:val="0"/>
          <w:sz w:val="44"/>
          <w:szCs w:val="44"/>
        </w:rPr>
        <w:t xml:space="preserve">  2025年部门整体支出绩效评价报告</w:t>
      </w:r>
    </w:p>
    <w:p>
      <w:pPr>
        <w:pStyle w:val="14"/>
        <w:jc w:val="left"/>
      </w:pPr>
    </w:p>
    <w:p>
      <w:pPr>
        <w:pStyle w:val="3"/>
      </w:pPr>
      <w:r>
        <w:rPr>
          <w:rFonts w:hint="eastAsia"/>
          <w:lang w:val="zh-CN"/>
        </w:rPr>
        <w:t>一、</w:t>
      </w:r>
      <w:r>
        <w:rPr>
          <w:lang w:val="zh-CN"/>
        </w:rPr>
        <w:t>部门（单位）基本情况</w:t>
      </w:r>
    </w:p>
    <w:p>
      <w:pPr>
        <w:pStyle w:val="4"/>
        <w:rPr>
          <w:rFonts w:ascii="楷体" w:eastAsia="楷体" w:cs="楷体"/>
        </w:rPr>
      </w:pPr>
      <w:r>
        <w:rPr>
          <w:rFonts w:hint="eastAsia" w:ascii="楷体" w:eastAsia="楷体" w:cs="楷体"/>
          <w:lang w:val="zh-CN"/>
        </w:rPr>
        <w:t>（</w:t>
      </w:r>
      <w:r>
        <w:rPr>
          <w:rFonts w:hint="eastAsia" w:ascii="楷体" w:eastAsia="楷体" w:cs="楷体"/>
        </w:rPr>
        <w:t>一）</w:t>
      </w:r>
      <w:r>
        <w:rPr>
          <w:rFonts w:hint="eastAsia" w:ascii="楷体" w:eastAsia="楷体" w:cs="楷体"/>
          <w:lang w:val="zh-CN"/>
        </w:rPr>
        <w:t>机构组成。</w:t>
      </w:r>
    </w:p>
    <w:p>
      <w:pPr>
        <w:rPr>
          <w:rFonts w:ascii="仿宋_GB2312" w:eastAsia="仿宋_GB2312" w:cs="仿宋_GB2312"/>
          <w:color w:val="FF0000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属于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财县管的镇，设有独立的财政所，本单位无下属二级预算单位。全镇共辖</w:t>
      </w:r>
      <w:r>
        <w:rPr>
          <w:rFonts w:hint="eastAsia" w:ascii="仿宋_GB2312" w:eastAsia="仿宋_GB2312" w:cs="仿宋_GB2312"/>
          <w:lang w:val="en-US" w:eastAsia="zh-CN"/>
        </w:rPr>
        <w:t>7</w:t>
      </w:r>
      <w:r>
        <w:rPr>
          <w:rFonts w:hint="eastAsia" w:ascii="仿宋_GB2312" w:eastAsia="仿宋_GB2312" w:cs="仿宋_GB2312"/>
        </w:rPr>
        <w:t>个行政村。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下设5个行政办公室：党政综合办公室、党建工作办公室、应急管理和综合行政执法办公室、社会治理事务和村镇管理办公室、生态经济发展和乡村振兴办公室。下设事业机构2个：便民和退役军人服务中心便民服务中心、农业农村和文化旅游服务中心。 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（二）机构职能。</w:t>
      </w:r>
    </w:p>
    <w:p>
      <w:pPr>
        <w:rPr>
          <w:rFonts w:ascii="仿宋_GB2312" w:eastAsia="仿宋_GB2312" w:cs="仿宋_GB2312"/>
          <w:lang w:val="zh-CN"/>
        </w:rPr>
      </w:pPr>
      <w:r>
        <w:rPr>
          <w:rFonts w:hint="eastAsia" w:ascii="仿宋_GB2312" w:eastAsia="仿宋_GB2312" w:cs="仿宋_GB2312"/>
        </w:rPr>
        <w:t>黑水县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人民政府是基层国家行政机关，行使本行政区域的政府行政</w:t>
      </w:r>
      <w:r>
        <w:rPr>
          <w:rFonts w:hint="eastAsia" w:ascii="仿宋_GB2312" w:eastAsia="仿宋_GB2312" w:cs="仿宋_GB2312"/>
          <w:lang w:eastAsia="zh-CN"/>
        </w:rPr>
        <w:t>效</w:t>
      </w:r>
      <w:r>
        <w:rPr>
          <w:rFonts w:hint="eastAsia" w:ascii="仿宋_GB2312" w:eastAsia="仿宋_GB2312" w:cs="仿宋_GB2312"/>
        </w:rPr>
        <w:t>能，根据有关文件规定，主要职责是：宣传和贯彻执行上级各部门及本镇的各项政策、法规、决议等；讨论决定全镇经济建设和社会发展中的重大问题；加强党委自身建设和以党支部为核心的村级组织建设；按照干部管理权限，负责对本级镇村干部的教育、管理、培训、选拔和监督工作，并实现村级财务统一由镇代管；认真做好全镇社会治安综合治理、环境、教育、科学、卫生、社会保障、食品药品、卫生计生、财政、民政、公安、司法、国土等工作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（三）人员概况。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黑水县</w:t>
      </w: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总编制</w:t>
      </w:r>
      <w:r>
        <w:rPr>
          <w:rFonts w:hint="eastAsia" w:ascii="仿宋_GB2312" w:eastAsia="仿宋_GB2312" w:cs="仿宋_GB2312"/>
          <w:lang w:val="en-US" w:eastAsia="zh-CN"/>
        </w:rPr>
        <w:t>31</w:t>
      </w:r>
      <w:r>
        <w:rPr>
          <w:rFonts w:hint="eastAsia" w:ascii="仿宋_GB2312" w:eastAsia="仿宋_GB2312" w:cs="仿宋_GB2312"/>
        </w:rPr>
        <w:t>名，其中：行政编制</w:t>
      </w:r>
      <w:r>
        <w:rPr>
          <w:rFonts w:hint="eastAsia" w:ascii="仿宋_GB2312" w:eastAsia="仿宋_GB2312" w:cs="仿宋_GB2312"/>
          <w:lang w:val="en-US" w:eastAsia="zh-CN"/>
        </w:rPr>
        <w:t>21</w:t>
      </w:r>
      <w:r>
        <w:rPr>
          <w:rFonts w:hint="eastAsia" w:ascii="仿宋_GB2312" w:eastAsia="仿宋_GB2312" w:cs="仿宋_GB2312"/>
        </w:rPr>
        <w:t>名，事业编制</w:t>
      </w:r>
      <w:r>
        <w:rPr>
          <w:rFonts w:hint="eastAsia" w:ascii="仿宋_GB2312" w:eastAsia="仿宋_GB2312" w:cs="仿宋_GB2312"/>
          <w:lang w:val="en-US" w:eastAsia="zh-CN"/>
        </w:rPr>
        <w:t>10</w:t>
      </w:r>
      <w:r>
        <w:rPr>
          <w:rFonts w:hint="eastAsia" w:ascii="仿宋_GB2312" w:eastAsia="仿宋_GB2312" w:cs="仿宋_GB2312"/>
        </w:rPr>
        <w:t>名。在职人员总数</w:t>
      </w:r>
      <w:r>
        <w:rPr>
          <w:rFonts w:hint="eastAsia" w:ascii="仿宋_GB2312" w:eastAsia="仿宋_GB2312" w:cs="仿宋_GB2312"/>
          <w:lang w:val="en-US" w:eastAsia="zh-CN"/>
        </w:rPr>
        <w:t>31</w:t>
      </w:r>
      <w:r>
        <w:rPr>
          <w:rFonts w:hint="eastAsia" w:ascii="仿宋_GB2312" w:eastAsia="仿宋_GB2312" w:cs="仿宋_GB2312"/>
        </w:rPr>
        <w:t>人，其中：行政人员</w:t>
      </w:r>
      <w:r>
        <w:rPr>
          <w:rFonts w:hint="eastAsia" w:ascii="仿宋_GB2312" w:eastAsia="仿宋_GB2312" w:cs="仿宋_GB2312"/>
          <w:lang w:val="en-US" w:eastAsia="zh-CN"/>
        </w:rPr>
        <w:t>19</w:t>
      </w:r>
      <w:r>
        <w:rPr>
          <w:rFonts w:hint="eastAsia" w:ascii="仿宋_GB2312" w:eastAsia="仿宋_GB2312" w:cs="仿宋_GB2312"/>
        </w:rPr>
        <w:t>名，行政工勤人员2名，事业人员</w:t>
      </w:r>
      <w:r>
        <w:rPr>
          <w:rFonts w:hint="eastAsia" w:ascii="仿宋_GB2312" w:eastAsia="仿宋_GB2312" w:cs="仿宋_GB2312"/>
          <w:lang w:val="en-US" w:eastAsia="zh-CN"/>
        </w:rPr>
        <w:t>10</w:t>
      </w:r>
      <w:r>
        <w:rPr>
          <w:rFonts w:hint="eastAsia" w:ascii="仿宋_GB2312" w:eastAsia="仿宋_GB2312" w:cs="仿宋_GB2312"/>
        </w:rPr>
        <w:t>名。遗属人员</w:t>
      </w:r>
      <w:r>
        <w:rPr>
          <w:rFonts w:hint="eastAsia" w:ascii="仿宋_GB2312" w:eastAsia="仿宋_GB2312" w:cs="仿宋_GB2312"/>
          <w:lang w:val="en-US" w:eastAsia="zh-CN"/>
        </w:rPr>
        <w:t>4</w:t>
      </w:r>
      <w:r>
        <w:rPr>
          <w:rFonts w:hint="eastAsia" w:ascii="仿宋_GB2312" w:eastAsia="仿宋_GB2312" w:cs="仿宋_GB2312"/>
        </w:rPr>
        <w:t>名。</w:t>
      </w:r>
    </w:p>
    <w:p>
      <w:pPr>
        <w:pStyle w:val="3"/>
      </w:pPr>
      <w:r>
        <w:t>二、部门资金收支情况</w:t>
      </w:r>
    </w:p>
    <w:p>
      <w:pPr>
        <w:rPr>
          <w:rStyle w:val="21"/>
          <w:lang w:val="zh-CN"/>
        </w:rPr>
      </w:pPr>
      <w:r>
        <w:rPr>
          <w:rStyle w:val="21"/>
          <w:lang w:val="zh-CN"/>
        </w:rPr>
        <w:t>（一</w:t>
      </w:r>
      <w:r>
        <w:rPr>
          <w:rFonts w:hint="eastAsia" w:ascii="楷体" w:eastAsia="楷体" w:cs="楷体"/>
          <w:b/>
          <w:lang w:val="zh-CN"/>
        </w:rPr>
        <w:t>）收入情况。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2025年预算收入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auto"/>
        </w:rPr>
        <w:t>计</w:t>
      </w:r>
      <w:r>
        <w:rPr>
          <w:rFonts w:hint="eastAsia" w:ascii="仿宋_GB2312" w:hAnsi="仿宋_GB2312" w:eastAsia="仿宋_GB2312" w:cs="仿宋_GB2312"/>
          <w:sz w:val="32"/>
          <w:szCs w:val="32"/>
        </w:rPr>
        <w:t>1315.05</w:t>
      </w:r>
      <w:r>
        <w:rPr>
          <w:rFonts w:hint="eastAsia" w:ascii="仿宋_GB2312" w:eastAsia="仿宋_GB2312" w:cs="仿宋_GB2312"/>
        </w:rPr>
        <w:t>元，与决算报表收入一致，其中：一般公共预算财政拨款收入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1246.64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94.79</w:t>
      </w:r>
      <w:r>
        <w:rPr>
          <w:rFonts w:hint="eastAsia" w:ascii="仿宋_GB2312" w:eastAsia="仿宋_GB2312" w:cs="仿宋_GB2312"/>
        </w:rPr>
        <w:t>%；年初财政拨款结转结余0元，占0%；政府性基金预算财政拨款收入0元，占0%；国有资本经营预算财政拨款收入</w:t>
      </w:r>
      <w:r>
        <w:rPr>
          <w:rFonts w:hint="eastAsia" w:ascii="仿宋_GB2312" w:eastAsia="仿宋_GB2312" w:cs="仿宋_GB2312"/>
          <w:lang w:val="en-US" w:eastAsia="zh-CN"/>
        </w:rPr>
        <w:t>0.03</w:t>
      </w:r>
      <w:r>
        <w:rPr>
          <w:rFonts w:hint="eastAsia" w:ascii="仿宋_GB2312" w:eastAsia="仿宋_GB2312" w:cs="仿宋_GB2312"/>
        </w:rPr>
        <w:t>元，占0%；事业收入0元，占0%；经营收入0元，占0%；附属单位上缴收入0元，占0%；其他收入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68.39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5.2</w:t>
      </w:r>
      <w:r>
        <w:rPr>
          <w:rFonts w:hint="eastAsia" w:ascii="仿宋_GB2312" w:eastAsia="仿宋_GB2312" w:cs="仿宋_GB2312"/>
        </w:rPr>
        <w:t>%。</w:t>
      </w:r>
    </w:p>
    <w:p>
      <w:pPr>
        <w:rPr>
          <w:rStyle w:val="21"/>
          <w:lang w:val="zh-CN"/>
        </w:rPr>
      </w:pPr>
      <w:r>
        <w:rPr>
          <w:rStyle w:val="21"/>
          <w:rFonts w:hint="eastAsia"/>
          <w:lang w:val="zh-CN"/>
        </w:rPr>
        <w:t>（</w:t>
      </w:r>
      <w:r>
        <w:rPr>
          <w:rFonts w:hint="eastAsia" w:ascii="楷体" w:eastAsia="楷体" w:cs="楷体"/>
          <w:b/>
        </w:rPr>
        <w:t>二）</w:t>
      </w:r>
      <w:r>
        <w:rPr>
          <w:rFonts w:hint="eastAsia" w:ascii="楷体" w:eastAsia="楷体" w:cs="楷体"/>
          <w:b/>
          <w:lang w:val="zh-CN"/>
        </w:rPr>
        <w:t>支出情况。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  <w:lang w:eastAsia="zh-CN"/>
        </w:rPr>
        <w:t>晴朗乡</w:t>
      </w:r>
      <w:r>
        <w:rPr>
          <w:rFonts w:hint="eastAsia" w:ascii="仿宋_GB2312" w:eastAsia="仿宋_GB2312" w:cs="仿宋_GB2312"/>
        </w:rPr>
        <w:t>2025年年初预算支出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1315.05</w:t>
      </w:r>
      <w:r>
        <w:rPr>
          <w:rFonts w:hint="eastAsia" w:ascii="仿宋_GB2312" w:eastAsia="仿宋_GB2312" w:cs="仿宋_GB2312"/>
        </w:rPr>
        <w:t>元，与决算报表支出一致，其中：基本支出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491.55万</w:t>
      </w:r>
      <w:r>
        <w:rPr>
          <w:rFonts w:hint="eastAsia" w:ascii="仿宋_GB2312" w:eastAsia="仿宋_GB2312" w:cs="仿宋_GB2312"/>
        </w:rPr>
        <w:t>元，占</w:t>
      </w:r>
      <w:r>
        <w:rPr>
          <w:rFonts w:hint="eastAsia" w:ascii="仿宋_GB2312" w:eastAsia="仿宋_GB2312" w:cs="仿宋_GB2312"/>
          <w:lang w:val="en-US" w:eastAsia="zh-CN"/>
        </w:rPr>
        <w:t>37.37</w:t>
      </w:r>
      <w:r>
        <w:rPr>
          <w:rFonts w:hint="eastAsia" w:ascii="仿宋_GB2312" w:eastAsia="仿宋_GB2312" w:cs="仿宋_GB2312"/>
        </w:rPr>
        <w:t>%，项目支出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823.5</w:t>
      </w:r>
      <w:r>
        <w:rPr>
          <w:rFonts w:hint="eastAsia" w:ascii="仿宋_GB2312" w:eastAsia="仿宋_GB2312" w:cs="仿宋_GB2312"/>
        </w:rPr>
        <w:t>元,占</w:t>
      </w:r>
      <w:r>
        <w:rPr>
          <w:rFonts w:hint="eastAsia" w:ascii="仿宋_GB2312" w:eastAsia="仿宋_GB2312" w:cs="仿宋_GB2312"/>
          <w:lang w:val="en-US" w:eastAsia="zh-CN"/>
        </w:rPr>
        <w:t>62.63</w:t>
      </w:r>
      <w:r>
        <w:rPr>
          <w:rFonts w:hint="eastAsia" w:ascii="仿宋_GB2312" w:eastAsia="仿宋_GB2312" w:cs="仿宋_GB2312"/>
        </w:rPr>
        <w:t>%；上缴上级支出0万元，占0%；经营支出0万元，占0%；对附属单位补助支出0万元，占0%。</w:t>
      </w:r>
    </w:p>
    <w:p>
      <w:pPr>
        <w:spacing w:line="580" w:lineRule="exact"/>
        <w:rPr>
          <w:rFonts w:ascii="仿宋_GB2312" w:eastAsia="仿宋_GB2312" w:cs="黑体"/>
        </w:rPr>
      </w:pPr>
      <w:r>
        <w:rPr>
          <w:rFonts w:hint="eastAsia" w:ascii="仿宋_GB2312" w:eastAsia="仿宋_GB2312" w:cs="黑体"/>
          <w:b/>
        </w:rPr>
        <w:t>三、单位整体预算绩效管理情况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（一）部门预算管理。</w:t>
      </w:r>
    </w:p>
    <w:p>
      <w:pPr>
        <w:spacing w:line="580" w:lineRule="exact"/>
        <w:rPr>
          <w:rFonts w:ascii="仿宋_GB2312" w:eastAsia="仿宋_GB2312" w:cs="仿宋_GB2312"/>
          <w:lang w:val="zh-CN"/>
        </w:rPr>
      </w:pPr>
      <w:r>
        <w:rPr>
          <w:rFonts w:hint="eastAsia" w:ascii="仿宋_GB2312" w:eastAsia="仿宋_GB2312" w:cs="仿宋_GB2312"/>
        </w:rPr>
        <w:t>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按照县财政的统一要求，对2025年的各项收入及支出作了认真的清理，真实、准确、全面、及时的完成年度预、决算工作；认真对绩效目标的填报，对专项预算进行分期、分批并结合实际提前细化，保障本部门工作正常运行。资金支付严格按序时进度支付，不存在违规违纪情况。 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（二）专项预算管理。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专项预算项目程序严密、规划合理、结果符合、分配科学、分配及时、专项预算绩效目标完成、实施绩效合法合规。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（三）结果应用情况。</w:t>
      </w:r>
    </w:p>
    <w:p>
      <w:pPr>
        <w:spacing w:line="580" w:lineRule="exact"/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根据部门支出绩效评价指标体系，积极开展对本单位预算支出绩效自评工作，并对自评结果加以总结分析，为局领导决策提供参考，完善资金分配，健全管理制度，为下年预算、支出安排予以调整。 </w:t>
      </w:r>
    </w:p>
    <w:p>
      <w:pPr>
        <w:spacing w:line="580" w:lineRule="exact"/>
        <w:rPr>
          <w:rFonts w:hint="default" w:ascii="仿宋_GB2312" w:eastAsia="仿宋_GB2312" w:cs="仿宋_GB231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highlight w:val="none"/>
        </w:rPr>
        <w:t>2025年我</w:t>
      </w:r>
      <w:r>
        <w:rPr>
          <w:rFonts w:hint="eastAsia" w:ascii="仿宋_GB2312" w:eastAsia="仿宋_GB2312" w:cs="仿宋_GB2312"/>
          <w:highlight w:val="none"/>
          <w:lang w:eastAsia="zh-CN"/>
        </w:rPr>
        <w:t>乡</w:t>
      </w:r>
      <w:r>
        <w:rPr>
          <w:rFonts w:hint="eastAsia" w:ascii="仿宋_GB2312" w:eastAsia="仿宋_GB2312" w:cs="仿宋_GB2312"/>
          <w:highlight w:val="none"/>
        </w:rPr>
        <w:t>总体绩效支出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1315.05</w:t>
      </w:r>
      <w:r>
        <w:rPr>
          <w:rFonts w:hint="eastAsia" w:ascii="仿宋_GB2312" w:eastAsia="仿宋_GB2312" w:cs="仿宋_GB2312"/>
          <w:highlight w:val="none"/>
        </w:rPr>
        <w:t>万元。</w:t>
      </w:r>
      <w:r>
        <w:rPr>
          <w:rFonts w:hint="eastAsia" w:ascii="仿宋_GB2312" w:eastAsia="仿宋_GB2312" w:cs="仿宋_GB2312"/>
          <w:highlight w:val="none"/>
          <w:lang w:eastAsia="zh-CN"/>
        </w:rPr>
        <w:t>其中：</w:t>
      </w:r>
      <w:r>
        <w:rPr>
          <w:rFonts w:hint="eastAsia" w:ascii="仿宋_GB2312" w:eastAsia="仿宋_GB2312" w:cs="仿宋_GB2312"/>
          <w:highlight w:val="none"/>
          <w:lang w:val="zh-CN"/>
        </w:rPr>
        <w:t>一般公共服务支出</w:t>
      </w:r>
      <w:r>
        <w:rPr>
          <w:rFonts w:hint="eastAsia" w:ascii="仿宋_GB2312" w:eastAsia="仿宋_GB2312" w:cs="仿宋_GB2312"/>
          <w:highlight w:val="none"/>
          <w:lang w:val="en-US" w:eastAsia="zh-CN"/>
        </w:rPr>
        <w:t>382.43万元，社会保障和就业支出60.58万元，卫生健康支出24.95万元，农林水支出808.60万元，住房保障支出37.66万元，国有资本经营预算支出0.03万元，灾害防治及应急管理支出0.8万元。</w:t>
      </w:r>
    </w:p>
    <w:p>
      <w:pPr>
        <w:pStyle w:val="3"/>
      </w:pPr>
      <w:r>
        <w:t>四、评价结论及建议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（一）评价结论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2025年，我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预算绩效单位自评为93分。在县委、县政府的坚强领导下，我</w:t>
      </w:r>
      <w:r>
        <w:rPr>
          <w:rFonts w:hint="eastAsia" w:ascii="仿宋_GB2312" w:eastAsia="仿宋_GB2312" w:cs="仿宋_GB2312"/>
          <w:lang w:eastAsia="zh-CN"/>
        </w:rPr>
        <w:t>乡</w:t>
      </w:r>
      <w:r>
        <w:rPr>
          <w:rFonts w:hint="eastAsia" w:ascii="仿宋_GB2312" w:eastAsia="仿宋_GB2312" w:cs="仿宋_GB2312"/>
        </w:rPr>
        <w:t>的</w:t>
      </w:r>
      <w:r>
        <w:rPr>
          <w:rFonts w:hint="default" w:ascii="仿宋_GB2312" w:eastAsia="仿宋_GB2312" w:cs="仿宋_GB2312"/>
        </w:rPr>
        <w:t>巩固拓展脱贫攻坚成果同乡村振兴有效衔接</w:t>
      </w:r>
      <w:r>
        <w:rPr>
          <w:rFonts w:hint="eastAsia" w:ascii="仿宋_GB2312" w:eastAsia="仿宋_GB2312" w:cs="仿宋_GB2312"/>
        </w:rPr>
        <w:t>工作、发展生产、综治、维稳等各项工作得到平稳推进，并取得较好成效。为全县经济发展、社会稳定做出了自身的贡献。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（二）存在问题</w:t>
      </w:r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项目绩效目标设定方面绩效目标与预算安排不匹配，绩效目标动态调整不够及时；预算编制的前瞻性不够,导致预算和实际支出存在调整。</w:t>
      </w:r>
    </w:p>
    <w:p>
      <w:pPr>
        <w:pStyle w:val="4"/>
        <w:rPr>
          <w:rFonts w:ascii="楷体" w:eastAsia="楷体" w:cs="楷体"/>
          <w:lang w:val="zh-CN"/>
        </w:rPr>
      </w:pPr>
      <w:r>
        <w:rPr>
          <w:rFonts w:hint="eastAsia" w:ascii="楷体" w:eastAsia="楷体" w:cs="楷体"/>
          <w:lang w:val="zh-CN"/>
        </w:rPr>
        <w:t>（三）改进建议</w:t>
      </w:r>
      <w:bookmarkStart w:id="0" w:name="_Hlk110546638"/>
    </w:p>
    <w:p>
      <w:pPr>
        <w:rPr>
          <w:rFonts w:ascii="仿宋_GB2312" w:eastAsia="仿宋_GB2312" w:cs="仿宋_GB2312"/>
        </w:rPr>
      </w:pPr>
      <w:r>
        <w:rPr>
          <w:rFonts w:hint="eastAsia" w:ascii="仿宋_GB2312" w:eastAsia="仿宋_GB2312" w:cs="仿宋_GB2312"/>
        </w:rPr>
        <w:t>切实加强项目阶段性监控，合理设置绩效目标。坚持推进精细化管理，强化预算绩效目标管理、细化绩效目标，并将绩效目标细化分解为具体工作计划。细化预算编制工作，及时安排部署。按照部门预算编制口径，从严从紧编制部门预算，合理确定支出预算规模。严格内容审核，确保预算精准，提高预算编制的科学性和资金使用的有效性。树牢绩效理念，提高管理水平。严格执行预算，加强资金调度。增强部门预算单位加强预算执行的责任意识，提高财政资金的效益性和安全性。</w:t>
      </w:r>
      <w:bookmarkEnd w:id="0"/>
    </w:p>
    <w:bookmarkEnd w:id="1"/>
    <w:sectPr>
      <w:footerReference r:id="rId5" w:type="default"/>
      <w:pgSz w:w="11906" w:h="16839"/>
      <w:pgMar w:top="2098" w:right="1474" w:bottom="1984" w:left="1587" w:header="0" w:footer="0" w:gutter="0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3556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499" cy="35560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Fonts w:asci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28pt;width:3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wgxql9EAAAADAQAADwAAAAAA&#10;AAABACAAAAA4AAAAZHJzL2Rvd25yZXYueG1sUEsBAhQAFAAAAAgAh07iQC3HkPMEAgAA9AMAAA4A&#10;AAAAAAAAAQAgAAAANgEAAGRycy9lMm9Eb2MueG1sUEsFBgAAAAAGAAYAWQEAAKwFAAAAAA==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Fonts w:asci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YjgwOWQ0ZjQ5ZTkwMDFmYzUyMmViNmI0MjEyZTYifQ=="/>
  </w:docVars>
  <w:rsids>
    <w:rsidRoot w:val="00000000"/>
    <w:rsid w:val="06E02108"/>
    <w:rsid w:val="47EF2E92"/>
    <w:rsid w:val="74FF2EA5"/>
    <w:rsid w:val="77BE8002"/>
    <w:rsid w:val="7F65A3B7"/>
    <w:rsid w:val="DF7D211E"/>
    <w:rsid w:val="E9FF6E03"/>
    <w:rsid w:val="F5EB0FBC"/>
    <w:rsid w:val="FBFF41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jc w:val="left"/>
      <w:outlineLvl w:val="0"/>
    </w:pPr>
    <w:rPr>
      <w:rFonts w:eastAsia="黑体"/>
      <w:kern w:val="44"/>
    </w:rPr>
  </w:style>
  <w:style w:type="paragraph" w:styleId="4">
    <w:name w:val="heading 2"/>
    <w:basedOn w:val="1"/>
    <w:next w:val="1"/>
    <w:link w:val="21"/>
    <w:qFormat/>
    <w:uiPriority w:val="0"/>
    <w:pPr>
      <w:keepNext/>
      <w:keepLines/>
      <w:widowControl w:val="0"/>
      <w:outlineLvl w:val="1"/>
    </w:pPr>
    <w:rPr>
      <w:rFonts w:ascii="Arial" w:hAnsi="Arial" w:eastAsia="方正楷体_GB2312"/>
      <w:b/>
    </w:rPr>
  </w:style>
  <w:style w:type="paragraph" w:styleId="5">
    <w:name w:val="heading 3"/>
    <w:basedOn w:val="1"/>
    <w:next w:val="1"/>
    <w:qFormat/>
    <w:uiPriority w:val="0"/>
    <w:pPr>
      <w:widowControl/>
      <w:spacing w:before="100" w:beforeAutospacing="1" w:afterAutospacing="1"/>
      <w:jc w:val="left"/>
      <w:outlineLvl w:val="2"/>
    </w:pPr>
    <w:rPr>
      <w:rFonts w:ascii="宋体" w:hAnsi="宋体" w:cs="宋体"/>
      <w:b/>
      <w:bCs/>
      <w:kern w:val="0"/>
      <w:szCs w:val="27"/>
    </w:rPr>
  </w:style>
  <w:style w:type="paragraph" w:styleId="6">
    <w:name w:val="heading 4"/>
    <w:basedOn w:val="1"/>
    <w:next w:val="1"/>
    <w:qFormat/>
    <w:uiPriority w:val="0"/>
    <w:pPr>
      <w:keepNext/>
      <w:keepLines/>
      <w:widowControl w:val="0"/>
      <w:outlineLvl w:val="3"/>
    </w:pPr>
    <w:rPr>
      <w:rFonts w:ascii="Arial" w:hAnsi="Arial" w:eastAsia="方正楷体_GB2312"/>
      <w:b/>
    </w:rPr>
  </w:style>
  <w:style w:type="character" w:default="1" w:styleId="19">
    <w:name w:val="Default Paragraph Font"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7">
    <w:name w:val="Normal Indent"/>
    <w:basedOn w:val="1"/>
    <w:next w:val="1"/>
    <w:qFormat/>
    <w:uiPriority w:val="0"/>
  </w:style>
  <w:style w:type="paragraph" w:styleId="8">
    <w:name w:val="Body Text"/>
    <w:basedOn w:val="1"/>
    <w:next w:val="1"/>
    <w:qFormat/>
    <w:uiPriority w:val="0"/>
    <w:pPr>
      <w:widowControl/>
      <w:tabs>
        <w:tab w:val="left" w:pos="2160"/>
      </w:tabs>
      <w:spacing w:line="480" w:lineRule="auto"/>
      <w:jc w:val="left"/>
    </w:pPr>
    <w:rPr>
      <w:rFonts w:ascii="楷体_GB2312" w:hAnsi="楷体_GB2312" w:eastAsia="黑体"/>
      <w:kern w:val="0"/>
      <w:position w:val="3"/>
      <w:sz w:val="20"/>
      <w:szCs w:val="20"/>
    </w:r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 w:hAnsi="仿宋_GB2312"/>
    </w:rPr>
  </w:style>
  <w:style w:type="paragraph" w:styleId="10">
    <w:name w:val="Plain Text"/>
    <w:basedOn w:val="1"/>
    <w:qFormat/>
    <w:uiPriority w:val="0"/>
    <w:pPr>
      <w:widowControl/>
      <w:jc w:val="left"/>
    </w:pPr>
    <w:rPr>
      <w:rFonts w:ascii="宋体" w:hAnsi="宋体"/>
      <w:kern w:val="0"/>
      <w:szCs w:val="21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/>
      <w:kern w:val="0"/>
      <w:sz w:val="24"/>
      <w:szCs w:val="24"/>
    </w:r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styleId="17">
    <w:name w:val="Body Text First Indent 2"/>
    <w:basedOn w:val="9"/>
    <w:qFormat/>
    <w:uiPriority w:val="0"/>
  </w:style>
  <w:style w:type="character" w:styleId="20">
    <w:name w:val="Strong"/>
    <w:qFormat/>
    <w:uiPriority w:val="0"/>
    <w:rPr>
      <w:b/>
      <w:bCs/>
    </w:rPr>
  </w:style>
  <w:style w:type="character" w:customStyle="1" w:styleId="21">
    <w:name w:val="heading 2 Char"/>
    <w:basedOn w:val="19"/>
    <w:link w:val="4"/>
    <w:qFormat/>
    <w:uiPriority w:val="0"/>
    <w:rPr>
      <w:rFonts w:ascii="Arial" w:hAnsi="Arial" w:eastAsia="方正楷体_GB2312" w:cs="Times New Roman"/>
      <w:b/>
      <w:kern w:val="2"/>
      <w:sz w:val="32"/>
      <w:szCs w:val="32"/>
      <w:lang w:val="en-US" w:eastAsia="zh-CN" w:bidi="ar-SA"/>
    </w:rPr>
  </w:style>
  <w:style w:type="paragraph" w:customStyle="1" w:styleId="22">
    <w:name w:val="正文2"/>
    <w:basedOn w:val="1"/>
    <w:next w:val="1"/>
    <w:qFormat/>
    <w:uiPriority w:val="0"/>
  </w:style>
  <w:style w:type="character" w:customStyle="1" w:styleId="23">
    <w:name w:val="NormalCharacter"/>
    <w:qFormat/>
    <w:uiPriority w:val="0"/>
  </w:style>
  <w:style w:type="paragraph" w:customStyle="1" w:styleId="2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25">
    <w:name w:val="普通(网站) Char"/>
    <w:basedOn w:val="1"/>
    <w:qFormat/>
    <w:uiPriority w:val="0"/>
    <w:pPr>
      <w:spacing w:before="100" w:beforeAutospacing="1" w:after="100" w:afterAutospacing="1"/>
      <w:jc w:val="left"/>
    </w:pPr>
    <w:rPr>
      <w:rFonts w:ascii="宋体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1607</Words>
  <Characters>1724</Characters>
  <Lines>80</Lines>
  <Paragraphs>31</Paragraphs>
  <TotalTime>4</TotalTime>
  <ScaleCrop>false</ScaleCrop>
  <LinksUpToDate>false</LinksUpToDate>
  <CharactersWithSpaces>1738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2024-08-11T03:17:00Z</dcterms:created>
  <dc:creator>卡龙镇公共账号</dc:creator>
  <cp:lastModifiedBy>user</cp:lastModifiedBy>
  <cp:lastPrinted>2025-08-30T10:11:00Z</cp:lastPrinted>
  <dcterms:modified xsi:type="dcterms:W3CDTF">2026-09-15T17:33:22Z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A48A45C66B572738CD299E6A429B6BFD_43</vt:lpwstr>
  </property>
  <property fmtid="{D5CDD505-2E9C-101B-9397-08002B2CF9AE}" pid="4" name="KSOTemplateDocerSaveRecord">
    <vt:lpwstr>eyJoZGlkIjoiYmMxZWViYzY2OTBkMWNmMDZlNjI2NmUwYzQyZTk2ZTMiLCJ1c2VySWQiOiIxMTM5OTQ5NTAyIn0=</vt:lpwstr>
  </property>
</Properties>
</file>