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扎窝镇2022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 w:eastAsia="仿宋" w:cs="仿宋"/>
          <w:kern w:val="2"/>
          <w:sz w:val="32"/>
          <w:szCs w:val="32"/>
        </w:rPr>
        <w:t>黑水县扎窝镇人民政府无下属二级核算单位，全镇共辖7个行政村。扎窝镇下设行政6个办公室：党政办公室、党建工作办公室、社会事务和应急管理办公室、维护稳定和基层治理办公室、经济发展和乡村振兴办公室、生态环境和城镇管理办公室。下设事业机构4个：便民服务中心、农业农村和经济发展服务中心、社会事业服务中心、文化和旅游服务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 w:eastAsia="仿宋" w:cs="仿宋"/>
          <w:kern w:val="2"/>
          <w:sz w:val="32"/>
          <w:szCs w:val="32"/>
        </w:rPr>
      </w:pPr>
      <w:r>
        <w:rPr>
          <w:rFonts w:hint="eastAsia" w:ascii="仿宋" w:eastAsia="仿宋" w:cs="仿宋"/>
          <w:kern w:val="2"/>
          <w:sz w:val="32"/>
          <w:szCs w:val="32"/>
        </w:rPr>
        <w:t>黑水县扎窝镇人民政府是基层国家行政机关，行使本行政区域的政府行政职能，根据有关文件规定，主要职责是：宣传和贯彻执行上级各部门及本乡的各项政策、法规、决议等；讨论决定全镇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环境、教育、科学、卫生、社会保障、食品药品、卫生计生、财政、民政、公安、司法、国土等工作。</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pStyle w:val="4"/>
        <w:numPr>
          <w:ilvl w:val="0"/>
          <w:numId w:val="0"/>
        </w:numPr>
        <w:ind w:leftChars="200"/>
      </w:pPr>
      <w:r>
        <w:rPr>
          <w:rFonts w:hint="eastAsia" w:ascii="仿宋" w:eastAsia="仿宋" w:cs="仿宋"/>
          <w:sz w:val="32"/>
          <w:szCs w:val="32"/>
        </w:rPr>
        <w:t>扎窝镇总编制38名，其中：行政编制24名，工勤3名，事业编制11名。在职人员总数</w:t>
      </w:r>
      <w:r>
        <w:rPr>
          <w:rFonts w:hint="eastAsia" w:ascii="仿宋" w:eastAsia="仿宋" w:cs="仿宋"/>
          <w:sz w:val="32"/>
          <w:szCs w:val="32"/>
          <w:lang w:val="en-US" w:eastAsia="zh-CN"/>
        </w:rPr>
        <w:t>32</w:t>
      </w:r>
      <w:r>
        <w:rPr>
          <w:rFonts w:hint="eastAsia" w:ascii="仿宋" w:eastAsia="仿宋" w:cs="仿宋"/>
          <w:sz w:val="32"/>
          <w:szCs w:val="32"/>
        </w:rPr>
        <w:t>人，其中：行政人员</w:t>
      </w:r>
      <w:r>
        <w:rPr>
          <w:rFonts w:hint="eastAsia" w:ascii="仿宋" w:eastAsia="仿宋" w:cs="仿宋"/>
          <w:sz w:val="32"/>
          <w:szCs w:val="32"/>
          <w:lang w:val="en-US" w:eastAsia="zh-CN"/>
        </w:rPr>
        <w:t>21</w:t>
      </w:r>
      <w:r>
        <w:rPr>
          <w:rFonts w:hint="eastAsia" w:ascii="仿宋" w:eastAsia="仿宋" w:cs="仿宋"/>
          <w:sz w:val="32"/>
          <w:szCs w:val="32"/>
        </w:rPr>
        <w:t>人，工勤人员</w:t>
      </w:r>
      <w:r>
        <w:rPr>
          <w:rFonts w:hint="eastAsia" w:ascii="仿宋" w:eastAsia="仿宋" w:cs="仿宋"/>
          <w:sz w:val="32"/>
          <w:szCs w:val="32"/>
          <w:lang w:val="en-US" w:eastAsia="zh-CN"/>
        </w:rPr>
        <w:t>2人，事业人员9人。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(一)部门财政资金收入情况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黑水县</w:t>
      </w:r>
      <w:r>
        <w:rPr>
          <w:rFonts w:hint="eastAsia" w:ascii="仿宋" w:eastAsia="仿宋" w:cs="仿宋"/>
          <w:kern w:val="2"/>
          <w:sz w:val="32"/>
          <w:szCs w:val="32"/>
          <w:lang w:val="en-US" w:eastAsia="zh-CN" w:bidi="ar-SA"/>
        </w:rPr>
        <w:t>扎窝镇人民政府</w:t>
      </w:r>
      <w:r>
        <w:rPr>
          <w:rFonts w:hint="eastAsia" w:ascii="仿宋" w:hAnsi="Calibri" w:eastAsia="仿宋" w:cs="仿宋"/>
          <w:kern w:val="2"/>
          <w:sz w:val="32"/>
          <w:szCs w:val="32"/>
          <w:lang w:val="en-US" w:eastAsia="zh-CN" w:bidi="ar-SA"/>
        </w:rPr>
        <w:t>2022年部门预算总收入</w:t>
      </w:r>
      <w:r>
        <w:rPr>
          <w:rFonts w:hint="eastAsia" w:ascii="仿宋" w:eastAsia="仿宋" w:cs="仿宋"/>
          <w:kern w:val="2"/>
          <w:sz w:val="32"/>
          <w:szCs w:val="32"/>
          <w:lang w:val="en-US" w:eastAsia="zh-CN" w:bidi="ar-SA"/>
        </w:rPr>
        <w:t>1163.06</w:t>
      </w:r>
      <w:r>
        <w:rPr>
          <w:rFonts w:hint="eastAsia" w:ascii="仿宋" w:hAnsi="Calibri" w:eastAsia="仿宋" w:cs="仿宋"/>
          <w:kern w:val="2"/>
          <w:sz w:val="32"/>
          <w:szCs w:val="32"/>
          <w:lang w:val="en-US" w:eastAsia="zh-CN" w:bidi="ar-SA"/>
        </w:rPr>
        <w:t>万元，其中：一般公共预算拨款收入</w:t>
      </w:r>
      <w:r>
        <w:rPr>
          <w:rFonts w:hint="eastAsia" w:ascii="仿宋" w:eastAsia="仿宋" w:cs="仿宋"/>
          <w:kern w:val="2"/>
          <w:sz w:val="32"/>
          <w:szCs w:val="32"/>
          <w:lang w:val="en-US" w:eastAsia="zh-CN" w:bidi="ar-SA"/>
        </w:rPr>
        <w:t>1163.06</w:t>
      </w:r>
      <w:r>
        <w:rPr>
          <w:rFonts w:hint="eastAsia" w:ascii="仿宋" w:hAnsi="Calibri" w:eastAsia="仿宋" w:cs="仿宋"/>
          <w:kern w:val="2"/>
          <w:sz w:val="32"/>
          <w:szCs w:val="32"/>
          <w:lang w:val="en-US" w:eastAsia="zh-CN" w:bidi="ar-SA"/>
        </w:rPr>
        <w:t>万元。</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firstLine="640" w:firstLineChars="200"/>
        <w:textAlignment w:val="auto"/>
        <w:rPr>
          <w:rFonts w:ascii="仿宋_GB2312" w:hAnsi="黑体" w:eastAsia="仿宋_GB2312" w:cs="黑体"/>
          <w:sz w:val="32"/>
          <w:szCs w:val="32"/>
        </w:rPr>
      </w:pPr>
      <w:r>
        <w:rPr>
          <w:rFonts w:hint="eastAsia" w:ascii="仿宋" w:hAnsi="Calibri" w:eastAsia="仿宋" w:cs="仿宋"/>
          <w:kern w:val="2"/>
          <w:sz w:val="32"/>
          <w:szCs w:val="32"/>
          <w:lang w:val="en-US" w:eastAsia="zh-CN" w:bidi="ar-SA"/>
        </w:rPr>
        <w:t>部门财政资金支出情况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2022年部门预算支出</w:t>
      </w:r>
      <w:r>
        <w:rPr>
          <w:rFonts w:hint="eastAsia" w:ascii="仿宋" w:eastAsia="仿宋" w:cs="仿宋"/>
          <w:kern w:val="2"/>
          <w:sz w:val="32"/>
          <w:szCs w:val="32"/>
          <w:lang w:val="en-US" w:eastAsia="zh-CN" w:bidi="ar-SA"/>
        </w:rPr>
        <w:t>1163.06</w:t>
      </w:r>
      <w:r>
        <w:rPr>
          <w:rFonts w:hint="eastAsia" w:ascii="仿宋" w:hAnsi="Calibri" w:eastAsia="仿宋" w:cs="仿宋"/>
          <w:kern w:val="2"/>
          <w:sz w:val="32"/>
          <w:szCs w:val="32"/>
          <w:lang w:val="en-US" w:eastAsia="zh-CN" w:bidi="ar-SA"/>
        </w:rPr>
        <w:t>万元，其中：工资福利支出</w:t>
      </w:r>
      <w:r>
        <w:rPr>
          <w:rFonts w:hint="eastAsia" w:ascii="仿宋" w:eastAsia="仿宋" w:cs="仿宋"/>
          <w:kern w:val="2"/>
          <w:sz w:val="32"/>
          <w:szCs w:val="32"/>
          <w:lang w:val="en-US" w:eastAsia="zh-CN" w:bidi="ar-SA"/>
        </w:rPr>
        <w:t>565.10</w:t>
      </w:r>
      <w:r>
        <w:rPr>
          <w:rFonts w:hint="eastAsia" w:ascii="仿宋" w:hAnsi="Calibri" w:eastAsia="仿宋" w:cs="仿宋"/>
          <w:kern w:val="2"/>
          <w:sz w:val="32"/>
          <w:szCs w:val="32"/>
          <w:lang w:val="en-US" w:eastAsia="zh-CN" w:bidi="ar-SA"/>
        </w:rPr>
        <w:t>万元（基本工资</w:t>
      </w:r>
      <w:r>
        <w:rPr>
          <w:rFonts w:hint="eastAsia" w:ascii="仿宋" w:eastAsia="仿宋" w:cs="仿宋"/>
          <w:kern w:val="2"/>
          <w:sz w:val="32"/>
          <w:szCs w:val="32"/>
          <w:lang w:val="en-US" w:eastAsia="zh-CN" w:bidi="ar-SA"/>
        </w:rPr>
        <w:t>105.31</w:t>
      </w:r>
      <w:r>
        <w:rPr>
          <w:rFonts w:hint="eastAsia" w:ascii="仿宋" w:hAnsi="Calibri" w:eastAsia="仿宋" w:cs="仿宋"/>
          <w:kern w:val="2"/>
          <w:sz w:val="32"/>
          <w:szCs w:val="32"/>
          <w:lang w:val="en-US" w:eastAsia="zh-CN" w:bidi="ar-SA"/>
        </w:rPr>
        <w:t>万元、津贴补贴</w:t>
      </w:r>
      <w:r>
        <w:rPr>
          <w:rFonts w:hint="eastAsia" w:ascii="仿宋" w:eastAsia="仿宋" w:cs="仿宋"/>
          <w:kern w:val="2"/>
          <w:sz w:val="32"/>
          <w:szCs w:val="32"/>
          <w:lang w:val="en-US" w:eastAsia="zh-CN" w:bidi="ar-SA"/>
        </w:rPr>
        <w:t>148.42</w:t>
      </w:r>
      <w:r>
        <w:rPr>
          <w:rFonts w:hint="eastAsia" w:ascii="仿宋" w:hAnsi="Calibri" w:eastAsia="仿宋" w:cs="仿宋"/>
          <w:kern w:val="2"/>
          <w:sz w:val="32"/>
          <w:szCs w:val="32"/>
          <w:lang w:val="en-US" w:eastAsia="zh-CN" w:bidi="ar-SA"/>
        </w:rPr>
        <w:t>万元、奖金</w:t>
      </w:r>
      <w:r>
        <w:rPr>
          <w:rFonts w:hint="eastAsia" w:ascii="仿宋" w:eastAsia="仿宋" w:cs="仿宋"/>
          <w:kern w:val="2"/>
          <w:sz w:val="32"/>
          <w:szCs w:val="32"/>
          <w:lang w:val="en-US" w:eastAsia="zh-CN" w:bidi="ar-SA"/>
        </w:rPr>
        <w:t>114.60</w:t>
      </w:r>
      <w:r>
        <w:rPr>
          <w:rFonts w:hint="eastAsia" w:ascii="仿宋" w:hAnsi="Calibri" w:eastAsia="仿宋" w:cs="仿宋"/>
          <w:kern w:val="2"/>
          <w:sz w:val="32"/>
          <w:szCs w:val="32"/>
          <w:lang w:val="en-US" w:eastAsia="zh-CN" w:bidi="ar-SA"/>
        </w:rPr>
        <w:t>万元、绩效工资</w:t>
      </w:r>
      <w:r>
        <w:rPr>
          <w:rFonts w:hint="eastAsia" w:ascii="仿宋" w:eastAsia="仿宋" w:cs="仿宋"/>
          <w:kern w:val="2"/>
          <w:sz w:val="32"/>
          <w:szCs w:val="32"/>
          <w:lang w:val="en-US" w:eastAsia="zh-CN" w:bidi="ar-SA"/>
        </w:rPr>
        <w:t>57.27</w:t>
      </w:r>
      <w:r>
        <w:rPr>
          <w:rFonts w:hint="eastAsia" w:ascii="仿宋" w:hAnsi="Calibri" w:eastAsia="仿宋" w:cs="仿宋"/>
          <w:kern w:val="2"/>
          <w:sz w:val="32"/>
          <w:szCs w:val="32"/>
          <w:lang w:val="en-US" w:eastAsia="zh-CN" w:bidi="ar-SA"/>
        </w:rPr>
        <w:t>万元、机关事业单位基本养老保险缴费</w:t>
      </w:r>
      <w:r>
        <w:rPr>
          <w:rFonts w:hint="eastAsia" w:ascii="仿宋" w:eastAsia="仿宋" w:cs="仿宋"/>
          <w:kern w:val="2"/>
          <w:sz w:val="32"/>
          <w:szCs w:val="32"/>
          <w:lang w:val="en-US" w:eastAsia="zh-CN" w:bidi="ar-SA"/>
        </w:rPr>
        <w:t>46.33</w:t>
      </w:r>
      <w:r>
        <w:rPr>
          <w:rFonts w:hint="eastAsia" w:ascii="仿宋" w:hAnsi="Calibri" w:eastAsia="仿宋" w:cs="仿宋"/>
          <w:kern w:val="2"/>
          <w:sz w:val="32"/>
          <w:szCs w:val="32"/>
          <w:lang w:val="en-US" w:eastAsia="zh-CN" w:bidi="ar-SA"/>
        </w:rPr>
        <w:t>万元、职业年金缴费</w:t>
      </w:r>
      <w:r>
        <w:rPr>
          <w:rFonts w:hint="eastAsia" w:ascii="仿宋" w:eastAsia="仿宋" w:cs="仿宋"/>
          <w:kern w:val="2"/>
          <w:sz w:val="32"/>
          <w:szCs w:val="32"/>
          <w:lang w:val="en-US" w:eastAsia="zh-CN" w:bidi="ar-SA"/>
        </w:rPr>
        <w:t>23.16</w:t>
      </w:r>
      <w:r>
        <w:rPr>
          <w:rFonts w:hint="eastAsia" w:ascii="仿宋" w:hAnsi="Calibri" w:eastAsia="仿宋" w:cs="仿宋"/>
          <w:kern w:val="2"/>
          <w:sz w:val="32"/>
          <w:szCs w:val="32"/>
          <w:lang w:val="en-US" w:eastAsia="zh-CN" w:bidi="ar-SA"/>
        </w:rPr>
        <w:t>万元、城镇职工医疗保险</w:t>
      </w:r>
      <w:r>
        <w:rPr>
          <w:rFonts w:hint="eastAsia" w:ascii="仿宋" w:eastAsia="仿宋" w:cs="仿宋"/>
          <w:kern w:val="2"/>
          <w:sz w:val="32"/>
          <w:szCs w:val="32"/>
          <w:lang w:val="en-US" w:eastAsia="zh-CN" w:bidi="ar-SA"/>
        </w:rPr>
        <w:t>22.03</w:t>
      </w:r>
      <w:r>
        <w:rPr>
          <w:rFonts w:hint="eastAsia" w:ascii="仿宋" w:hAnsi="Calibri" w:eastAsia="仿宋" w:cs="仿宋"/>
          <w:kern w:val="2"/>
          <w:sz w:val="32"/>
          <w:szCs w:val="32"/>
          <w:lang w:val="en-US" w:eastAsia="zh-CN" w:bidi="ar-SA"/>
        </w:rPr>
        <w:t>万元、公务员医疗补助</w:t>
      </w:r>
      <w:r>
        <w:rPr>
          <w:rFonts w:hint="eastAsia" w:ascii="仿宋" w:eastAsia="仿宋" w:cs="仿宋"/>
          <w:kern w:val="2"/>
          <w:sz w:val="32"/>
          <w:szCs w:val="32"/>
          <w:lang w:val="en-US" w:eastAsia="zh-CN" w:bidi="ar-SA"/>
        </w:rPr>
        <w:t>5.95</w:t>
      </w:r>
      <w:r>
        <w:rPr>
          <w:rFonts w:hint="eastAsia" w:ascii="仿宋" w:hAnsi="Calibri" w:eastAsia="仿宋" w:cs="仿宋"/>
          <w:kern w:val="2"/>
          <w:sz w:val="32"/>
          <w:szCs w:val="32"/>
          <w:lang w:val="en-US" w:eastAsia="zh-CN" w:bidi="ar-SA"/>
        </w:rPr>
        <w:t>万元、其他社会保障缴费</w:t>
      </w:r>
      <w:r>
        <w:rPr>
          <w:rFonts w:hint="eastAsia" w:ascii="仿宋" w:eastAsia="仿宋" w:cs="仿宋"/>
          <w:kern w:val="2"/>
          <w:sz w:val="32"/>
          <w:szCs w:val="32"/>
          <w:lang w:val="en-US" w:eastAsia="zh-CN" w:bidi="ar-SA"/>
        </w:rPr>
        <w:t>0.9</w:t>
      </w:r>
      <w:r>
        <w:rPr>
          <w:rFonts w:hint="eastAsia" w:ascii="仿宋" w:hAnsi="Calibri" w:eastAsia="仿宋" w:cs="仿宋"/>
          <w:kern w:val="2"/>
          <w:sz w:val="32"/>
          <w:szCs w:val="32"/>
          <w:lang w:val="en-US" w:eastAsia="zh-CN" w:bidi="ar-SA"/>
        </w:rPr>
        <w:t>万元、住房公积金</w:t>
      </w:r>
      <w:r>
        <w:rPr>
          <w:rFonts w:hint="eastAsia" w:ascii="仿宋" w:eastAsia="仿宋" w:cs="仿宋"/>
          <w:kern w:val="2"/>
          <w:sz w:val="32"/>
          <w:szCs w:val="32"/>
          <w:lang w:val="en-US" w:eastAsia="zh-CN" w:bidi="ar-SA"/>
        </w:rPr>
        <w:t>41.06</w:t>
      </w:r>
      <w:r>
        <w:rPr>
          <w:rFonts w:hint="eastAsia" w:ascii="仿宋" w:hAnsi="Calibri" w:eastAsia="仿宋" w:cs="仿宋"/>
          <w:kern w:val="2"/>
          <w:sz w:val="32"/>
          <w:szCs w:val="32"/>
          <w:lang w:val="en-US" w:eastAsia="zh-CN" w:bidi="ar-SA"/>
        </w:rPr>
        <w:t>万元）；商品和服务支出</w:t>
      </w:r>
      <w:r>
        <w:rPr>
          <w:rFonts w:hint="eastAsia" w:ascii="仿宋" w:eastAsia="仿宋" w:cs="仿宋"/>
          <w:kern w:val="2"/>
          <w:sz w:val="32"/>
          <w:szCs w:val="32"/>
          <w:lang w:val="en-US" w:eastAsia="zh-CN" w:bidi="ar-SA"/>
        </w:rPr>
        <w:t>127.76</w:t>
      </w:r>
      <w:r>
        <w:rPr>
          <w:rFonts w:hint="eastAsia" w:ascii="仿宋" w:hAnsi="Calibri" w:eastAsia="仿宋" w:cs="仿宋"/>
          <w:kern w:val="2"/>
          <w:sz w:val="32"/>
          <w:szCs w:val="32"/>
          <w:lang w:val="en-US" w:eastAsia="zh-CN" w:bidi="ar-SA"/>
        </w:rPr>
        <w:t>万元（办公费</w:t>
      </w:r>
      <w:r>
        <w:rPr>
          <w:rFonts w:hint="eastAsia" w:ascii="仿宋" w:eastAsia="仿宋" w:cs="仿宋"/>
          <w:kern w:val="2"/>
          <w:sz w:val="32"/>
          <w:szCs w:val="32"/>
          <w:lang w:val="en-US" w:eastAsia="zh-CN" w:bidi="ar-SA"/>
        </w:rPr>
        <w:t>30.48</w:t>
      </w:r>
      <w:r>
        <w:rPr>
          <w:rFonts w:hint="eastAsia" w:ascii="仿宋" w:hAnsi="Calibri" w:eastAsia="仿宋" w:cs="仿宋"/>
          <w:kern w:val="2"/>
          <w:sz w:val="32"/>
          <w:szCs w:val="32"/>
          <w:lang w:val="en-US" w:eastAsia="zh-CN" w:bidi="ar-SA"/>
        </w:rPr>
        <w:t>万元、水费</w:t>
      </w:r>
      <w:r>
        <w:rPr>
          <w:rFonts w:hint="eastAsia" w:ascii="仿宋" w:eastAsia="仿宋" w:cs="仿宋"/>
          <w:kern w:val="2"/>
          <w:sz w:val="32"/>
          <w:szCs w:val="32"/>
          <w:lang w:val="en-US" w:eastAsia="zh-CN" w:bidi="ar-SA"/>
        </w:rPr>
        <w:t>0.02</w:t>
      </w:r>
      <w:r>
        <w:rPr>
          <w:rFonts w:hint="eastAsia" w:ascii="仿宋" w:hAnsi="Calibri" w:eastAsia="仿宋" w:cs="仿宋"/>
          <w:kern w:val="2"/>
          <w:sz w:val="32"/>
          <w:szCs w:val="32"/>
          <w:lang w:val="en-US" w:eastAsia="zh-CN" w:bidi="ar-SA"/>
        </w:rPr>
        <w:t>万元、电费</w:t>
      </w:r>
      <w:r>
        <w:rPr>
          <w:rFonts w:hint="eastAsia" w:ascii="仿宋" w:eastAsia="仿宋" w:cs="仿宋"/>
          <w:kern w:val="2"/>
          <w:sz w:val="32"/>
          <w:szCs w:val="32"/>
          <w:lang w:val="en-US" w:eastAsia="zh-CN" w:bidi="ar-SA"/>
        </w:rPr>
        <w:t>5.5</w:t>
      </w:r>
      <w:r>
        <w:rPr>
          <w:rFonts w:hint="eastAsia" w:ascii="仿宋" w:hAnsi="Calibri" w:eastAsia="仿宋" w:cs="仿宋"/>
          <w:kern w:val="2"/>
          <w:sz w:val="32"/>
          <w:szCs w:val="32"/>
          <w:lang w:val="en-US" w:eastAsia="zh-CN" w:bidi="ar-SA"/>
        </w:rPr>
        <w:t>万元、邮电费</w:t>
      </w:r>
      <w:r>
        <w:rPr>
          <w:rFonts w:hint="eastAsia" w:ascii="仿宋" w:eastAsia="仿宋" w:cs="仿宋"/>
          <w:kern w:val="2"/>
          <w:sz w:val="32"/>
          <w:szCs w:val="32"/>
          <w:lang w:val="en-US" w:eastAsia="zh-CN" w:bidi="ar-SA"/>
        </w:rPr>
        <w:t>6.5</w:t>
      </w:r>
      <w:r>
        <w:rPr>
          <w:rFonts w:hint="eastAsia" w:ascii="仿宋" w:hAnsi="Calibri" w:eastAsia="仿宋" w:cs="仿宋"/>
          <w:kern w:val="2"/>
          <w:sz w:val="32"/>
          <w:szCs w:val="32"/>
          <w:lang w:val="en-US" w:eastAsia="zh-CN" w:bidi="ar-SA"/>
        </w:rPr>
        <w:t>万元、差旅费</w:t>
      </w:r>
      <w:r>
        <w:rPr>
          <w:rFonts w:hint="eastAsia" w:ascii="仿宋" w:eastAsia="仿宋" w:cs="仿宋"/>
          <w:kern w:val="2"/>
          <w:sz w:val="32"/>
          <w:szCs w:val="32"/>
          <w:lang w:val="en-US" w:eastAsia="zh-CN" w:bidi="ar-SA"/>
        </w:rPr>
        <w:t>12.59</w:t>
      </w:r>
      <w:r>
        <w:rPr>
          <w:rFonts w:hint="eastAsia" w:ascii="仿宋" w:hAnsi="Calibri" w:eastAsia="仿宋" w:cs="仿宋"/>
          <w:kern w:val="2"/>
          <w:sz w:val="32"/>
          <w:szCs w:val="32"/>
          <w:lang w:val="en-US" w:eastAsia="zh-CN" w:bidi="ar-SA"/>
        </w:rPr>
        <w:t>万元、培训费</w:t>
      </w:r>
      <w:r>
        <w:rPr>
          <w:rFonts w:hint="eastAsia" w:ascii="仿宋" w:eastAsia="仿宋" w:cs="仿宋"/>
          <w:kern w:val="2"/>
          <w:sz w:val="32"/>
          <w:szCs w:val="32"/>
          <w:lang w:val="en-US" w:eastAsia="zh-CN" w:bidi="ar-SA"/>
        </w:rPr>
        <w:t>0.9</w:t>
      </w:r>
      <w:r>
        <w:rPr>
          <w:rFonts w:hint="eastAsia" w:ascii="仿宋" w:hAnsi="Calibri" w:eastAsia="仿宋" w:cs="仿宋"/>
          <w:kern w:val="2"/>
          <w:sz w:val="32"/>
          <w:szCs w:val="32"/>
          <w:lang w:val="en-US" w:eastAsia="zh-CN" w:bidi="ar-SA"/>
        </w:rPr>
        <w:t>万元）；对个人和家庭的补助</w:t>
      </w:r>
      <w:r>
        <w:rPr>
          <w:rFonts w:hint="eastAsia" w:ascii="仿宋" w:eastAsia="仿宋" w:cs="仿宋"/>
          <w:kern w:val="2"/>
          <w:sz w:val="32"/>
          <w:szCs w:val="32"/>
          <w:lang w:val="en-US" w:eastAsia="zh-CN" w:bidi="ar-SA"/>
        </w:rPr>
        <w:t>286.1</w:t>
      </w:r>
      <w:r>
        <w:rPr>
          <w:rFonts w:hint="eastAsia" w:ascii="仿宋" w:hAnsi="Calibri" w:eastAsia="仿宋" w:cs="仿宋"/>
          <w:kern w:val="2"/>
          <w:sz w:val="32"/>
          <w:szCs w:val="32"/>
          <w:lang w:val="en-US" w:eastAsia="zh-CN" w:bidi="ar-SA"/>
        </w:rPr>
        <w:t>万元（生活补助</w:t>
      </w:r>
      <w:r>
        <w:rPr>
          <w:rFonts w:hint="eastAsia" w:ascii="仿宋" w:eastAsia="仿宋" w:cs="仿宋"/>
          <w:kern w:val="2"/>
          <w:sz w:val="32"/>
          <w:szCs w:val="32"/>
          <w:lang w:val="en-US" w:eastAsia="zh-CN" w:bidi="ar-SA"/>
        </w:rPr>
        <w:t>266.08</w:t>
      </w:r>
      <w:r>
        <w:rPr>
          <w:rFonts w:hint="eastAsia" w:ascii="仿宋" w:hAnsi="Calibri" w:eastAsia="仿宋" w:cs="仿宋"/>
          <w:kern w:val="2"/>
          <w:sz w:val="32"/>
          <w:szCs w:val="32"/>
          <w:lang w:val="en-US" w:eastAsia="zh-CN" w:bidi="ar-SA"/>
        </w:rPr>
        <w:t>万元、医疗费</w:t>
      </w:r>
      <w:r>
        <w:rPr>
          <w:rFonts w:hint="eastAsia" w:ascii="仿宋" w:eastAsia="仿宋" w:cs="仿宋"/>
          <w:kern w:val="2"/>
          <w:sz w:val="32"/>
          <w:szCs w:val="32"/>
          <w:lang w:val="en-US" w:eastAsia="zh-CN" w:bidi="ar-SA"/>
        </w:rPr>
        <w:t>1.18</w:t>
      </w:r>
      <w:r>
        <w:rPr>
          <w:rFonts w:hint="eastAsia" w:ascii="仿宋" w:hAnsi="Calibri" w:eastAsia="仿宋" w:cs="仿宋"/>
          <w:kern w:val="2"/>
          <w:sz w:val="32"/>
          <w:szCs w:val="32"/>
          <w:lang w:val="en-US" w:eastAsia="zh-CN" w:bidi="ar-SA"/>
        </w:rPr>
        <w:t>万元）。</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snapToGrid/>
        <w:ind w:firstLine="640" w:firstLineChars="200"/>
        <w:textAlignment w:val="auto"/>
        <w:rPr>
          <w:rFonts w:ascii="仿宋_GB2312" w:hAnsi="仿宋" w:eastAsia="仿宋_GB2312" w:cs="仿宋_GB2312"/>
          <w:sz w:val="32"/>
          <w:szCs w:val="32"/>
        </w:rPr>
      </w:pPr>
      <w:r>
        <w:rPr>
          <w:rFonts w:hint="eastAsia" w:ascii="仿宋_GB2312" w:hAnsi="黑体" w:eastAsia="仿宋_GB2312" w:cs="黑体"/>
          <w:sz w:val="32"/>
          <w:szCs w:val="32"/>
        </w:rPr>
        <w:t>部门整体预算绩效管理情况</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snapToGrid/>
        <w:textAlignment w:val="auto"/>
      </w:pPr>
      <w:r>
        <w:rPr>
          <w:rFonts w:hint="eastAsia" w:ascii="仿宋_GB2312" w:hAnsi="仿宋" w:eastAsia="仿宋_GB2312" w:cs="仿宋_GB2312"/>
          <w:sz w:val="32"/>
          <w:szCs w:val="32"/>
        </w:rPr>
        <w:t>部门预算管理。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绩效目标是预算编制的前提和基础，按照“费随事定”的原则，2022年我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以基本支出、项目支出、日常公用经费、公务用车运行维护费等目标均按要求从目标、效益、满意度等方面编制了绩效目标表，实行绩效目标管理。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严格控制“三公”经费支出，加强公务用车管理，努力降低燃修费用，“三公”经费及会议费较上年有所下降。预算内经费和专项基金我单位按照有关法律法规和财务制度严格执行，经费组织决算及报表的审核、报送与财政部门逐一核对，确保经费预决算的严肃性、准确性。</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snapToGrid/>
        <w:ind w:left="0" w:leftChars="0" w:firstLine="0" w:firstLineChars="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专项预算管理。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评价项目严格执行财务管理制度、财务处理及时、会计核算规范。</w:t>
      </w:r>
      <w:r>
        <w:rPr>
          <w:rFonts w:hint="eastAsia" w:ascii="仿宋" w:hAnsi="Calibri" w:eastAsia="仿宋" w:cs="仿宋"/>
          <w:kern w:val="2"/>
          <w:sz w:val="32"/>
          <w:szCs w:val="32"/>
          <w:lang w:val="en-US" w:eastAsia="zh-CN" w:bidi="ar-SA"/>
        </w:rPr>
        <w:t>绩效目标是预算编制的前提和基础，按照“费随事定”的原则</w:t>
      </w:r>
      <w:r>
        <w:rPr>
          <w:rFonts w:hint="eastAsia" w:ascii="仿宋" w:eastAsia="仿宋" w:cs="仿宋"/>
          <w:kern w:val="2"/>
          <w:sz w:val="32"/>
          <w:szCs w:val="32"/>
          <w:lang w:val="en-US" w:eastAsia="zh-CN" w:bidi="ar-SA"/>
        </w:rPr>
        <w:t>。</w:t>
      </w:r>
      <w:r>
        <w:rPr>
          <w:rFonts w:hint="eastAsia" w:ascii="仿宋" w:hAnsi="Calibri" w:eastAsia="仿宋" w:cs="仿宋"/>
          <w:kern w:val="2"/>
          <w:sz w:val="32"/>
          <w:szCs w:val="32"/>
          <w:lang w:val="en-US" w:eastAsia="zh-CN" w:bidi="ar-SA"/>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w:t>
      </w:r>
      <w:bookmarkStart w:id="1" w:name="_GoBack"/>
      <w:bookmarkEnd w:id="1"/>
      <w:r>
        <w:rPr>
          <w:rFonts w:hint="eastAsia" w:ascii="仿宋" w:hAnsi="Calibri" w:eastAsia="仿宋" w:cs="仿宋"/>
          <w:kern w:val="2"/>
          <w:sz w:val="32"/>
          <w:szCs w:val="32"/>
          <w:lang w:val="en-US" w:eastAsia="zh-CN" w:bidi="ar-SA"/>
        </w:rPr>
        <w:t>执行“厉行节约、反对浪费”的规定</w:t>
      </w:r>
      <w:r>
        <w:rPr>
          <w:rFonts w:hint="eastAsia" w:ascii="仿宋" w:eastAsia="仿宋" w:cs="仿宋"/>
          <w:kern w:val="2"/>
          <w:sz w:val="32"/>
          <w:szCs w:val="32"/>
          <w:lang w:val="en-US" w:eastAsia="zh-CN" w:bidi="ar-SA"/>
        </w:rPr>
        <w:t>。</w:t>
      </w:r>
      <w:r>
        <w:rPr>
          <w:rFonts w:hint="eastAsia" w:ascii="仿宋" w:hAnsi="Calibri" w:eastAsia="仿宋" w:cs="仿宋"/>
          <w:kern w:val="2"/>
          <w:sz w:val="32"/>
          <w:szCs w:val="32"/>
          <w:lang w:val="en-US" w:eastAsia="zh-CN" w:bidi="ar-SA"/>
        </w:rPr>
        <w:t>预算内经费和专项基金我单位按照有关法律法规和财务制度严格执行，经费组织决算及报表的审核、报送与财政部门逐一核对，确保经费预决算的严肃性、准确性。</w:t>
      </w:r>
      <w:r>
        <w:rPr>
          <w:rFonts w:hint="eastAsia" w:ascii="仿宋" w:hAnsi="仿宋" w:eastAsia="仿宋" w:cs="仿宋"/>
          <w:sz w:val="32"/>
          <w:szCs w:val="32"/>
        </w:rPr>
        <w:t>评价项目是否严格执行财务管理制度、财务处理是否及时、会计核算是否规范等。</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主动将绩效自评公开，从自评情况来看，我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评价结论及建议</w:t>
      </w:r>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工作运转、履行职能职责上整体情况良好，整体上完成了年初设定的绩效目标，保障了我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存在问题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从绩效评价看，部门支出预算和绩效评价工作还存在部分项目无法用量化指标来进行考评的问题。</w:t>
      </w:r>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改进建议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ascii="仿宋_GB2312" w:hAnsi="仿宋_GB2312" w:eastAsia="仿宋_GB2312" w:cs="仿宋_GB2312"/>
          <w:sz w:val="32"/>
          <w:szCs w:val="32"/>
        </w:rPr>
      </w:pPr>
      <w:r>
        <w:rPr>
          <w:rFonts w:hint="eastAsia" w:ascii="仿宋" w:hAnsi="Calibri" w:eastAsia="仿宋" w:cs="仿宋"/>
          <w:kern w:val="2"/>
          <w:sz w:val="32"/>
          <w:szCs w:val="32"/>
          <w:lang w:val="en-US" w:eastAsia="zh-CN" w:bidi="ar-SA"/>
        </w:rPr>
        <w:t>建议加强对绩效评价工作的培训和指导，进一步优化项目绩效考核指标体系，做到合理性与可操作性的有机统一。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714AB"/>
    <w:multiLevelType w:val="singleLevel"/>
    <w:tmpl w:val="83B714AB"/>
    <w:lvl w:ilvl="0" w:tentative="0">
      <w:start w:val="1"/>
      <w:numFmt w:val="chineseCounting"/>
      <w:suff w:val="nothing"/>
      <w:lvlText w:val="（%1）"/>
      <w:lvlJc w:val="left"/>
      <w:rPr>
        <w:rFonts w:hint="eastAsia"/>
      </w:rPr>
    </w:lvl>
  </w:abstractNum>
  <w:abstractNum w:abstractNumId="1">
    <w:nsid w:val="9A645551"/>
    <w:multiLevelType w:val="singleLevel"/>
    <w:tmpl w:val="9A645551"/>
    <w:lvl w:ilvl="0" w:tentative="0">
      <w:start w:val="3"/>
      <w:numFmt w:val="chineseCounting"/>
      <w:suff w:val="nothing"/>
      <w:lvlText w:val="%1、"/>
      <w:lvlJc w:val="left"/>
      <w:rPr>
        <w:rFonts w:hint="eastAsia"/>
      </w:rPr>
    </w:lvl>
  </w:abstractNum>
  <w:abstractNum w:abstractNumId="2">
    <w:nsid w:val="EBA1C737"/>
    <w:multiLevelType w:val="singleLevel"/>
    <w:tmpl w:val="EBA1C737"/>
    <w:lvl w:ilvl="0" w:tentative="0">
      <w:start w:val="1"/>
      <w:numFmt w:val="chineseCounting"/>
      <w:suff w:val="nothing"/>
      <w:lvlText w:val="（%1）"/>
      <w:lvlJc w:val="left"/>
      <w:rPr>
        <w:rFonts w:hint="eastAsia"/>
      </w:rPr>
    </w:lvl>
  </w:abstractNum>
  <w:abstractNum w:abstractNumId="3">
    <w:nsid w:val="0944303A"/>
    <w:multiLevelType w:val="singleLevel"/>
    <w:tmpl w:val="0944303A"/>
    <w:lvl w:ilvl="0" w:tentative="0">
      <w:start w:val="2"/>
      <w:numFmt w:val="chineseCounting"/>
      <w:suff w:val="nothing"/>
      <w:lvlText w:val="（%1）"/>
      <w:lvlJc w:val="left"/>
      <w:rPr>
        <w:rFonts w:hint="eastAsia"/>
      </w:rPr>
    </w:lvl>
  </w:abstractNum>
  <w:abstractNum w:abstractNumId="4">
    <w:nsid w:val="0B2E41FD"/>
    <w:multiLevelType w:val="singleLevel"/>
    <w:tmpl w:val="0B2E41FD"/>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wMzIwNDAzMWVmZDY1YjNhNDk3YmIzMTMxNjhhMTcifQ=="/>
  </w:docVars>
  <w:rsids>
    <w:rsidRoot w:val="00491B22"/>
    <w:rsid w:val="00291808"/>
    <w:rsid w:val="00491B22"/>
    <w:rsid w:val="0052390C"/>
    <w:rsid w:val="08A16D8B"/>
    <w:rsid w:val="30235B1A"/>
    <w:rsid w:val="34EB1F43"/>
    <w:rsid w:val="36435EC2"/>
    <w:rsid w:val="4B936091"/>
    <w:rsid w:val="60D032A5"/>
    <w:rsid w:val="617C0CC7"/>
    <w:rsid w:val="72E1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4">
    <w:name w:val="toa heading"/>
    <w:basedOn w:val="1"/>
    <w:next w:val="1"/>
    <w:qFormat/>
    <w:uiPriority w:val="0"/>
    <w:pPr>
      <w:spacing w:before="120"/>
    </w:pPr>
    <w:rPr>
      <w:rFonts w:ascii="Cambria" w:hAnsi="Cambria" w:eastAsia="宋体" w:cs="Times New Roman"/>
      <w:sz w:val="24"/>
      <w:lang w:bidi="ar-SA"/>
    </w:rPr>
  </w:style>
  <w:style w:type="paragraph" w:styleId="5">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customStyle="1" w:styleId="11">
    <w:name w:val="普通(网站) Char"/>
    <w:basedOn w:val="1"/>
    <w:qFormat/>
    <w:uiPriority w:val="0"/>
    <w:pPr>
      <w:spacing w:before="100" w:beforeAutospacing="1" w:after="100" w:afterAutospacing="1"/>
      <w:ind w:left="0" w:right="0"/>
      <w:jc w:val="left"/>
    </w:pPr>
    <w:rPr>
      <w:rFonts w:asci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1713</Words>
  <Characters>1827</Characters>
  <Lines>2</Lines>
  <Paragraphs>1</Paragraphs>
  <TotalTime>0</TotalTime>
  <ScaleCrop>false</ScaleCrop>
  <LinksUpToDate>false</LinksUpToDate>
  <CharactersWithSpaces>1827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2023-08-29T08:43:20Z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2A00DA5E29F34991817B39438CFF3040_12</vt:lpwstr>
  </property>
</Properties>
</file>