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知木林镇事业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知木林镇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治安、经济发展、教育、文化、卫生、计划生育，环境、国土、安全生产等管理工作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根据县委、县政府关于202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年全县工作的总体部署，202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主要工作是:一是持续抓好巩固脱贫攻坚成果同乡村振兴工作有效衔接，紧扣“两不愁、三保障”，实时进村入户了解贫困户需求，并进行靶向施策。二是以优化产业结构调整为重点，坚持“稳粮调结构、助农保增收”的指导思想，着力发展特色产业，大力发展农村经济，切实增加农民收入。三是继续抓好农村基层党建工作，加强廉政工作力度，稳步推进反腐倡廉制度建设各阶段工作。四是继续加强城乡环境综合整治工作，动员广大干部群众积极参与环境整治活动，不断提高村民文明卫生素质，改善人居环境，树立良好的对外形象。五是做好社会维稳工作，努力把群众信访诉求解决在初始阶段和基层，妥善处理社会矛盾纠纷和群体性事件。六是狠抓安全生产工作，全面落实安全生产责任制，杜绝重大安全事故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知木林镇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人民政府无下属二级核算单位。</w:t>
      </w:r>
      <w:r>
        <w:rPr>
          <w:rFonts w:hint="eastAsia" w:hAnsi="仿宋_GB2312" w:cs="仿宋_GB2312"/>
          <w:sz w:val="32"/>
          <w:szCs w:val="32"/>
          <w:lang w:eastAsia="zh-CN"/>
        </w:rPr>
        <w:t>知木林镇</w:t>
      </w:r>
      <w:r>
        <w:rPr>
          <w:rFonts w:hint="eastAsia" w:hAnsi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名，在职人员</w:t>
      </w:r>
      <w:r>
        <w:rPr>
          <w:rFonts w:hint="eastAsia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11.56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1.09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部门整体预算绩效管理情况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90.19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0.33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90.19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0.33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工作的开展提供了有力的保障，使我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改进建议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ADE6E"/>
    <w:multiLevelType w:val="singleLevel"/>
    <w:tmpl w:val="D5FADE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8AD461"/>
    <w:multiLevelType w:val="singleLevel"/>
    <w:tmpl w:val="468AD46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WExOWQ3NmI0M2YwMGUzYzFjNzc5NzI4YmJhMDcifQ=="/>
  </w:docVars>
  <w:rsids>
    <w:rsidRoot w:val="00491B22"/>
    <w:rsid w:val="00291808"/>
    <w:rsid w:val="00491B22"/>
    <w:rsid w:val="0052390C"/>
    <w:rsid w:val="34EB1F43"/>
    <w:rsid w:val="36435EC2"/>
    <w:rsid w:val="3CCA27A8"/>
    <w:rsid w:val="4B8B39F2"/>
    <w:rsid w:val="4B936091"/>
    <w:rsid w:val="523032B2"/>
    <w:rsid w:val="6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2</TotalTime>
  <ScaleCrop>false</ScaleCrop>
  <LinksUpToDate>false</LinksUpToDate>
  <CharactersWithSpaces>337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2023-09-01T07:43:57Z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8E7B0917DF0C441A933E731EC835C758_13</vt:lpwstr>
  </property>
</Properties>
</file>