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eastAsia="方正小标宋_GBK" w:cs="方正小标宋_GBK"/>
          <w:b/>
          <w:sz w:val="44"/>
          <w:szCs w:val="44"/>
          <w:lang w:eastAsia="zh-CN"/>
        </w:rPr>
      </w:pPr>
      <w:r>
        <w:rPr>
          <w:rFonts w:hint="eastAsia" w:ascii="方正小标宋_GBK" w:eastAsia="方正小标宋_GBK" w:cs="方正小标宋_GBK"/>
          <w:b/>
          <w:sz w:val="44"/>
          <w:szCs w:val="44"/>
          <w:lang w:val="en-US" w:eastAsia="zh-CN"/>
        </w:rPr>
        <w:t>知木林</w:t>
      </w:r>
      <w:r>
        <w:rPr>
          <w:rFonts w:hint="eastAsia" w:ascii="方正小标宋_GBK" w:eastAsia="方正小标宋_GBK" w:cs="方正小标宋_GBK"/>
          <w:b/>
          <w:sz w:val="44"/>
          <w:szCs w:val="44"/>
        </w:rPr>
        <w:t>镇人民政府</w:t>
      </w:r>
      <w:r>
        <w:rPr>
          <w:rFonts w:hint="eastAsia" w:ascii="方正小标宋_GBK" w:eastAsia="方正小标宋_GBK" w:cs="方正小标宋_GBK"/>
          <w:b/>
          <w:sz w:val="44"/>
          <w:szCs w:val="44"/>
          <w:lang w:val="en-US" w:eastAsia="zh-CN"/>
        </w:rPr>
        <w:t>2022年部门</w:t>
      </w:r>
      <w:r>
        <w:rPr>
          <w:rFonts w:hint="eastAsia" w:ascii="方正小标宋_GBK" w:eastAsia="方正小标宋_GBK" w:cs="方正小标宋_GBK"/>
          <w:b/>
          <w:sz w:val="44"/>
          <w:szCs w:val="44"/>
          <w:lang w:eastAsia="zh-CN"/>
        </w:rPr>
        <w:t>整体</w:t>
      </w:r>
      <w:r>
        <w:rPr>
          <w:rFonts w:hint="eastAsia" w:ascii="方正小标宋_GBK" w:eastAsia="方正小标宋_GBK" w:cs="方正小标宋_GBK"/>
          <w:b/>
          <w:sz w:val="44"/>
          <w:szCs w:val="44"/>
        </w:rPr>
        <w:t>支出绩效评价报告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2" w:firstLineChars="200"/>
        <w:textAlignment w:val="auto"/>
        <w:rPr>
          <w:rFonts w:hint="eastAsia" w:ascii="黑体" w:eastAsia="黑体" w:cs="黑体"/>
          <w:b/>
          <w:bCs/>
          <w:sz w:val="32"/>
          <w:szCs w:val="32"/>
        </w:rPr>
      </w:pPr>
      <w:r>
        <w:rPr>
          <w:rFonts w:hint="eastAsia" w:ascii="黑体" w:eastAsia="黑体" w:cs="黑体"/>
          <w:b/>
          <w:bCs/>
          <w:sz w:val="32"/>
          <w:szCs w:val="32"/>
        </w:rPr>
        <w:t>部门</w:t>
      </w:r>
      <w:r>
        <w:rPr>
          <w:rFonts w:hint="eastAsia" w:ascii="黑体" w:eastAsia="黑体" w:cs="黑体"/>
          <w:b/>
          <w:bCs/>
          <w:sz w:val="32"/>
          <w:szCs w:val="32"/>
          <w:lang w:eastAsia="zh-CN"/>
        </w:rPr>
        <w:t>（</w:t>
      </w:r>
      <w:r>
        <w:rPr>
          <w:rFonts w:hint="eastAsia" w:ascii="黑体" w:eastAsia="黑体" w:cs="黑体"/>
          <w:b/>
          <w:bCs/>
          <w:sz w:val="32"/>
          <w:szCs w:val="32"/>
        </w:rPr>
        <w:t>单位)概况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（一）机构组成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黑水县知木林镇人民政府是基层国家行政机关，行使本行政区域的政府行政职能，根据有关文件规定，主要职责是：宣传和贯彻执行上级各部门及本镇的各项政策、法规、决议等；讨论决定全镇经济建设和社会发展中的重大问题；加强党委自身建设和以党支部为核心的村级组织建设；按照干部管理权限，负责对本级镇村干部的教育、管理、培训、选拔和监督工作，并实现村级财务统一由镇代管；认真做好全镇社会治安综合治理及计划生育，环境、国土等管理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（二）主要工作任务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根据县委、县政府关于2022年全县工作的总体部署，2022年主要工作是: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1.紧跟上级部署，抓实党建常规工作。一是加大党建宣传，浓厚党建氛围。加大对镇村党建工作人员宣传培训，壮大党建工作宣传队伍，提升党建工作宣传能力。加强党建政策业务学习，及时总结时段重点党建工作信息，提炼升华党建宣传，及时报送推送到相关媒体。二是着力发挥基层党组织战斗堡垒</w:t>
      </w:r>
      <w:bookmarkStart w:id="0" w:name="_GoBack"/>
      <w:bookmarkEnd w:id="0"/>
      <w:r>
        <w:rPr>
          <w:rFonts w:hint="eastAsia" w:ascii="仿宋_GB2312" w:eastAsia="仿宋_GB2312" w:cs="仿宋_GB2312"/>
          <w:color w:val="000000"/>
          <w:kern w:val="0"/>
          <w:sz w:val="32"/>
          <w:szCs w:val="32"/>
          <w:lang w:val="en-US" w:eastAsia="zh-CN" w:bidi="ar-SA"/>
        </w:rPr>
        <w:t>作用。继续通过党建引领，聚焦全镇各中心工作，围绕乡村振兴、三大攻坚战、项目建设等内容，充分发挥各领域党员先锋模范作用。壮大村级集体经济，发挥党员先锋作用，将党员培育成致富能人将致富能人发展为党员，不断充实提升基层党员队伍。三是全面建设高素质专业化党建工作队伍。抓好村级后备干部培养和加大年轻党员培养发展力度，不断党建工作队伍结构，提高专业化能力。加强党务工作者队伍建设，提前谋划全年培训计划，找准关键时间点开展发展党员、换届选举、民主评议等业务专题培训，确保党建工作规定动作不走样，创新动作有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2.强化脱贫攻坚调度机制。分解细化任务，层层落实责任，把脱贫任务明确到具体责任人，并保持稳定性，强化举措、确定时限、挂图作战，脱贫不脱钩。同时配合帮扶单位聚力攻坚，加强协作配合、帮助指导。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3.坚持乡村振兴工作，规划完善。继续坚持规划优先，把规划放在第一位，解决好“发展方向”的问题，把聚焦民生实事体现到全镇各村振兴战略规划和行动方案中来；排好时序，统筹安排好各项工作，发扬好“5+2、白加黑”的精神，进一步转变作风、压实责任，引领带动全镇各村振兴工作推进落实；集中力量解决规划中的具体问题，举一反三、以点带面、更好更快推进乡村振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4.推进民生工程。继续加大民生政策宣传、落实，将城乡医疗保险、农村居民养老保险扩面工作继续深入推进，加大涉农惠民资金监管力度、提高发放效率，让群众老有所养、医有所医，贫有所扶，灾有所助，不断提高群众幸福指数。继续抓好计生、民政、教育、卫生等工作，确保我镇的社会各项事业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5.抓好维稳工作不放松。继续抓好维稳工作，深入细致地了解、掌握各村动态，排查矛盾、纠纷，做好思想工作，化解纠纷，防止恶性群体事件，为群众创造一个和谐稳定的社会环境。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6.探索产业致富，争创“阿尔麦”文化品牌。积极探索致富路线，加大产业结构调整力度，逐步向高半山推进，促进农民增收。拓宽思路，发挥知木林文化、地理、民俗、历史等区位优势，探寻自身优势与多元化资源渠道相结合的原创型文旅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7.增强风险防范意识。抓好安全生产、护林防火工作，完善应急预案，落实防治责任，加大防灾和安全知识的宣传力度，坚决杜绝安全生产事故的发生。继续加强汛期减灾和地质灾害防治工作，进一步充实人员力量，在全镇范围内多次开展隐患排查、应急演练工作，并做好“两表一卡”的登记和发放，加大对监测人员的管理和培训力度，确保防汛工作持续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8.加强生态护林员管理，助推精准扶贫工作。对生态管护员进行“五个结合、七个岗位”的管理，将生态护林员队伍抓好、抓实、抓到位，坚决杜绝选聘人员只享受补助不履行义务现象，确保生态扶贫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9.进一步强化“软乡弱村”集中整顿工作。提升基层组织的凝聚力和向心力，切实提高我镇党员政治信念，争做一名合格党员；加强纪律教育，继续开展党风廉政相关规章制度的学习，坚持会前学纪，牢筑防腐防线；加强村级党组织建设，加强对村干部的管理，规范发展党员，严格执行“三务公开”、“三会一课”等制度，使各项工作能够有序地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10.认真完成上级交办的各项工作任务。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（三）人员概况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机构组成：黑水县知木林镇人民政府下属核算单位2个。</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2022年知木林镇总编制37名，其中：行政编制24名，工勤2人，事业编制11名。在职人员总数35人，其中：行政人员22人,工勤2人，事业单位11人。本单位本年度年末实有人数为35人，比上年增加-1人；年末实有离退休人数为0人，比上年增加-1人。年末实有其他人数为0人，比上年增加0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eastAsia="黑体" w:cs="黑体"/>
          <w:b/>
          <w:bCs/>
          <w:sz w:val="32"/>
          <w:szCs w:val="32"/>
        </w:rPr>
      </w:pPr>
      <w:r>
        <w:rPr>
          <w:rFonts w:hint="eastAsia" w:ascii="黑体" w:eastAsia="黑体" w:cs="黑体"/>
          <w:b/>
          <w:bCs/>
          <w:sz w:val="32"/>
          <w:szCs w:val="32"/>
        </w:rPr>
        <w:t>二、部门财政资金收支情况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（一）部门财政资金收入情况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1.收入与预算对比分析：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2022年年初预算安排收入857.37万元，本年实际收入4017.54万元，追加预算3160.17万元，差异率368.59%，差异主要原因：一是：本年工资增加及社会缴费增加，使人员经费增加；二是：上级拨入专项资金未纳入年初预算；三是：我镇2022年项目资金未纳入年初预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2.本年收入与上年收入的对比分析：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本年度实际收入4017.54万元，比上年度收入1853.22万元，增加2164.32万元，上升116.79%。原因：本年度增加了项目资金的投入、人员工资增加。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3.本年收入结构分析：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本年收入4017.54万元，其中财政拨款收入4017.54万元，占本年收入的100%。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(二)部门财政资金支出情况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eastAsia="仿宋" w:cs="仿宋"/>
          <w:sz w:val="32"/>
          <w:szCs w:val="32"/>
        </w:rPr>
      </w:pPr>
      <w:r>
        <w:rPr>
          <w:rFonts w:hint="eastAsia" w:ascii="仿宋_GB2312" w:eastAsia="仿宋_GB2312" w:cs="仿宋_GB2312"/>
          <w:b/>
          <w:bCs/>
          <w:color w:val="000000"/>
          <w:kern w:val="0"/>
          <w:sz w:val="32"/>
          <w:szCs w:val="32"/>
          <w:lang w:val="en-US" w:eastAsia="zh-CN" w:bidi="ar-SA"/>
        </w:rPr>
        <w:t>1.支出与预算对比分析：</w:t>
      </w:r>
      <w:r>
        <w:rPr>
          <w:rFonts w:hint="eastAsia" w:ascii="仿宋_GB2312" w:eastAsia="仿宋_GB2312" w:cs="仿宋_GB2312"/>
          <w:color w:val="000000"/>
          <w:kern w:val="0"/>
          <w:sz w:val="32"/>
          <w:szCs w:val="32"/>
          <w:lang w:val="en-US" w:eastAsia="zh-CN" w:bidi="ar-SA"/>
        </w:rPr>
        <w:t>本年预算支出857.37万元，本年决算数支出4017.54万元，本年实际支出比预算支出增加3160.17万元，差异率368.59%，差异主要原因：一是：工资增加及社会缴费增加，使人员经费增加；二是：上级拨入专项资金未纳入年初预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2.本年支出与上年支出的对比分析:</w:t>
      </w:r>
      <w:r>
        <w:rPr>
          <w:rFonts w:hint="eastAsia" w:ascii="仿宋_GB2312" w:eastAsia="仿宋_GB2312" w:cs="仿宋_GB2312"/>
          <w:color w:val="000000"/>
          <w:kern w:val="0"/>
          <w:sz w:val="32"/>
          <w:szCs w:val="32"/>
          <w:lang w:val="en-US" w:eastAsia="zh-CN" w:bidi="ar-SA"/>
        </w:rPr>
        <w:t>本年度实际支出4017.54万元，较上年度1853.22万元，增加2164.32万元，上升116.79%，差异主要原因：一是本年度实施项目数量增多，资金项目支出较上年上升；二是人员工资调整，人员经费增加。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3.本年支出结构分析:</w:t>
      </w:r>
      <w:r>
        <w:rPr>
          <w:rFonts w:hint="eastAsia" w:ascii="仿宋_GB2312" w:eastAsia="仿宋_GB2312" w:cs="仿宋_GB2312"/>
          <w:color w:val="000000"/>
          <w:kern w:val="0"/>
          <w:sz w:val="32"/>
          <w:szCs w:val="32"/>
          <w:lang w:val="en-US" w:eastAsia="zh-CN" w:bidi="ar-SA"/>
        </w:rPr>
        <w:t xml:space="preserve">本年支出4017.54万元，按资金来源分析：其中财政拨款支出4017.54万元，占本年总支出的100%，按支出性质分析：基本支出804.14万元，占本年总支出的20.01%，项目支出3213.40万元，占本年总支出79.99%。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eastAsia="黑体" w:cs="黑体"/>
          <w:b/>
          <w:bCs/>
          <w:sz w:val="32"/>
          <w:szCs w:val="32"/>
        </w:rPr>
      </w:pPr>
      <w:r>
        <w:rPr>
          <w:rFonts w:hint="eastAsia" w:ascii="黑体" w:eastAsia="黑体" w:cs="黑体"/>
          <w:b/>
          <w:bCs/>
          <w:sz w:val="32"/>
          <w:szCs w:val="32"/>
        </w:rPr>
        <w:t>三、部门整体预算绩效管理情况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color w:val="000000"/>
          <w:kern w:val="0"/>
          <w:sz w:val="32"/>
          <w:szCs w:val="32"/>
          <w:lang w:val="zh-CN" w:eastAsia="zh-CN" w:bidi="ar-SA"/>
        </w:rPr>
      </w:pPr>
      <w:r>
        <w:rPr>
          <w:rFonts w:hint="eastAsia" w:ascii="仿宋_GB2312" w:eastAsia="仿宋_GB2312" w:cs="仿宋_GB2312"/>
          <w:b/>
          <w:bCs/>
          <w:color w:val="000000"/>
          <w:kern w:val="0"/>
          <w:sz w:val="32"/>
          <w:szCs w:val="32"/>
          <w:lang w:val="zh-CN" w:eastAsia="zh-CN" w:bidi="ar-SA"/>
        </w:rPr>
        <w:t>（一）预算编制情况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2022年年初预算安排收入857.37万元,本年预算支出857.37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（二）执行管理情况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 xml:space="preserve">严格执行“厉行节约、反对浪费”的规定，严格控制“三公”经费支出，加强公务用车管理，努力降低燃修费用。2022年“三公”经费10.52万元，较上年12.10万元，减少1.58万元，减少13.06%。其中：公务用车运行维护费10.52万元，较上年减少1.58万元，形成的主要原因：厉行节俭。本年支出4017.54万元，按资金来源分析：其中财政拨款支出4017.54万元，占本年总支出的100%，按支出性质分析：基本支出804.14万元，占本年总支出的20.01%，项目支出3213.40万元，占本年总支出79.99%。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（三）综合管理情况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b/>
          <w:bCs/>
          <w:color w:val="000000"/>
          <w:kern w:val="0"/>
          <w:sz w:val="32"/>
          <w:szCs w:val="32"/>
          <w:lang w:val="en-US" w:eastAsia="zh-CN" w:bidi="ar-SA"/>
        </w:rPr>
      </w:pPr>
      <w:r>
        <w:rPr>
          <w:rFonts w:hint="eastAsia" w:ascii="仿宋_GB2312" w:eastAsia="仿宋_GB2312" w:cs="仿宋_GB2312"/>
          <w:b/>
          <w:bCs/>
          <w:color w:val="000000"/>
          <w:kern w:val="0"/>
          <w:sz w:val="32"/>
          <w:szCs w:val="32"/>
          <w:lang w:val="en-US" w:eastAsia="zh-CN" w:bidi="ar-SA"/>
        </w:rPr>
        <w:t>（四）整体绩效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预算支出在保障本单位工作运转、履行职能职责上整体情况良好。具体情况如下：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1.2022年度支出绩效较好，预算编制比较精确、合理;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2.为认真落实中央“八项”规定等厉行节约，反对浪费规定要求，压缩了部分培训费及一般性支出;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3.动态优化了年度预算安排，保障了在经费压缩情况下的高效运转;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4.各项目经费的支出有力保障了办公设备购置等项目所需，推动了改革和各类便民措施的实行;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5.提高了管理工作的规范化、信息化水平;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6.强化机关公用经费及日常运行经费管理，对于各科室日常公用经费按照相关政策进行管理，对于办公日常运行维护费用加强审核力度。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b w:val="0"/>
          <w:bCs w:val="0"/>
          <w:sz w:val="32"/>
          <w:szCs w:val="32"/>
        </w:rPr>
      </w:pPr>
      <w:r>
        <w:rPr>
          <w:rFonts w:hint="eastAsia" w:ascii="黑体" w:eastAsia="黑体" w:cs="黑体"/>
          <w:b w:val="0"/>
          <w:bCs w:val="0"/>
          <w:sz w:val="32"/>
          <w:szCs w:val="32"/>
        </w:rPr>
        <w:t>评价结论及建议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仿宋_GB2312" w:eastAsia="仿宋_GB2312" w:cs="仿宋_GB2312"/>
          <w:b/>
          <w:bCs/>
          <w:color w:val="000000"/>
          <w:sz w:val="32"/>
          <w:szCs w:val="32"/>
        </w:rPr>
      </w:pPr>
      <w:r>
        <w:rPr>
          <w:rFonts w:hint="eastAsia" w:ascii="仿宋_GB2312" w:eastAsia="仿宋_GB2312" w:cs="仿宋_GB2312"/>
          <w:b/>
          <w:bCs/>
          <w:color w:val="000000"/>
          <w:sz w:val="32"/>
          <w:szCs w:val="32"/>
        </w:rPr>
        <w:t>（一）评价结论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结合评价得分评价结果为</w:t>
      </w:r>
      <w:r>
        <w:rPr>
          <w:rFonts w:hint="eastAsia" w:ascii="仿宋_GB2312" w:eastAsia="仿宋_GB2312" w:cs="仿宋_GB2312"/>
          <w:color w:val="000000"/>
          <w:sz w:val="32"/>
          <w:szCs w:val="32"/>
          <w:lang w:val="en-US" w:eastAsia="zh-CN"/>
        </w:rPr>
        <w:t>优</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整体支出绩效自评分数9</w:t>
      </w:r>
      <w:r>
        <w:rPr>
          <w:rFonts w:ascii="仿宋_GB2312" w:eastAsia="仿宋_GB2312" w:cs="仿宋_GB2312"/>
          <w:color w:val="000000"/>
          <w:sz w:val="32"/>
          <w:szCs w:val="32"/>
          <w:lang w:val="en-US" w:eastAsia="zh-CN"/>
        </w:rPr>
        <w:t>7</w:t>
      </w:r>
      <w:r>
        <w:rPr>
          <w:rFonts w:hint="eastAsia" w:ascii="仿宋_GB2312" w:eastAsia="仿宋_GB2312" w:cs="仿宋_GB2312"/>
          <w:color w:val="000000"/>
          <w:sz w:val="32"/>
          <w:szCs w:val="32"/>
          <w:lang w:val="en-US" w:eastAsia="zh-CN"/>
        </w:rPr>
        <w:t>分</w:t>
      </w:r>
      <w:r>
        <w:rPr>
          <w:rFonts w:hint="eastAsia" w:ascii="仿宋_GB2312" w:eastAsia="仿宋_GB2312" w:cs="仿宋_GB2312"/>
          <w:color w:val="000000"/>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仿宋_GB2312" w:eastAsia="仿宋_GB2312" w:cs="仿宋_GB2312"/>
          <w:b/>
          <w:bCs/>
          <w:color w:val="000000"/>
          <w:sz w:val="32"/>
          <w:szCs w:val="32"/>
        </w:rPr>
      </w:pPr>
      <w:r>
        <w:rPr>
          <w:rFonts w:hint="eastAsia" w:ascii="仿宋_GB2312" w:eastAsia="仿宋_GB2312" w:cs="仿宋_GB2312"/>
          <w:b/>
          <w:bCs/>
          <w:color w:val="000000"/>
          <w:sz w:val="32"/>
          <w:szCs w:val="32"/>
        </w:rPr>
        <w:t>（二）存在问题</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s="仿宋_GB2312"/>
          <w:color w:val="000000"/>
          <w:sz w:val="32"/>
          <w:szCs w:val="32"/>
          <w:lang w:val="en-US" w:eastAsia="zh-CN"/>
        </w:rPr>
      </w:pPr>
      <w:r>
        <w:rPr>
          <w:rFonts w:hint="eastAsia" w:ascii="仿宋_GB2312" w:eastAsia="仿宋_GB2312" w:cs="仿宋_GB2312"/>
          <w:color w:val="000000"/>
          <w:sz w:val="32"/>
          <w:szCs w:val="32"/>
        </w:rPr>
        <w:t>从绩效评价看，部门支出预算和绩效评价工作</w:t>
      </w:r>
      <w:r>
        <w:rPr>
          <w:rFonts w:hint="eastAsia" w:ascii="仿宋_GB2312" w:eastAsia="仿宋_GB2312" w:cs="仿宋_GB2312"/>
          <w:color w:val="000000"/>
          <w:sz w:val="32"/>
          <w:szCs w:val="32"/>
          <w:lang w:val="en-US" w:eastAsia="zh-CN"/>
        </w:rPr>
        <w:t xml:space="preserve">总体效果较好，但还存在一定差距：一是部门年初绩效目标编制质量不高，与年末决算数差距较大；二是部门预算项目预算执行进度在2022年6、9月实际支出进度未达标。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仿宋_GB2312" w:eastAsia="仿宋_GB2312" w:cs="仿宋_GB2312"/>
          <w:b/>
          <w:bCs/>
          <w:color w:val="000000"/>
          <w:sz w:val="32"/>
          <w:szCs w:val="32"/>
        </w:rPr>
      </w:pPr>
      <w:r>
        <w:rPr>
          <w:rFonts w:hint="eastAsia" w:ascii="仿宋_GB2312" w:eastAsia="仿宋_GB2312" w:cs="仿宋_GB2312"/>
          <w:b/>
          <w:bCs/>
          <w:color w:val="000000"/>
          <w:sz w:val="32"/>
          <w:szCs w:val="32"/>
        </w:rPr>
        <w:t>（三）改进建议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我们将进一步重视预算的编制工作，提高预算编制的精确度，提高财政资金使用效率，依据预设的寄小数量、质量指标全面衡量预算实施效果，既重 “绩”，更重“效”</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坚决确保如期全面高质量完成知木林镇部门财政支出绩效评价的工作任务。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仿宋_GB2312" w:eastAsia="仿宋_GB2312" w:cs="仿宋_GB2312"/>
          <w:color w:val="000000"/>
          <w:sz w:val="32"/>
          <w:szCs w:val="32"/>
        </w:rPr>
      </w:pPr>
      <w:r>
        <w:rPr>
          <w:rFonts w:hint="eastAsia" w:ascii="仿宋_GB2312" w:eastAsia="仿宋_GB2312" w:cs="仿宋_GB2312"/>
          <w:b/>
          <w:bCs/>
          <w:color w:val="000000"/>
          <w:sz w:val="32"/>
          <w:szCs w:val="32"/>
        </w:rPr>
        <w:t>一是</w:t>
      </w:r>
      <w:r>
        <w:rPr>
          <w:rFonts w:hint="eastAsia" w:ascii="仿宋_GB2312" w:eastAsia="仿宋_GB2312" w:cs="仿宋_GB2312"/>
          <w:color w:val="000000"/>
          <w:sz w:val="32"/>
          <w:szCs w:val="32"/>
        </w:rPr>
        <w:t>加强组织领导。我镇将进一步落实县项目推进专班工作要求和“五个一”主体责任机制、“五定五保”项目保障机制，落实专人、专责加快推进项目施工进场，同时合理预测安排项目资金，做到专款专用。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仿宋_GB2312" w:eastAsia="仿宋_GB2312" w:cs="仿宋_GB2312"/>
          <w:color w:val="000000"/>
          <w:sz w:val="32"/>
          <w:szCs w:val="32"/>
        </w:rPr>
      </w:pPr>
      <w:r>
        <w:rPr>
          <w:rFonts w:hint="eastAsia" w:ascii="仿宋_GB2312" w:eastAsia="仿宋_GB2312" w:cs="仿宋_GB2312"/>
          <w:b/>
          <w:bCs/>
          <w:color w:val="000000"/>
          <w:sz w:val="32"/>
          <w:szCs w:val="32"/>
        </w:rPr>
        <w:t>二是</w:t>
      </w:r>
      <w:r>
        <w:rPr>
          <w:rFonts w:hint="eastAsia" w:ascii="仿宋_GB2312" w:eastAsia="仿宋_GB2312" w:cs="仿宋_GB2312"/>
          <w:color w:val="000000"/>
          <w:sz w:val="32"/>
          <w:szCs w:val="32"/>
        </w:rPr>
        <w:t>加快项目实施。牢牢锁定项目建设“抢抓工期”的要求，咬定目标任务不放松，顺排工序、倒排工期，挂图作战，逗硬落实，确保项目按期完工。同时，做好施工措施及办法，坚持“5+2”、“白+黑”，争取最大施工期限，力争在年底完成本年度项目所有建设并报完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仿宋_GB2312" w:eastAsia="仿宋_GB2312" w:cs="仿宋_GB2312"/>
          <w:color w:val="000000"/>
          <w:sz w:val="32"/>
          <w:szCs w:val="32"/>
        </w:rPr>
      </w:pPr>
      <w:r>
        <w:rPr>
          <w:rFonts w:hint="eastAsia" w:ascii="仿宋_GB2312" w:eastAsia="仿宋_GB2312" w:cs="仿宋_GB2312"/>
          <w:b/>
          <w:bCs/>
          <w:color w:val="000000"/>
          <w:sz w:val="32"/>
          <w:szCs w:val="32"/>
        </w:rPr>
        <w:t>三是</w:t>
      </w:r>
      <w:r>
        <w:rPr>
          <w:rFonts w:hint="eastAsia" w:ascii="仿宋_GB2312" w:eastAsia="仿宋_GB2312" w:cs="仿宋_GB2312"/>
          <w:color w:val="000000"/>
          <w:sz w:val="32"/>
          <w:szCs w:val="32"/>
        </w:rPr>
        <w:t>加大服务力度。高度重视，深刻反思，全面梳理和找准项目建设中存在的问题，形成清单，明确时限，划分单元，加大服务力度，一个一个研究，一项一项解决。</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仿宋_GB2312" w:eastAsia="仿宋_GB2312" w:cs="仿宋_GB2312"/>
          <w:color w:val="000000"/>
          <w:sz w:val="32"/>
          <w:szCs w:val="32"/>
        </w:rPr>
      </w:pPr>
      <w:r>
        <w:rPr>
          <w:rFonts w:hint="eastAsia" w:ascii="仿宋_GB2312" w:eastAsia="仿宋_GB2312" w:cs="仿宋_GB2312"/>
          <w:b/>
          <w:bCs/>
          <w:color w:val="000000"/>
          <w:sz w:val="32"/>
          <w:szCs w:val="32"/>
        </w:rPr>
        <w:t>四是</w:t>
      </w:r>
      <w:r>
        <w:rPr>
          <w:rFonts w:hint="eastAsia" w:ascii="仿宋_GB2312" w:eastAsia="仿宋_GB2312" w:cs="仿宋_GB2312"/>
          <w:color w:val="000000"/>
          <w:sz w:val="32"/>
          <w:szCs w:val="32"/>
        </w:rPr>
        <w:t>完善预算支出责任制度。将责任落实到岗，将任务落实到人，按照年初预算分解严格支出，定期定时推进落实资金进度，确保同资金分管负责人形成有效沟通。并将上年预算执行进度情况作为下一年预算编制的重要参考依据，确保预算编制执行的准确率误差在10%以内。</w:t>
      </w:r>
    </w:p>
    <w:p>
      <w:pPr>
        <w:keepNext w:val="0"/>
        <w:keepLines w:val="0"/>
        <w:pageBreakBefore w:val="0"/>
        <w:widowControl w:val="0"/>
        <w:kinsoku/>
        <w:wordWrap/>
        <w:overflowPunct/>
        <w:topLinePunct w:val="0"/>
        <w:autoSpaceDE/>
        <w:autoSpaceDN/>
        <w:bidi w:val="0"/>
        <w:adjustRightInd/>
        <w:snapToGrid/>
        <w:spacing w:line="500" w:lineRule="exact"/>
        <w:ind w:left="0" w:firstLine="0"/>
        <w:jc w:val="right"/>
        <w:textAlignment w:val="auto"/>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5"/>
                          </w:pPr>
                          <w:r>
                            <w:rPr>
                              <w:rFonts w:hint="eastAsia" w:ascii="仿宋_GB2312" w:eastAsia="仿宋_GB2312" w:cs="仿宋_GB2312"/>
                              <w:sz w:val="28"/>
                              <w:szCs w:val="28"/>
                            </w:rPr>
                            <w:fldChar w:fldCharType="begin"/>
                          </w:r>
                          <w:r>
                            <w:rPr>
                              <w:rFonts w:hint="eastAsia" w:ascii="仿宋_GB2312" w:eastAsia="仿宋_GB2312" w:cs="仿宋_GB2312"/>
                              <w:sz w:val="28"/>
                              <w:szCs w:val="28"/>
                            </w:rPr>
                            <w:instrText xml:space="preserve"> PAGE  \* MERGEFORMAT </w:instrText>
                          </w:r>
                          <w:r>
                            <w:rPr>
                              <w:rFonts w:hint="eastAsia" w:ascii="仿宋_GB2312" w:eastAsia="仿宋_GB2312" w:cs="仿宋_GB2312"/>
                              <w:sz w:val="28"/>
                              <w:szCs w:val="28"/>
                            </w:rPr>
                            <w:fldChar w:fldCharType="separate"/>
                          </w:r>
                          <w:r>
                            <w:rPr>
                              <w:rFonts w:hint="eastAsia" w:ascii="仿宋_GB2312" w:eastAsia="仿宋_GB2312" w:cs="仿宋_GB2312"/>
                              <w:sz w:val="28"/>
                              <w:szCs w:val="28"/>
                            </w:rPr>
                            <w:t>1</w:t>
                          </w:r>
                          <w:r>
                            <w:rPr>
                              <w:rFonts w:hint="eastAsia" w:asci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Mql5b4DAgAA9AMAAA4A&#10;AAAAAAAAAQAgAAAAOwEAAGRycy9lMm9Eb2MueG1sUEsBAhQAFAAAAAgAh07iQM9ueqfWAAAAAwEA&#10;AA8AAAAAAAAAAQAgAAAAOAAAAGRycy9kb3ducmV2LnhtbFBLBQYAAAAABgAGAFkBAACwBQAAAAA=&#10;">
              <v:fill on="f" focussize="0,0"/>
              <v:stroke on="f" weight="0.5pt" joinstyle="round"/>
              <v:imagedata o:title=""/>
              <o:lock v:ext="edit" aspectratio="f"/>
              <v:textbox inset="0mm,0mm,0mm,0mm" style="mso-fit-shape-to-text:t;">
                <w:txbxContent>
                  <w:p>
                    <w:pPr>
                      <w:pStyle w:val="5"/>
                    </w:pPr>
                    <w:r>
                      <w:rPr>
                        <w:rFonts w:hint="eastAsia" w:ascii="仿宋_GB2312" w:eastAsia="仿宋_GB2312" w:cs="仿宋_GB2312"/>
                        <w:sz w:val="28"/>
                        <w:szCs w:val="28"/>
                      </w:rPr>
                      <w:fldChar w:fldCharType="begin"/>
                    </w:r>
                    <w:r>
                      <w:rPr>
                        <w:rFonts w:hint="eastAsia" w:ascii="仿宋_GB2312" w:eastAsia="仿宋_GB2312" w:cs="仿宋_GB2312"/>
                        <w:sz w:val="28"/>
                        <w:szCs w:val="28"/>
                      </w:rPr>
                      <w:instrText xml:space="preserve"> PAGE  \* MERGEFORMAT </w:instrText>
                    </w:r>
                    <w:r>
                      <w:rPr>
                        <w:rFonts w:hint="eastAsia" w:ascii="仿宋_GB2312" w:eastAsia="仿宋_GB2312" w:cs="仿宋_GB2312"/>
                        <w:sz w:val="28"/>
                        <w:szCs w:val="28"/>
                      </w:rPr>
                      <w:fldChar w:fldCharType="separate"/>
                    </w:r>
                    <w:r>
                      <w:rPr>
                        <w:rFonts w:hint="eastAsia" w:ascii="仿宋_GB2312" w:eastAsia="仿宋_GB2312" w:cs="仿宋_GB2312"/>
                        <w:sz w:val="28"/>
                        <w:szCs w:val="28"/>
                      </w:rPr>
                      <w:t>1</w:t>
                    </w:r>
                    <w:r>
                      <w:rPr>
                        <w:rFonts w:hint="eastAsia" w:ascii="仿宋_GB2312" w:eastAsia="仿宋_GB2312" w:cs="仿宋_GB2312"/>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DEAB1"/>
    <w:multiLevelType w:val="singleLevel"/>
    <w:tmpl w:val="836DEAB1"/>
    <w:lvl w:ilvl="0" w:tentative="0">
      <w:start w:val="1"/>
      <w:numFmt w:val="chineseCounting"/>
      <w:suff w:val="nothing"/>
      <w:lvlText w:val="%1、"/>
      <w:lvlJc w:val="left"/>
      <w:pPr>
        <w:tabs>
          <w:tab w:val="left" w:pos="0"/>
        </w:tabs>
        <w:ind w:left="0" w:firstLine="0"/>
      </w:pPr>
      <w:rPr>
        <w:rFonts w:hint="eastAsia"/>
      </w:rPr>
    </w:lvl>
  </w:abstractNum>
  <w:abstractNum w:abstractNumId="1">
    <w:nsid w:val="4B228873"/>
    <w:multiLevelType w:val="singleLevel"/>
    <w:tmpl w:val="4B228873"/>
    <w:lvl w:ilvl="0" w:tentative="0">
      <w:start w:val="4"/>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GRiNzg0YjNjZmE0MzAwYzNjYjZhZWI1NDczMmE2MTcifQ=="/>
  </w:docVars>
  <w:rsids>
    <w:rsidRoot w:val="00000000"/>
    <w:rsid w:val="2BD22757"/>
    <w:rsid w:val="3F7FECC2"/>
    <w:rsid w:val="5FA241B9"/>
    <w:rsid w:val="76BD6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4410</Words>
  <Characters>4717</Characters>
  <Lines>219</Lines>
  <Paragraphs>69</Paragraphs>
  <TotalTime>2</TotalTime>
  <ScaleCrop>false</ScaleCrop>
  <LinksUpToDate>false</LinksUpToDate>
  <CharactersWithSpaces>4760</CharactersWithSpaces>
  <Application>WPS Office_11.8.2.1120_F1E327BC-269C-435d-A152-05C5408002CA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2023-07-18T09:45:00Z</dcterms:created>
  <dc:creator>WPS_25599728</dc:creator>
  <cp:lastModifiedBy>user</cp:lastModifiedBy>
  <dcterms:modified xsi:type="dcterms:W3CDTF">2023-09-25T16:26:00Z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6F88133A390D4816A3DA37D8E4468088_13</vt:lpwstr>
  </property>
</Properties>
</file>