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rPr>
      </w:pPr>
      <w:bookmarkStart w:id="0" w:name="_Toc15396616"/>
      <w:r>
        <w:rPr>
          <w:rFonts w:hint="eastAsia" w:ascii="仿宋_GB2312" w:hAnsi="黑体" w:eastAsia="仿宋_GB2312" w:cs="方正小标宋简体"/>
          <w:b/>
          <w:sz w:val="44"/>
          <w:szCs w:val="44"/>
          <w:lang w:eastAsia="zh-CN"/>
        </w:rPr>
        <w:t>黑水县慈坝乡人民政府</w:t>
      </w: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21</w:t>
      </w:r>
      <w:r>
        <w:rPr>
          <w:rFonts w:hint="eastAsia" w:ascii="仿宋_GB2312" w:hAnsi="黑体" w:eastAsia="仿宋_GB2312" w:cs="方正小标宋简体"/>
          <w:b/>
          <w:sz w:val="44"/>
          <w:szCs w:val="44"/>
        </w:rPr>
        <w:t>年部门</w:t>
      </w:r>
    </w:p>
    <w:p>
      <w:pPr>
        <w:spacing w:line="600" w:lineRule="exact"/>
        <w:jc w:val="center"/>
        <w:outlineLvl w:val="0"/>
        <w:rPr>
          <w:rFonts w:hint="eastAsia" w:ascii="仿宋_GB2312" w:hAnsi="黑体" w:eastAsia="仿宋_GB2312" w:cs="方正小标宋简体"/>
          <w:b/>
          <w:sz w:val="44"/>
          <w:szCs w:val="44"/>
        </w:rPr>
      </w:pPr>
      <w:r>
        <w:rPr>
          <w:rFonts w:hint="eastAsia" w:ascii="仿宋_GB2312" w:hAnsi="黑体" w:eastAsia="仿宋_GB2312" w:cs="方正小标宋简体"/>
          <w:b/>
          <w:sz w:val="44"/>
          <w:szCs w:val="44"/>
        </w:rPr>
        <w:t>整体支出绩效评价报告</w:t>
      </w:r>
      <w:bookmarkEnd w:id="0"/>
    </w:p>
    <w:p>
      <w:pPr>
        <w:pStyle w:val="4"/>
      </w:pPr>
    </w:p>
    <w:p>
      <w:pPr>
        <w:spacing w:line="580" w:lineRule="exact"/>
        <w:ind w:firstLine="723" w:firstLineChars="200"/>
        <w:rPr>
          <w:rFonts w:ascii="仿宋_GB2312" w:hAnsi="黑体" w:eastAsia="仿宋_GB2312" w:cs="黑体"/>
          <w:b/>
          <w:bCs/>
          <w:sz w:val="36"/>
          <w:szCs w:val="36"/>
        </w:rPr>
      </w:pPr>
      <w:r>
        <w:rPr>
          <w:rFonts w:hint="eastAsia" w:ascii="仿宋_GB2312" w:hAnsi="黑体" w:eastAsia="仿宋_GB2312" w:cs="黑体"/>
          <w:b/>
          <w:bCs/>
          <w:sz w:val="36"/>
          <w:szCs w:val="36"/>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慈坝</w:t>
      </w:r>
      <w:r>
        <w:rPr>
          <w:rFonts w:hint="eastAsia" w:ascii="仿宋_GB2312" w:hAnsi="仿宋" w:eastAsia="仿宋_GB2312" w:cs="仿宋_GB2312"/>
          <w:sz w:val="32"/>
          <w:szCs w:val="32"/>
        </w:rPr>
        <w:t>乡属于乡财县管的乡镇，全乡共辖</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个行政村。</w:t>
      </w:r>
      <w:r>
        <w:rPr>
          <w:rFonts w:hint="eastAsia" w:ascii="仿宋_GB2312" w:hAnsi="仿宋" w:eastAsia="仿宋_GB2312" w:cs="仿宋_GB2312"/>
          <w:sz w:val="32"/>
          <w:szCs w:val="32"/>
          <w:lang w:eastAsia="zh-CN"/>
        </w:rPr>
        <w:t>慈坝</w:t>
      </w:r>
      <w:r>
        <w:rPr>
          <w:rFonts w:hint="eastAsia" w:ascii="仿宋_GB2312" w:hAnsi="仿宋" w:eastAsia="仿宋_GB2312" w:cs="仿宋_GB2312"/>
          <w:sz w:val="32"/>
          <w:szCs w:val="32"/>
        </w:rPr>
        <w:t>乡下设股级行政机构6个：党政办公室、党建综合办公室、社会事务和应急管理办公室、维护稳定和基层治理办公室、经济发展和乡村振兴办公室、生态环境和城镇管理办公室。下设事业机构4个：便民服务中心、农业农村和经济发展服务中心、社会事务服务中心、文化和旅游服务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慈坝</w:t>
      </w:r>
      <w:r>
        <w:rPr>
          <w:rFonts w:hint="eastAsia" w:ascii="仿宋_GB2312" w:hAnsi="仿宋" w:eastAsia="仿宋_GB2312" w:cs="仿宋_GB2312"/>
          <w:sz w:val="32"/>
          <w:szCs w:val="32"/>
        </w:rPr>
        <w:t>乡人民政府是基层国家行政机关，行使本行政区域的政府行政职能，根据有关文件规定，主要职责是：宣传和贯彻执行上级各部门及本乡的各项政策、法规、决议等；讨论决定全乡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及计划生育，环境、国土等管理工作。</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widowControl/>
        <w:adjustRightInd w:val="0"/>
        <w:snapToGrid w:val="0"/>
        <w:spacing w:line="540" w:lineRule="exact"/>
        <w:ind w:firstLine="720"/>
        <w:jc w:val="left"/>
        <w:rPr>
          <w:rFonts w:hint="eastAsia" w:ascii="仿宋_GB2312" w:hAnsi="仿宋" w:eastAsia="仿宋_GB2312" w:cs="仿宋_GB2312"/>
          <w:sz w:val="32"/>
          <w:szCs w:val="32"/>
        </w:rPr>
      </w:pPr>
      <w:r>
        <w:rPr>
          <w:rFonts w:hint="eastAsia" w:ascii="仿宋" w:hAnsi="仿宋" w:eastAsia="仿宋" w:cs="仿宋"/>
          <w:color w:val="333333"/>
          <w:kern w:val="0"/>
          <w:sz w:val="32"/>
          <w:szCs w:val="32"/>
          <w:lang w:bidi="ar"/>
        </w:rPr>
        <w:t>慈坝乡总编制29名，其中：行政编制18名，事业编制9名，工勤2名。在职人员总数32人，其中：政府14人,人大1人，党委2人，纪委2人，事业单位10人，行政工勤人员3人。</w:t>
      </w:r>
    </w:p>
    <w:p>
      <w:pPr>
        <w:spacing w:line="580" w:lineRule="exact"/>
        <w:ind w:firstLine="723" w:firstLineChars="200"/>
        <w:rPr>
          <w:rFonts w:ascii="仿宋_GB2312" w:hAnsi="黑体" w:eastAsia="仿宋_GB2312" w:cs="黑体"/>
          <w:b/>
          <w:bCs/>
          <w:sz w:val="36"/>
          <w:szCs w:val="36"/>
        </w:rPr>
      </w:pPr>
      <w:r>
        <w:rPr>
          <w:rFonts w:hint="eastAsia" w:ascii="仿宋_GB2312" w:hAnsi="黑体" w:eastAsia="仿宋_GB2312" w:cs="黑体"/>
          <w:b/>
          <w:bCs/>
          <w:sz w:val="36"/>
          <w:szCs w:val="36"/>
        </w:rPr>
        <w:t>二、部门财政资金收支情况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年总收入</w:t>
      </w:r>
      <w:r>
        <w:rPr>
          <w:rFonts w:hint="eastAsia" w:ascii="仿宋" w:hAnsi="仿宋" w:eastAsia="仿宋" w:cs="仿宋"/>
          <w:color w:val="333333"/>
          <w:kern w:val="0"/>
          <w:sz w:val="32"/>
          <w:szCs w:val="32"/>
          <w:lang w:val="en-US" w:eastAsia="zh-CN" w:bidi="ar"/>
        </w:rPr>
        <w:t>714.38</w:t>
      </w:r>
      <w:r>
        <w:rPr>
          <w:rFonts w:hint="eastAsia" w:ascii="仿宋_GB2312" w:hAnsi="仿宋" w:eastAsia="仿宋_GB2312" w:cs="仿宋_GB2312"/>
          <w:sz w:val="32"/>
          <w:szCs w:val="32"/>
        </w:rPr>
        <w:t>万元，其中：财政拨款收入</w:t>
      </w:r>
      <w:r>
        <w:rPr>
          <w:rFonts w:hint="eastAsia" w:eastAsia="仿宋"/>
          <w:sz w:val="32"/>
          <w:szCs w:val="32"/>
          <w:shd w:val="clear" w:color="auto" w:fill="FFFFFF"/>
          <w:lang w:val="en-US" w:eastAsia="zh-CN"/>
        </w:rPr>
        <w:t>714.38</w:t>
      </w:r>
      <w:r>
        <w:rPr>
          <w:rFonts w:hint="eastAsia" w:ascii="仿宋_GB2312" w:hAnsi="仿宋" w:eastAsia="仿宋_GB2312" w:cs="仿宋_GB2312"/>
          <w:sz w:val="32"/>
          <w:szCs w:val="32"/>
        </w:rPr>
        <w:t>万元，占总收入100%。政府性基金预算财政拨款收入0万元。</w:t>
      </w:r>
      <w:r>
        <w:rPr>
          <w:rFonts w:hint="eastAsia" w:ascii="仿宋_GB2312" w:hAnsi="仿宋"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年总支出</w:t>
      </w:r>
      <w:r>
        <w:rPr>
          <w:rFonts w:hint="eastAsia" w:eastAsia="仿宋"/>
          <w:sz w:val="32"/>
          <w:szCs w:val="32"/>
          <w:shd w:val="clear" w:color="auto" w:fill="FFFFFF"/>
          <w:lang w:val="en-US" w:eastAsia="zh-CN"/>
        </w:rPr>
        <w:t>714.38</w:t>
      </w:r>
      <w:r>
        <w:rPr>
          <w:rFonts w:hint="eastAsia" w:ascii="仿宋_GB2312" w:hAnsi="仿宋" w:eastAsia="仿宋_GB2312" w:cs="仿宋_GB2312"/>
          <w:sz w:val="32"/>
          <w:szCs w:val="32"/>
        </w:rPr>
        <w:t>万元。其中：工资福利支出</w:t>
      </w:r>
      <w:r>
        <w:rPr>
          <w:rFonts w:hint="eastAsia" w:ascii="仿宋_GB2312" w:hAnsi="仿宋" w:eastAsia="仿宋_GB2312" w:cs="仿宋_GB2312"/>
          <w:sz w:val="32"/>
          <w:szCs w:val="32"/>
          <w:lang w:val="en-US" w:eastAsia="zh-CN"/>
        </w:rPr>
        <w:t>551.41</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77.18</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83.20</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11.64</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55.29</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7.73</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24.47</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3.420</w:t>
      </w:r>
      <w:r>
        <w:rPr>
          <w:rFonts w:hint="eastAsia" w:ascii="仿宋_GB2312" w:hAnsi="仿宋" w:eastAsia="仿宋_GB2312" w:cs="仿宋_GB2312"/>
          <w:sz w:val="32"/>
          <w:szCs w:val="32"/>
        </w:rPr>
        <w:t>%。其中一般公共服务支出</w:t>
      </w:r>
      <w:r>
        <w:rPr>
          <w:rFonts w:hint="eastAsia" w:ascii="仿宋_GB2312" w:hAnsi="仿宋" w:eastAsia="仿宋_GB2312" w:cs="仿宋_GB2312"/>
          <w:sz w:val="32"/>
          <w:szCs w:val="32"/>
          <w:lang w:val="en-US" w:eastAsia="zh-CN"/>
        </w:rPr>
        <w:t>393.75</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55.11</w:t>
      </w:r>
      <w:r>
        <w:rPr>
          <w:rFonts w:hint="eastAsia" w:ascii="仿宋_GB2312" w:hAnsi="仿宋" w:eastAsia="仿宋_GB2312" w:cs="仿宋_GB2312"/>
          <w:sz w:val="32"/>
          <w:szCs w:val="32"/>
        </w:rPr>
        <w:t>%；社会保障和就业支出</w:t>
      </w:r>
      <w:r>
        <w:rPr>
          <w:rFonts w:hint="eastAsia" w:ascii="仿宋_GB2312" w:hAnsi="仿宋" w:eastAsia="仿宋_GB2312" w:cs="仿宋_GB2312"/>
          <w:sz w:val="32"/>
          <w:szCs w:val="32"/>
          <w:lang w:val="en-US" w:eastAsia="zh-CN"/>
        </w:rPr>
        <w:t>57.13</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7.99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卫生健康</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26.24</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3.67</w:t>
      </w:r>
      <w:r>
        <w:rPr>
          <w:rFonts w:hint="eastAsia" w:ascii="仿宋_GB2312" w:hAnsi="仿宋" w:eastAsia="仿宋_GB2312" w:cs="仿宋_GB2312"/>
          <w:sz w:val="32"/>
          <w:szCs w:val="32"/>
        </w:rPr>
        <w:t>%、农林水支出</w:t>
      </w:r>
      <w:r>
        <w:rPr>
          <w:rFonts w:hint="eastAsia" w:ascii="仿宋_GB2312" w:hAnsi="仿宋" w:eastAsia="仿宋_GB2312" w:cs="仿宋_GB2312"/>
          <w:sz w:val="32"/>
          <w:szCs w:val="32"/>
          <w:lang w:val="en-US" w:eastAsia="zh-CN"/>
        </w:rPr>
        <w:t>186.32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26.08</w:t>
      </w:r>
      <w:r>
        <w:rPr>
          <w:rFonts w:hint="eastAsia" w:ascii="仿宋_GB2312" w:hAnsi="仿宋" w:eastAsia="仿宋_GB2312" w:cs="仿宋_GB2312"/>
          <w:sz w:val="32"/>
          <w:szCs w:val="32"/>
        </w:rPr>
        <w:t>%、住房保障支出</w:t>
      </w:r>
      <w:r>
        <w:rPr>
          <w:rFonts w:hint="eastAsia" w:ascii="仿宋_GB2312" w:hAnsi="仿宋" w:eastAsia="仿宋_GB2312" w:cs="仿宋_GB2312"/>
          <w:sz w:val="32"/>
          <w:szCs w:val="32"/>
          <w:lang w:val="en-US" w:eastAsia="zh-CN"/>
        </w:rPr>
        <w:t>43.90</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14</w:t>
      </w:r>
      <w:r>
        <w:rPr>
          <w:rFonts w:hint="eastAsia" w:ascii="仿宋_GB2312" w:hAnsi="仿宋" w:eastAsia="仿宋_GB2312" w:cs="仿宋_GB2312"/>
          <w:sz w:val="32"/>
          <w:szCs w:val="32"/>
        </w:rPr>
        <w:t>%。灾害防治及应急管理支出</w:t>
      </w:r>
      <w:r>
        <w:rPr>
          <w:rFonts w:hint="eastAsia" w:ascii="仿宋_GB2312" w:hAnsi="仿宋" w:eastAsia="仿宋_GB2312" w:cs="仿宋_GB2312"/>
          <w:sz w:val="32"/>
          <w:szCs w:val="32"/>
          <w:lang w:val="en-US" w:eastAsia="zh-CN"/>
        </w:rPr>
        <w:t>1.9万元，</w:t>
      </w:r>
      <w:r>
        <w:rPr>
          <w:rFonts w:hint="eastAsia" w:ascii="仿宋_GB2312" w:hAnsi="仿宋" w:eastAsia="仿宋_GB2312" w:cs="仿宋_GB2312"/>
          <w:sz w:val="32"/>
          <w:szCs w:val="32"/>
        </w:rPr>
        <w:t>占</w:t>
      </w:r>
      <w:r>
        <w:rPr>
          <w:rFonts w:hint="eastAsia" w:ascii="仿宋_GB2312" w:hAnsi="仿宋" w:eastAsia="仿宋_GB2312" w:cs="仿宋_GB2312"/>
          <w:sz w:val="32"/>
          <w:szCs w:val="32"/>
          <w:lang w:val="en-US" w:eastAsia="zh-CN"/>
        </w:rPr>
        <w:t>0.03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。教育支出</w:t>
      </w:r>
      <w:r>
        <w:rPr>
          <w:rFonts w:hint="eastAsia" w:ascii="仿宋_GB2312" w:hAnsi="仿宋" w:eastAsia="仿宋_GB2312" w:cs="仿宋_GB2312"/>
          <w:sz w:val="32"/>
          <w:szCs w:val="32"/>
          <w:lang w:val="en-US" w:eastAsia="zh-CN"/>
        </w:rPr>
        <w:t>5万元，</w:t>
      </w:r>
      <w:r>
        <w:rPr>
          <w:rFonts w:hint="eastAsia" w:ascii="仿宋_GB2312" w:hAnsi="仿宋" w:eastAsia="仿宋_GB2312" w:cs="仿宋_GB2312"/>
          <w:sz w:val="32"/>
          <w:szCs w:val="32"/>
        </w:rPr>
        <w:t>占</w:t>
      </w:r>
      <w:r>
        <w:rPr>
          <w:rFonts w:hint="eastAsia" w:ascii="仿宋_GB2312" w:hAnsi="仿宋" w:eastAsia="仿宋_GB2312" w:cs="仿宋_GB2312"/>
          <w:sz w:val="32"/>
          <w:szCs w:val="32"/>
          <w:lang w:val="en-US" w:eastAsia="zh-CN"/>
        </w:rPr>
        <w:t>0.07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bookmarkStart w:id="1" w:name="_GoBack"/>
      <w:bookmarkEnd w:id="1"/>
    </w:p>
    <w:p>
      <w:pPr>
        <w:numPr>
          <w:ilvl w:val="0"/>
          <w:numId w:val="2"/>
        </w:numPr>
        <w:spacing w:line="580" w:lineRule="exact"/>
        <w:ind w:firstLine="723" w:firstLineChars="200"/>
        <w:rPr>
          <w:rFonts w:hint="eastAsia" w:ascii="仿宋_GB2312" w:hAnsi="仿宋" w:eastAsia="仿宋_GB2312" w:cs="仿宋_GB2312"/>
          <w:sz w:val="32"/>
          <w:szCs w:val="32"/>
        </w:rPr>
      </w:pPr>
      <w:r>
        <w:rPr>
          <w:rFonts w:hint="eastAsia" w:ascii="仿宋_GB2312" w:hAnsi="黑体" w:eastAsia="仿宋_GB2312" w:cs="黑体"/>
          <w:b/>
          <w:bCs/>
          <w:sz w:val="36"/>
          <w:szCs w:val="36"/>
        </w:rPr>
        <w:t>部门整体预算绩效管理情况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pStyle w:val="4"/>
        <w:ind w:firstLine="600" w:firstLineChars="200"/>
      </w:pPr>
      <w:r>
        <w:rPr>
          <w:rFonts w:hint="eastAsia"/>
          <w:lang w:val="zh-CN"/>
        </w:rPr>
        <w:t>我乡严格按照</w:t>
      </w:r>
      <w:r>
        <w:rPr>
          <w:rFonts w:hint="eastAsia"/>
        </w:rPr>
        <w:t>县财政局“人员经费按标准，公用经费按定额”的预算原则，根据县财政局关于做好202</w:t>
      </w:r>
      <w:r>
        <w:rPr>
          <w:rFonts w:hint="eastAsia"/>
          <w:lang w:val="en-US" w:eastAsia="zh-CN"/>
        </w:rPr>
        <w:t>1</w:t>
      </w:r>
      <w:r>
        <w:rPr>
          <w:rFonts w:hint="eastAsia"/>
        </w:rPr>
        <w:t>年财务工作预算的通知要求，客观真实编制了202</w:t>
      </w:r>
      <w:r>
        <w:rPr>
          <w:rFonts w:hint="eastAsia"/>
          <w:lang w:val="en-US" w:eastAsia="zh-CN"/>
        </w:rPr>
        <w:t>1</w:t>
      </w:r>
      <w:r>
        <w:rPr>
          <w:rFonts w:hint="eastAsia"/>
        </w:rPr>
        <w:t>年部门预算，202</w:t>
      </w:r>
      <w:r>
        <w:rPr>
          <w:rFonts w:hint="eastAsia"/>
          <w:lang w:val="en-US" w:eastAsia="zh-CN"/>
        </w:rPr>
        <w:t>1</w:t>
      </w:r>
      <w:r>
        <w:rPr>
          <w:rFonts w:hint="eastAsia"/>
        </w:rPr>
        <w:t>年财政资金总支出为支出</w:t>
      </w:r>
      <w:r>
        <w:rPr>
          <w:rFonts w:hint="eastAsia" w:eastAsia="仿宋"/>
          <w:sz w:val="32"/>
          <w:szCs w:val="32"/>
          <w:shd w:val="clear" w:color="auto" w:fill="FFFFFF"/>
          <w:lang w:val="en-US" w:eastAsia="zh-CN"/>
        </w:rPr>
        <w:t>714.38</w:t>
      </w:r>
      <w:r>
        <w:rPr>
          <w:rFonts w:hint="eastAsia"/>
        </w:rPr>
        <w:t>万元（其中基本支出</w:t>
      </w:r>
      <w:r>
        <w:rPr>
          <w:rFonts w:hint="eastAsia" w:ascii="仿宋_GB2312" w:hAnsi="Calibri" w:eastAsia="仿宋_GB2312" w:cs="Times New Roman"/>
          <w:color w:val="000000"/>
          <w:sz w:val="32"/>
          <w:szCs w:val="32"/>
          <w:lang w:val="en-US" w:eastAsia="zh-CN"/>
        </w:rPr>
        <w:t>628.76</w:t>
      </w:r>
      <w:r>
        <w:rPr>
          <w:rFonts w:hint="eastAsia"/>
        </w:rPr>
        <w:t>万元、项目支出</w:t>
      </w:r>
      <w:r>
        <w:rPr>
          <w:rFonts w:hint="eastAsia" w:ascii="仿宋_GB2312" w:hAnsi="Calibri" w:eastAsia="仿宋_GB2312" w:cs="Times New Roman"/>
          <w:color w:val="000000"/>
          <w:sz w:val="32"/>
          <w:szCs w:val="32"/>
          <w:lang w:val="en-US" w:eastAsia="zh-CN"/>
        </w:rPr>
        <w:t>85.61</w:t>
      </w:r>
      <w:r>
        <w:rPr>
          <w:rFonts w:hint="eastAsia"/>
        </w:rPr>
        <w:t>万元）。预算编制是我乡预算体制最基本的环节,是预算管理体制改革的核心。预算编制秉承实事求是的原则，对我乡财政支出做出合理规划，对财政管理体制的完善、活动范围的合理界定、监督和约束都具有重要作用。</w:t>
      </w:r>
    </w:p>
    <w:p>
      <w:pPr>
        <w:numPr>
          <w:ilvl w:val="0"/>
          <w:numId w:val="3"/>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专项预算管理。</w:t>
      </w:r>
    </w:p>
    <w:p>
      <w:pPr>
        <w:pStyle w:val="4"/>
        <w:numPr>
          <w:ilvl w:val="0"/>
          <w:numId w:val="0"/>
        </w:numPr>
        <w:rPr>
          <w:rFonts w:hint="eastAsia"/>
          <w:lang w:val="zh-CN"/>
        </w:rPr>
      </w:pPr>
      <w:r>
        <w:rPr>
          <w:rFonts w:hint="eastAsia"/>
          <w:lang w:val="zh-CN"/>
        </w:rPr>
        <w:t>（</w:t>
      </w:r>
      <w:r>
        <w:rPr>
          <w:rFonts w:hint="eastAsia"/>
        </w:rPr>
        <w:t>1</w:t>
      </w:r>
      <w:r>
        <w:rPr>
          <w:rFonts w:hint="eastAsia"/>
          <w:lang w:val="zh-CN"/>
        </w:rPr>
        <w:t>）基本支出</w:t>
      </w:r>
    </w:p>
    <w:p>
      <w:pPr>
        <w:pStyle w:val="4"/>
        <w:numPr>
          <w:ilvl w:val="0"/>
          <w:numId w:val="0"/>
        </w:numPr>
        <w:ind w:firstLine="600" w:firstLineChars="200"/>
        <w:rPr>
          <w:rFonts w:hint="eastAsia"/>
        </w:rPr>
      </w:pPr>
      <w:r>
        <w:rPr>
          <w:rFonts w:hint="eastAsia"/>
        </w:rPr>
        <w:t>本年度基本支出</w:t>
      </w:r>
      <w:r>
        <w:rPr>
          <w:rFonts w:hint="eastAsia" w:ascii="仿宋_GB2312" w:hAnsi="Calibri" w:eastAsia="仿宋_GB2312" w:cs="Times New Roman"/>
          <w:color w:val="000000"/>
          <w:sz w:val="32"/>
          <w:szCs w:val="32"/>
          <w:lang w:val="en-US" w:eastAsia="zh-CN"/>
        </w:rPr>
        <w:t>628.76</w:t>
      </w:r>
      <w:r>
        <w:rPr>
          <w:rFonts w:hint="eastAsia"/>
        </w:rPr>
        <w:t>万元。基本支出用于为保障机构正常运转、完成日常工作任务而发生的支出，包括人员经费和公用经费，开展日常工作。</w:t>
      </w:r>
    </w:p>
    <w:p>
      <w:pPr>
        <w:pStyle w:val="4"/>
        <w:numPr>
          <w:ilvl w:val="0"/>
          <w:numId w:val="0"/>
        </w:numPr>
        <w:rPr>
          <w:rFonts w:hint="eastAsia"/>
          <w:lang w:val="zh-CN"/>
        </w:rPr>
      </w:pPr>
      <w:r>
        <w:rPr>
          <w:rFonts w:hint="eastAsia"/>
          <w:lang w:val="zh-CN"/>
        </w:rPr>
        <w:t>（</w:t>
      </w:r>
      <w:r>
        <w:rPr>
          <w:rFonts w:hint="eastAsia"/>
        </w:rPr>
        <w:t>2</w:t>
      </w:r>
      <w:r>
        <w:rPr>
          <w:rFonts w:hint="eastAsia"/>
          <w:lang w:val="zh-CN"/>
        </w:rPr>
        <w:t>）项目支出</w:t>
      </w:r>
    </w:p>
    <w:p>
      <w:pPr>
        <w:pStyle w:val="4"/>
        <w:numPr>
          <w:ilvl w:val="0"/>
          <w:numId w:val="0"/>
        </w:numPr>
        <w:ind w:firstLine="600" w:firstLineChars="200"/>
        <w:rPr>
          <w:rFonts w:hint="eastAsia"/>
          <w:lang w:val="zh-CN"/>
        </w:rPr>
      </w:pPr>
      <w:r>
        <w:rPr>
          <w:rFonts w:hint="eastAsia"/>
          <w:lang w:val="zh-CN"/>
        </w:rPr>
        <w:t>项目支出</w:t>
      </w:r>
      <w:r>
        <w:rPr>
          <w:rFonts w:hint="eastAsia" w:ascii="仿宋_GB2312" w:hAnsi="Calibri" w:eastAsia="仿宋_GB2312" w:cs="Times New Roman"/>
          <w:color w:val="000000"/>
          <w:sz w:val="32"/>
          <w:szCs w:val="32"/>
          <w:lang w:val="en-US" w:eastAsia="zh-CN"/>
        </w:rPr>
        <w:t>85.61</w:t>
      </w:r>
      <w:r>
        <w:rPr>
          <w:rFonts w:hint="eastAsia"/>
          <w:lang w:val="zh-CN"/>
        </w:rPr>
        <w:t>万元。专项支出的明细是用于保障黑水县慈坝乡人民政府管辖的村级等用于专项业务工作的经费支出，村级公共服务运行维护费县级配套，村(居委会)办公经费县级配套等支出。</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严格执行“厉行节约、反对浪费”的规定，严格控制“三公”经费支出，加强公务用车管理，努力降低燃修费用，“三公”经费较上年有所增加。本年三公经费支出</w:t>
      </w:r>
      <w:r>
        <w:rPr>
          <w:rFonts w:hint="eastAsia" w:ascii="仿宋" w:hAnsi="仿宋" w:eastAsia="仿宋" w:cs="仿宋"/>
          <w:color w:val="333333"/>
          <w:sz w:val="32"/>
          <w:szCs w:val="32"/>
          <w:lang w:val="en-US" w:eastAsia="zh-CN"/>
        </w:rPr>
        <w:t>12.84</w:t>
      </w:r>
      <w:r>
        <w:rPr>
          <w:rFonts w:hint="eastAsia" w:ascii="仿宋_GB2312" w:hAnsi="仿宋" w:eastAsia="仿宋_GB2312" w:cs="仿宋_GB2312"/>
          <w:sz w:val="32"/>
          <w:szCs w:val="32"/>
        </w:rPr>
        <w:t>万元，其中：公务用车运行维护费</w:t>
      </w:r>
      <w:r>
        <w:rPr>
          <w:rFonts w:hint="eastAsia" w:ascii="仿宋" w:hAnsi="仿宋" w:eastAsia="仿宋" w:cs="仿宋"/>
          <w:color w:val="333333"/>
          <w:sz w:val="32"/>
          <w:szCs w:val="32"/>
          <w:lang w:val="en-US" w:eastAsia="zh-CN"/>
        </w:rPr>
        <w:t>12.84</w:t>
      </w:r>
      <w:r>
        <w:rPr>
          <w:rFonts w:hint="eastAsia" w:ascii="仿宋_GB2312" w:hAnsi="仿宋" w:eastAsia="仿宋_GB2312" w:cs="仿宋_GB2312"/>
          <w:sz w:val="32"/>
          <w:szCs w:val="32"/>
        </w:rPr>
        <w:t>万元，公务接待0万元。上年三公经费支出</w:t>
      </w:r>
      <w:r>
        <w:rPr>
          <w:rFonts w:hint="eastAsia" w:ascii="仿宋" w:hAnsi="仿宋" w:eastAsia="仿宋" w:cs="仿宋"/>
          <w:color w:val="333333"/>
          <w:sz w:val="32"/>
          <w:szCs w:val="32"/>
          <w:lang w:val="en-US" w:eastAsia="zh-CN"/>
        </w:rPr>
        <w:t>8.32</w:t>
      </w:r>
      <w:r>
        <w:rPr>
          <w:rFonts w:hint="eastAsia" w:ascii="仿宋_GB2312" w:hAnsi="仿宋" w:eastAsia="仿宋_GB2312" w:cs="仿宋_GB2312"/>
          <w:sz w:val="32"/>
          <w:szCs w:val="32"/>
        </w:rPr>
        <w:t>万元，其中：公务用车运行维护费</w:t>
      </w:r>
      <w:r>
        <w:rPr>
          <w:rFonts w:hint="eastAsia" w:ascii="仿宋" w:hAnsi="仿宋" w:eastAsia="仿宋" w:cs="仿宋"/>
          <w:color w:val="333333"/>
          <w:sz w:val="32"/>
          <w:szCs w:val="32"/>
          <w:lang w:val="en-US" w:eastAsia="zh-CN"/>
        </w:rPr>
        <w:t>8.32</w:t>
      </w:r>
      <w:r>
        <w:rPr>
          <w:rFonts w:hint="eastAsia" w:ascii="仿宋_GB2312" w:hAnsi="仿宋" w:eastAsia="仿宋_GB2312" w:cs="仿宋_GB2312"/>
          <w:sz w:val="32"/>
          <w:szCs w:val="32"/>
        </w:rPr>
        <w:t>万元，公务接待0万元。</w:t>
      </w:r>
    </w:p>
    <w:p>
      <w:pPr>
        <w:numPr>
          <w:ilvl w:val="0"/>
          <w:numId w:val="2"/>
        </w:numPr>
        <w:spacing w:line="580" w:lineRule="exact"/>
        <w:ind w:firstLine="723" w:firstLineChars="200"/>
        <w:rPr>
          <w:rFonts w:hint="eastAsia" w:ascii="仿宋_GB2312" w:hAnsi="黑体" w:eastAsia="仿宋_GB2312" w:cs="黑体"/>
          <w:b/>
          <w:bCs/>
          <w:sz w:val="36"/>
          <w:szCs w:val="36"/>
        </w:rPr>
      </w:pPr>
      <w:r>
        <w:rPr>
          <w:rFonts w:hint="eastAsia" w:ascii="仿宋_GB2312" w:hAnsi="黑体" w:eastAsia="仿宋_GB2312" w:cs="黑体"/>
          <w:b/>
          <w:bCs/>
          <w:sz w:val="36"/>
          <w:szCs w:val="36"/>
        </w:rPr>
        <w:t>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4"/>
        <w:ind w:firstLine="900" w:firstLineChars="300"/>
      </w:pPr>
      <w:r>
        <w:rPr>
          <w:rFonts w:hint="eastAsia"/>
          <w:lang w:val="zh-CN"/>
        </w:rPr>
        <w:t>202</w:t>
      </w:r>
      <w:r>
        <w:rPr>
          <w:rFonts w:hint="eastAsia"/>
          <w:lang w:val="en-US" w:eastAsia="zh-CN"/>
        </w:rPr>
        <w:t>1</w:t>
      </w:r>
      <w:r>
        <w:rPr>
          <w:rFonts w:hint="eastAsia"/>
          <w:lang w:val="zh-CN"/>
        </w:rPr>
        <w:t>年，在县委、县政府的坚强领导，我乡工作继续完善、提升、发展，总体呈现出稳中有升、高位求进的良好发展态势，圆满完成了州县下达的各项目标任务，为全县经济社会发展创造良好的社会环境做出了突出贡献。</w:t>
      </w:r>
    </w:p>
    <w:p>
      <w:pPr>
        <w:numPr>
          <w:ilvl w:val="0"/>
          <w:numId w:val="3"/>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pStyle w:val="4"/>
        <w:numPr>
          <w:ilvl w:val="0"/>
          <w:numId w:val="0"/>
        </w:numPr>
        <w:ind w:leftChars="200"/>
        <w:rPr>
          <w:rFonts w:hint="eastAsia" w:eastAsia="仿宋_GB2312"/>
          <w:lang w:eastAsia="zh-CN"/>
        </w:rPr>
      </w:pPr>
      <w:r>
        <w:rPr>
          <w:rFonts w:hint="eastAsia"/>
          <w:lang w:eastAsia="zh-CN"/>
        </w:rPr>
        <w:t>无</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pStyle w:val="4"/>
        <w:numPr>
          <w:ilvl w:val="0"/>
          <w:numId w:val="0"/>
        </w:numPr>
        <w:ind w:leftChars="200"/>
        <w:rPr>
          <w:rFonts w:hint="eastAsia" w:eastAsia="仿宋_GB2312"/>
          <w:lang w:eastAsia="zh-CN"/>
        </w:rPr>
      </w:pPr>
      <w:r>
        <w:rPr>
          <w:rFonts w:hint="eastAsia"/>
          <w:lang w:eastAsia="zh-CN"/>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1D7E1"/>
    <w:multiLevelType w:val="singleLevel"/>
    <w:tmpl w:val="1691D7E1"/>
    <w:lvl w:ilvl="0" w:tentative="0">
      <w:start w:val="3"/>
      <w:numFmt w:val="chineseCounting"/>
      <w:suff w:val="nothing"/>
      <w:lvlText w:val="%1、"/>
      <w:lvlJc w:val="left"/>
      <w:rPr>
        <w:rFonts w:hint="eastAsia"/>
      </w:rPr>
    </w:lvl>
  </w:abstractNum>
  <w:abstractNum w:abstractNumId="1">
    <w:nsid w:val="527090CC"/>
    <w:multiLevelType w:val="singleLevel"/>
    <w:tmpl w:val="527090CC"/>
    <w:lvl w:ilvl="0" w:tentative="0">
      <w:start w:val="2"/>
      <w:numFmt w:val="chineseCounting"/>
      <w:suff w:val="nothing"/>
      <w:lvlText w:val="（%1）"/>
      <w:lvlJc w:val="left"/>
      <w:rPr>
        <w:rFonts w:hint="eastAsia"/>
      </w:rPr>
    </w:lvl>
  </w:abstractNum>
  <w:abstractNum w:abstractNumId="2">
    <w:nsid w:val="6DAFAC94"/>
    <w:multiLevelType w:val="singleLevel"/>
    <w:tmpl w:val="6DAFAC9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2FiOTIzYzA3NDk1YjQzZjkyZjBmYzI1NmZmNzkifQ=="/>
  </w:docVars>
  <w:rsids>
    <w:rsidRoot w:val="00491B22"/>
    <w:rsid w:val="00291808"/>
    <w:rsid w:val="00491B22"/>
    <w:rsid w:val="0052390C"/>
    <w:rsid w:val="21EA1E60"/>
    <w:rsid w:val="27205A81"/>
    <w:rsid w:val="284B7E3A"/>
    <w:rsid w:val="34EB1F43"/>
    <w:rsid w:val="36435EC2"/>
    <w:rsid w:val="41596008"/>
    <w:rsid w:val="4DFA4C86"/>
    <w:rsid w:val="5B35004B"/>
    <w:rsid w:val="60D032A5"/>
    <w:rsid w:val="650F6D71"/>
    <w:rsid w:val="67F5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1395</Words>
  <Characters>1567</Characters>
  <Lines>2</Lines>
  <Paragraphs>1</Paragraphs>
  <TotalTime>5</TotalTime>
  <ScaleCrop>false</ScaleCrop>
  <LinksUpToDate>false</LinksUpToDate>
  <CharactersWithSpaces>1573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高能电脑打印</cp:lastModifiedBy>
  <dcterms:modified xsi:type="dcterms:W3CDTF">2022-09-14T10:14:28Z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43A23339209B4E059AD4633854A14FE2</vt:lpwstr>
  </property>
</Properties>
</file>