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bookmarkStart w:id="0" w:name="_Toc15396616"/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慈坝乡行政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年部门整体支出</w:t>
      </w:r>
    </w:p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绩效评价报告</w:t>
      </w:r>
      <w:bookmarkEnd w:id="0"/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一、部门（单位）概况</w:t>
      </w:r>
    </w:p>
    <w:p>
      <w:pPr>
        <w:widowControl/>
        <w:spacing w:line="560" w:lineRule="exact"/>
        <w:ind w:firstLine="602" w:firstLineChars="200"/>
        <w:jc w:val="left"/>
        <w:outlineLvl w:val="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（一）机构组成。</w:t>
      </w:r>
    </w:p>
    <w:p>
      <w:pPr>
        <w:tabs>
          <w:tab w:val="left" w:pos="7020"/>
          <w:tab w:val="left" w:pos="7740"/>
        </w:tabs>
        <w:ind w:firstLine="784" w:firstLineChars="245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黑水县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慈坝乡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民政府是基层国家行政机关，行使本行政区域的政府行政职能，根据有关文件规定，主要职责是：宣传和贯彻执行上级各部门及本镇的各项政策、法规、决议等；讨论决定全镇经济建设和社会发展中的重大问题；加强党委自身建设和以党支部为核心的村级组织建设；按照干部管理权限，负责对本级镇村干部的教育、管理、培训、选拔和监督工作，并实现村级财务统一由镇代管；认真做好全镇综治维稳、经济发展、教育、文化、卫生、计划生育，环境、国土、安全生产等管理工作。完成上级部门交办的其他工作。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（二）机构职能。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根据县委、县政府关于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年全县工作的总体部署，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主要工作是:。二是抓好基层组织建设，夯实执政根基。三是推进社会事业发展，切实保障民生。四是推进产业结构调整，助力群众增收。五是增强社会保障功能，落实民生政策。六是继续加强城镇环境综合整治工作，动员广大干部群众积极参与环境整治活动，不断提高村民文明卫生素质，提升对外形象。七是做好社会维稳工作，努力把群众信访诉求解决在初始阶段和基层，妥善处理社会矛盾纠纷和群体性事件。八是狠抓安全生产工作，全面落实安全生产责任制，杜绝重大安全事故的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（三）人员概况。</w:t>
      </w:r>
    </w:p>
    <w:p>
      <w:pPr>
        <w:pStyle w:val="2"/>
        <w:adjustRightInd w:val="0"/>
        <w:snapToGrid w:val="0"/>
        <w:spacing w:before="93" w:line="600" w:lineRule="exact"/>
        <w:ind w:firstLine="672" w:firstLineChars="2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黑水县</w:t>
      </w:r>
      <w:r>
        <w:rPr>
          <w:rFonts w:hint="eastAsia" w:hAnsi="仿宋_GB2312" w:cs="仿宋_GB2312"/>
          <w:sz w:val="32"/>
          <w:szCs w:val="32"/>
          <w:lang w:eastAsia="zh-CN"/>
        </w:rPr>
        <w:t>慈坝乡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人民政府无下属二级核算单位。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慈坝乡总编制25名，其中：行政编制18名，事业编制6名，工勤1名。2022年12月在册人数：在职27名，其中：行政人员17名，其他事业人员8名，行政工勤2名。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二、部门财政资金收支情况</w:t>
      </w:r>
    </w:p>
    <w:p>
      <w:pPr>
        <w:tabs>
          <w:tab w:val="left" w:pos="7020"/>
          <w:tab w:val="left" w:pos="7740"/>
        </w:tabs>
        <w:ind w:firstLine="738" w:firstLineChars="245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（一）部门财政资金收入情况。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553.37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tabs>
          <w:tab w:val="left" w:pos="7020"/>
          <w:tab w:val="left" w:pos="7740"/>
        </w:tabs>
        <w:ind w:firstLine="602" w:firstLineChars="200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（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）部门财政资金支出情况。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年度部门财政资金总支出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553.37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388.52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70.21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11.80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10.09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，资本性支出43.73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。7.90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（一）部门预算管理。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年，部门预算收入总额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553.37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；部门支出预算总额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553.37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napToGrid w:val="0"/>
        <w:spacing w:line="560" w:lineRule="exact"/>
        <w:ind w:firstLine="60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（二）专项预算管理。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553.37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432.05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121.31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388.52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70.21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11.80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10.09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，资本性支出43.73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7.90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301" w:firstLineChars="100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（三）结果应用情况。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依据财政编审要求,在年度终了后,结合本单位当年全部预算收入、财政拨款收入及支出等,对全口径的资金收入、支出和预算管理、资产管理等工作进行的全面总结。通过编制部门决算报表,对本单位全年的资金管理、单位履行机构职能和受托责任等进行系统的思考检查,分析预算执行中的得失,以推动单位加强内部管理,制定适应本单位的内控制度以促进发展。为编报一份高质量的部门决算报表,还应当从日常工作、前期准备、报表分析等方面做好全过程精细化的财务管理。</w:t>
      </w:r>
    </w:p>
    <w:p>
      <w:pPr>
        <w:spacing w:line="580" w:lineRule="exact"/>
        <w:ind w:firstLine="602" w:firstLineChars="200"/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</w:pPr>
      <w:r>
        <w:rPr>
          <w:rFonts w:hint="eastAsia" w:ascii="仿宋_GB2312" w:hAnsi="楷体_GB2312" w:eastAsia="仿宋_GB2312" w:cs="楷体_GB2312"/>
          <w:b/>
          <w:bCs/>
          <w:sz w:val="30"/>
          <w:szCs w:val="30"/>
          <w:lang w:val="zh-CN"/>
        </w:rPr>
        <w:t>四、评价结论及建议</w:t>
      </w:r>
    </w:p>
    <w:p>
      <w:pPr>
        <w:spacing w:line="560" w:lineRule="exact"/>
        <w:ind w:firstLine="585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（一）评价结论。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年，部门预算收入总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553.37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年总支出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553.37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209.05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85.09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14.6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0.31</w:t>
      </w:r>
      <w:r>
        <w:rPr>
          <w:rFonts w:hint="eastAsia" w:ascii="仿宋_GB2312" w:hAnsi="仿宋_GB2312" w:eastAsia="仿宋_GB2312" w:cs="仿宋_GB2312"/>
          <w:sz w:val="32"/>
          <w:szCs w:val="32"/>
        </w:rPr>
        <w:t>%工资福利支出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388.52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70.21</w:t>
      </w:r>
      <w:r>
        <w:rPr>
          <w:rFonts w:hint="eastAsia" w:ascii="仿宋_GB2312" w:hAnsi="仿宋_GB2312" w:eastAsia="仿宋_GB2312" w:cs="仿宋_GB2312"/>
          <w:sz w:val="32"/>
          <w:szCs w:val="32"/>
        </w:rPr>
        <w:t>%，商品服务支出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11.80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%，对个人家庭补助支出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10.09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，资本性支出43.73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7.90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本年度财政拨款为我乡工作的开展提供了前有力的保障，使我乡顺利完成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年度基层运行工作。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 xml:space="preserve">（二） </w:t>
      </w:r>
      <w:r>
        <w:rPr>
          <w:rFonts w:hint="eastAsia" w:ascii="仿宋_GB2312" w:hAnsi="楷体_GB2312" w:cs="楷体_GB2312"/>
          <w:b/>
          <w:bCs/>
          <w:sz w:val="30"/>
          <w:szCs w:val="30"/>
          <w:lang w:val="zh-CN"/>
        </w:rPr>
        <w:t>存在问题</w:t>
      </w:r>
    </w:p>
    <w:p>
      <w:pPr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spacing w:line="560" w:lineRule="exact"/>
        <w:ind w:firstLine="640"/>
        <w:rPr>
          <w:rFonts w:hint="eastAsia" w:ascii="仿宋_GB2312" w:hAnsi="楷体_GB2312" w:cs="楷体_GB2312"/>
          <w:b/>
          <w:bCs/>
          <w:sz w:val="30"/>
          <w:szCs w:val="30"/>
        </w:rPr>
      </w:pPr>
      <w:r>
        <w:rPr>
          <w:rFonts w:hint="eastAsia" w:ascii="仿宋_GB2312" w:hAnsi="楷体_GB2312" w:cs="楷体_GB2312"/>
          <w:b/>
          <w:bCs/>
          <w:sz w:val="30"/>
          <w:szCs w:val="30"/>
        </w:rPr>
        <w:t>（三）改进建议。</w:t>
      </w:r>
    </w:p>
    <w:p>
      <w:pPr>
        <w:spacing w:line="560" w:lineRule="exact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MGE2ZmZlZTFlMDY3ZDc0YzIzMDRhNTkwMTM1NWQifQ=="/>
  </w:docVars>
  <w:rsids>
    <w:rsidRoot w:val="00491B22"/>
    <w:rsid w:val="00291808"/>
    <w:rsid w:val="00491B22"/>
    <w:rsid w:val="0052390C"/>
    <w:rsid w:val="23084722"/>
    <w:rsid w:val="34EB1F43"/>
    <w:rsid w:val="36435EC2"/>
    <w:rsid w:val="3C3E49B7"/>
    <w:rsid w:val="3CF61705"/>
    <w:rsid w:val="43483734"/>
    <w:rsid w:val="47D079AD"/>
    <w:rsid w:val="5A767788"/>
    <w:rsid w:val="5AC30EBC"/>
    <w:rsid w:val="5F3C46AA"/>
    <w:rsid w:val="60D032A5"/>
    <w:rsid w:val="72B1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1412</Words>
  <Characters>1640</Characters>
  <Lines>2</Lines>
  <Paragraphs>1</Paragraphs>
  <TotalTime>0</TotalTime>
  <ScaleCrop>false</ScaleCrop>
  <LinksUpToDate>false</LinksUpToDate>
  <CharactersWithSpaces>1644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dumdum</cp:lastModifiedBy>
  <dcterms:modified xsi:type="dcterms:W3CDTF">2023-08-30T05:40:54Z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2CAB32EFB7C24D3BBEE2A52BB25BAECE</vt:lpwstr>
  </property>
</Properties>
</file>