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15" w:lineRule="auto"/>
        <w:rPr>
          <w:rFonts w:ascii="Arial"/>
          <w:sz w:val="21"/>
        </w:rPr>
      </w:pPr>
    </w:p>
    <w:p>
      <w:pPr>
        <w:pStyle w:val="3"/>
        <w:spacing w:before="465" w:line="224" w:lineRule="auto"/>
        <w:jc w:val="right"/>
        <w:outlineLvl w:val="0"/>
        <w:rPr>
          <w:sz w:val="143"/>
          <w:szCs w:val="143"/>
        </w:rPr>
      </w:pPr>
      <w:r>
        <w:rPr>
          <w:b/>
          <w:bCs/>
          <w:color w:val="FF0000"/>
          <w:spacing w:val="-187"/>
          <w:w w:val="72"/>
          <w:sz w:val="143"/>
          <w:szCs w:val="143"/>
        </w:rPr>
        <w:t>黑水县</w:t>
      </w:r>
      <w:r>
        <w:rPr>
          <w:b/>
          <w:bCs/>
          <w:color w:val="FF0000"/>
          <w:spacing w:val="-186"/>
          <w:w w:val="72"/>
          <w:sz w:val="143"/>
          <w:szCs w:val="143"/>
        </w:rPr>
        <w:t>慈坝乡人民政</w:t>
      </w:r>
      <w:r>
        <w:rPr>
          <w:b/>
          <w:bCs/>
          <w:color w:val="FF0000"/>
          <w:spacing w:val="-123"/>
          <w:w w:val="72"/>
          <w:sz w:val="143"/>
          <w:szCs w:val="143"/>
        </w:rPr>
        <w:t>府</w:t>
      </w:r>
    </w:p>
    <w:p>
      <w:pPr>
        <w:pStyle w:val="3"/>
        <w:spacing w:before="90" w:line="210" w:lineRule="auto"/>
        <w:ind w:left="334"/>
        <w:rPr>
          <w:rFonts w:ascii="楷体" w:hAnsi="楷体" w:eastAsia="楷体" w:cs="楷体"/>
        </w:rPr>
      </w:pPr>
      <w:r>
        <w:rPr>
          <w:spacing w:val="3"/>
        </w:rPr>
        <w:t>黑慈府〔</w:t>
      </w:r>
      <w:r>
        <w:rPr>
          <w:rFonts w:hint="eastAsia"/>
          <w:spacing w:val="3"/>
          <w:lang w:eastAsia="zh-CN"/>
        </w:rPr>
        <w:t>202</w:t>
      </w:r>
      <w:r>
        <w:rPr>
          <w:rFonts w:hint="eastAsia"/>
          <w:spacing w:val="3"/>
          <w:lang w:val="en-US" w:eastAsia="zh-CN"/>
        </w:rPr>
        <w:t>5</w:t>
      </w:r>
      <w:r>
        <w:rPr>
          <w:spacing w:val="3"/>
        </w:rPr>
        <w:t>〕</w:t>
      </w:r>
      <w:r>
        <w:rPr>
          <w:rFonts w:hint="eastAsia"/>
          <w:spacing w:val="3"/>
          <w:lang w:val="en-US" w:eastAsia="zh-CN"/>
        </w:rPr>
        <w:t>6</w:t>
      </w:r>
      <w:r>
        <w:rPr>
          <w:spacing w:val="3"/>
        </w:rPr>
        <w:t>号</w:t>
      </w:r>
      <w:r>
        <w:rPr>
          <w:spacing w:val="6"/>
        </w:rPr>
        <w:t xml:space="preserve">                   </w:t>
      </w:r>
      <w:r>
        <w:rPr>
          <w:spacing w:val="3"/>
        </w:rPr>
        <w:t>签发人：</w:t>
      </w:r>
      <w:r>
        <w:rPr>
          <w:rFonts w:ascii="楷体" w:hAnsi="楷体" w:eastAsia="楷体" w:cs="楷体"/>
          <w:spacing w:val="3"/>
        </w:rPr>
        <w:t>李超</w:t>
      </w:r>
    </w:p>
    <w:p>
      <w:pPr>
        <w:spacing w:line="45" w:lineRule="exact"/>
        <w:ind w:firstLine="25"/>
      </w:pPr>
      <w:r>
        <w:drawing>
          <wp:inline distT="0" distB="0" distL="0" distR="0">
            <wp:extent cx="5464175" cy="2857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5464809" cy="29209"/>
                    </a:xfrm>
                    <a:prstGeom prst="rect">
                      <a:avLst/>
                    </a:prstGeom>
                  </pic:spPr>
                </pic:pic>
              </a:graphicData>
            </a:graphic>
          </wp:inline>
        </w:drawing>
      </w:r>
    </w:p>
    <w:p>
      <w:pPr>
        <w:spacing w:line="261" w:lineRule="auto"/>
        <w:rPr>
          <w:rFonts w:ascii="Arial"/>
          <w:sz w:val="21"/>
        </w:rPr>
      </w:pPr>
    </w:p>
    <w:p>
      <w:pPr>
        <w:spacing w:line="262" w:lineRule="auto"/>
        <w:rPr>
          <w:rFonts w:ascii="Arial"/>
          <w:sz w:val="21"/>
        </w:rPr>
      </w:pPr>
    </w:p>
    <w:p>
      <w:pPr>
        <w:spacing w:before="140" w:line="225" w:lineRule="auto"/>
        <w:ind w:left="2221"/>
        <w:outlineLvl w:val="0"/>
        <w:rPr>
          <w:rFonts w:ascii="宋体" w:hAnsi="宋体" w:eastAsia="宋体" w:cs="宋体"/>
          <w:sz w:val="43"/>
          <w:szCs w:val="43"/>
        </w:rPr>
      </w:pPr>
      <w:r>
        <w:rPr>
          <w:rFonts w:ascii="宋体" w:hAnsi="宋体" w:eastAsia="宋体" w:cs="宋体"/>
          <w:b/>
          <w:bCs/>
          <w:spacing w:val="3"/>
          <w:sz w:val="43"/>
          <w:szCs w:val="43"/>
        </w:rPr>
        <w:t>黑水县慈坝乡人民政府</w:t>
      </w:r>
    </w:p>
    <w:p>
      <w:pPr>
        <w:spacing w:before="61" w:line="221" w:lineRule="auto"/>
        <w:ind w:left="1056"/>
        <w:outlineLvl w:val="0"/>
        <w:rPr>
          <w:rFonts w:ascii="宋体" w:hAnsi="宋体" w:eastAsia="宋体" w:cs="宋体"/>
          <w:sz w:val="43"/>
          <w:szCs w:val="43"/>
        </w:rPr>
      </w:pPr>
      <w:r>
        <w:rPr>
          <w:rFonts w:hint="eastAsia" w:ascii="宋体" w:hAnsi="宋体" w:eastAsia="宋体" w:cs="宋体"/>
          <w:b/>
          <w:bCs/>
          <w:spacing w:val="3"/>
          <w:sz w:val="43"/>
          <w:szCs w:val="43"/>
          <w:lang w:eastAsia="zh-CN"/>
        </w:rPr>
        <w:t>2024</w:t>
      </w:r>
      <w:r>
        <w:rPr>
          <w:rFonts w:ascii="宋体" w:hAnsi="宋体" w:eastAsia="宋体" w:cs="宋体"/>
          <w:b/>
          <w:bCs/>
          <w:spacing w:val="3"/>
          <w:sz w:val="43"/>
          <w:szCs w:val="43"/>
        </w:rPr>
        <w:t>年部门整体支出绩效评价报告</w:t>
      </w:r>
    </w:p>
    <w:p>
      <w:pPr>
        <w:spacing w:line="249" w:lineRule="auto"/>
        <w:rPr>
          <w:rFonts w:ascii="Arial"/>
          <w:sz w:val="21"/>
        </w:rPr>
      </w:pPr>
    </w:p>
    <w:p>
      <w:pPr>
        <w:spacing w:line="249" w:lineRule="auto"/>
        <w:rPr>
          <w:rFonts w:ascii="Arial"/>
          <w:sz w:val="21"/>
        </w:rPr>
      </w:pPr>
    </w:p>
    <w:p>
      <w:pPr>
        <w:spacing w:before="101" w:line="228" w:lineRule="auto"/>
        <w:ind w:left="638"/>
        <w:rPr>
          <w:rFonts w:ascii="黑体" w:hAnsi="黑体" w:eastAsia="黑体" w:cs="黑体"/>
          <w:sz w:val="31"/>
          <w:szCs w:val="31"/>
        </w:rPr>
      </w:pPr>
      <w:r>
        <w:rPr>
          <w:rFonts w:ascii="黑体" w:hAnsi="黑体" w:eastAsia="黑体" w:cs="黑体"/>
          <w:spacing w:val="8"/>
          <w:sz w:val="31"/>
          <w:szCs w:val="31"/>
        </w:rPr>
        <w:t>一、部门（单位）基本情况</w:t>
      </w:r>
    </w:p>
    <w:p>
      <w:pPr>
        <w:spacing w:before="194" w:line="234" w:lineRule="auto"/>
        <w:ind w:left="658"/>
        <w:outlineLvl w:val="1"/>
        <w:rPr>
          <w:rFonts w:ascii="楷体" w:hAnsi="楷体" w:eastAsia="楷体" w:cs="楷体"/>
          <w:sz w:val="31"/>
          <w:szCs w:val="31"/>
        </w:rPr>
      </w:pPr>
      <w:r>
        <w:rPr>
          <w:rFonts w:ascii="楷体" w:hAnsi="楷体" w:eastAsia="楷体" w:cs="楷体"/>
          <w:b/>
          <w:bCs/>
          <w:spacing w:val="2"/>
          <w:sz w:val="31"/>
          <w:szCs w:val="31"/>
        </w:rPr>
        <w:t>（一）机构组成。</w:t>
      </w:r>
    </w:p>
    <w:p>
      <w:pPr>
        <w:pStyle w:val="3"/>
        <w:spacing w:before="187" w:line="336" w:lineRule="auto"/>
        <w:ind w:right="57" w:firstLine="662"/>
        <w:jc w:val="both"/>
      </w:pPr>
      <w:r>
        <w:rPr>
          <w:spacing w:val="4"/>
        </w:rPr>
        <w:t>慈坝乡属于乡财县管的乡镇，设有独立的财政所</w:t>
      </w:r>
      <w:r>
        <w:rPr>
          <w:spacing w:val="3"/>
        </w:rPr>
        <w:t>，本单位无</w:t>
      </w:r>
      <w:r>
        <w:t xml:space="preserve"> </w:t>
      </w:r>
      <w:r>
        <w:rPr>
          <w:spacing w:val="3"/>
        </w:rPr>
        <w:t>下属二级预算单位。全乡共辖</w:t>
      </w:r>
      <w:r>
        <w:rPr>
          <w:spacing w:val="-43"/>
        </w:rPr>
        <w:t xml:space="preserve"> </w:t>
      </w:r>
      <w:r>
        <w:rPr>
          <w:spacing w:val="3"/>
        </w:rPr>
        <w:t>2</w:t>
      </w:r>
      <w:r>
        <w:rPr>
          <w:spacing w:val="-52"/>
        </w:rPr>
        <w:t xml:space="preserve"> </w:t>
      </w:r>
      <w:r>
        <w:rPr>
          <w:spacing w:val="3"/>
        </w:rPr>
        <w:t>个行政村。慈坝乡下设股级行政</w:t>
      </w:r>
      <w:r>
        <w:t xml:space="preserve"> </w:t>
      </w:r>
      <w:r>
        <w:rPr>
          <w:spacing w:val="5"/>
        </w:rPr>
        <w:t>机构</w:t>
      </w:r>
      <w:r>
        <w:rPr>
          <w:rFonts w:hint="eastAsia"/>
          <w:spacing w:val="5"/>
          <w:lang w:val="en-US" w:eastAsia="zh-CN"/>
        </w:rPr>
        <w:t>5</w:t>
      </w:r>
      <w:r>
        <w:rPr>
          <w:spacing w:val="5"/>
        </w:rPr>
        <w:t>个</w:t>
      </w:r>
      <w:r>
        <w:rPr>
          <w:spacing w:val="22"/>
        </w:rPr>
        <w:t>：</w:t>
      </w:r>
      <w:r>
        <w:rPr>
          <w:spacing w:val="5"/>
        </w:rPr>
        <w:t>党政综合办、</w:t>
      </w:r>
      <w:r>
        <w:rPr>
          <w:rFonts w:hint="eastAsia"/>
          <w:spacing w:val="5"/>
          <w:lang w:val="en-US" w:eastAsia="zh-CN"/>
        </w:rPr>
        <w:t>党建工作</w:t>
      </w:r>
      <w:r>
        <w:rPr>
          <w:spacing w:val="5"/>
        </w:rPr>
        <w:t>办、</w:t>
      </w:r>
      <w:r>
        <w:rPr>
          <w:rFonts w:hint="eastAsia"/>
          <w:spacing w:val="5"/>
          <w:lang w:val="en-US" w:eastAsia="zh-CN"/>
        </w:rPr>
        <w:t>应急管理和综合行政执法</w:t>
      </w:r>
      <w:r>
        <w:rPr>
          <w:spacing w:val="7"/>
        </w:rPr>
        <w:t>办、</w:t>
      </w:r>
      <w:r>
        <w:rPr>
          <w:rFonts w:hint="eastAsia"/>
          <w:spacing w:val="7"/>
          <w:lang w:val="en-US" w:eastAsia="zh-CN"/>
        </w:rPr>
        <w:t>社会治理事务和村镇管理办、生态经济发展和乡村振兴办公室</w:t>
      </w:r>
      <w:r>
        <w:rPr>
          <w:spacing w:val="7"/>
        </w:rPr>
        <w:t>。下设事业机构</w:t>
      </w:r>
      <w:r>
        <w:rPr>
          <w:rFonts w:hint="eastAsia"/>
          <w:spacing w:val="7"/>
          <w:lang w:val="en-US" w:eastAsia="zh-CN"/>
        </w:rPr>
        <w:t>2</w:t>
      </w:r>
      <w:r>
        <w:rPr>
          <w:spacing w:val="7"/>
        </w:rPr>
        <w:t>个：</w:t>
      </w:r>
      <w:r>
        <w:rPr>
          <w:rFonts w:hint="eastAsia"/>
          <w:spacing w:val="7"/>
          <w:lang w:val="en-US" w:eastAsia="zh-CN"/>
        </w:rPr>
        <w:t>便民和退役军人</w:t>
      </w:r>
      <w:r>
        <w:rPr>
          <w:spacing w:val="7"/>
        </w:rPr>
        <w:t>服务中心、</w:t>
      </w:r>
      <w:r>
        <w:rPr>
          <w:rFonts w:hint="eastAsia"/>
          <w:spacing w:val="7"/>
          <w:lang w:val="en-US" w:eastAsia="zh-CN"/>
        </w:rPr>
        <w:t>农业农村和文化旅游服务中心</w:t>
      </w:r>
      <w:r>
        <w:rPr>
          <w:spacing w:val="8"/>
        </w:rPr>
        <w:t>。</w:t>
      </w:r>
    </w:p>
    <w:p>
      <w:pPr>
        <w:pStyle w:val="3"/>
        <w:spacing w:before="60" w:line="337" w:lineRule="auto"/>
        <w:ind w:firstLine="658"/>
        <w:jc w:val="both"/>
      </w:pPr>
      <w:r>
        <w:rPr>
          <w:rFonts w:ascii="楷体" w:hAnsi="楷体" w:eastAsia="楷体" w:cs="楷体"/>
          <w:b/>
          <w:bCs/>
          <w:spacing w:val="3"/>
        </w:rPr>
        <w:t>（二）机构职能。</w:t>
      </w:r>
      <w:r>
        <w:rPr>
          <w:spacing w:val="3"/>
        </w:rPr>
        <w:t>黑水县慈坝乡人民政府是基层国家行政机</w:t>
      </w:r>
      <w:r>
        <w:rPr>
          <w:spacing w:val="2"/>
        </w:rPr>
        <w:t xml:space="preserve"> </w:t>
      </w:r>
      <w:r>
        <w:rPr>
          <w:spacing w:val="5"/>
        </w:rPr>
        <w:t>关，行使本行政区域的政府行政职能，根据有关文件规定，主要</w:t>
      </w:r>
      <w:r>
        <w:rPr>
          <w:spacing w:val="2"/>
        </w:rPr>
        <w:t xml:space="preserve"> </w:t>
      </w:r>
      <w:r>
        <w:rPr>
          <w:spacing w:val="7"/>
        </w:rPr>
        <w:t>职责是：宣传和贯彻执行上级各部门及本乡的各项政策、法规、</w:t>
      </w:r>
      <w:r>
        <w:rPr>
          <w:spacing w:val="6"/>
        </w:rPr>
        <w:t xml:space="preserve"> </w:t>
      </w:r>
      <w:r>
        <w:rPr>
          <w:spacing w:val="5"/>
        </w:rPr>
        <w:t>决议等；讨论决定全乡经济建设和社会发展中的重大问题；加强</w:t>
      </w:r>
      <w:r>
        <w:rPr>
          <w:spacing w:val="2"/>
        </w:rPr>
        <w:t xml:space="preserve"> </w:t>
      </w:r>
      <w:r>
        <w:rPr>
          <w:spacing w:val="5"/>
        </w:rPr>
        <w:t>党委自身建设和以党支部为核心的村级组织建设；按照干部管理 权限，负责对本级乡村干部的教育、管理、培训、选拔和监督工</w:t>
      </w: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801" w:lineRule="exact"/>
        <w:ind w:firstLine="7634"/>
        <w:sectPr>
          <w:pgSz w:w="11906" w:h="16839"/>
          <w:pgMar w:top="1431" w:right="1416" w:bottom="0" w:left="1606" w:header="0" w:footer="0" w:gutter="0"/>
          <w:cols w:space="720" w:num="1"/>
        </w:sectPr>
      </w:pPr>
    </w:p>
    <w:p>
      <w:pPr>
        <w:pStyle w:val="3"/>
        <w:spacing w:before="101" w:line="326" w:lineRule="auto"/>
        <w:ind w:right="87"/>
      </w:pPr>
      <w:r>
        <w:rPr>
          <w:spacing w:val="5"/>
        </w:rPr>
        <w:t>作，并实现村级财务统一由乡代管；认真做好全乡社会治安</w:t>
      </w:r>
      <w:r>
        <w:rPr>
          <w:spacing w:val="4"/>
        </w:rPr>
        <w:t>综合</w:t>
      </w:r>
      <w:r>
        <w:t xml:space="preserve"> </w:t>
      </w:r>
      <w:r>
        <w:rPr>
          <w:spacing w:val="4"/>
        </w:rPr>
        <w:t>治理及计划生育，环境、</w:t>
      </w:r>
      <w:r>
        <w:rPr>
          <w:spacing w:val="-79"/>
        </w:rPr>
        <w:t xml:space="preserve"> </w:t>
      </w:r>
      <w:r>
        <w:rPr>
          <w:spacing w:val="4"/>
        </w:rPr>
        <w:t>国土等管理工作。</w:t>
      </w:r>
    </w:p>
    <w:p>
      <w:pPr>
        <w:pStyle w:val="3"/>
        <w:adjustRightInd w:val="0"/>
        <w:snapToGrid w:val="0"/>
        <w:spacing w:before="93" w:line="600" w:lineRule="exact"/>
        <w:ind w:firstLine="659" w:firstLineChars="208"/>
        <w:rPr>
          <w:spacing w:val="3"/>
        </w:rPr>
      </w:pPr>
      <w:r>
        <w:rPr>
          <w:rFonts w:ascii="楷体" w:hAnsi="楷体" w:eastAsia="楷体" w:cs="楷体"/>
          <w:b/>
          <w:bCs/>
          <w:spacing w:val="3"/>
        </w:rPr>
        <w:t>（三）人员概况。</w:t>
      </w:r>
      <w:r>
        <w:rPr>
          <w:spacing w:val="3"/>
        </w:rPr>
        <w:t>慈坝乡总编制</w:t>
      </w:r>
      <w:r>
        <w:rPr>
          <w:spacing w:val="-60"/>
        </w:rPr>
        <w:t xml:space="preserve"> </w:t>
      </w:r>
      <w:r>
        <w:rPr>
          <w:spacing w:val="3"/>
        </w:rPr>
        <w:t>28</w:t>
      </w:r>
      <w:r>
        <w:rPr>
          <w:spacing w:val="-52"/>
        </w:rPr>
        <w:t xml:space="preserve"> </w:t>
      </w:r>
      <w:r>
        <w:rPr>
          <w:spacing w:val="3"/>
        </w:rPr>
        <w:t>名，其中：行政</w:t>
      </w:r>
      <w:r>
        <w:rPr>
          <w:spacing w:val="2"/>
        </w:rPr>
        <w:t>编制</w:t>
      </w:r>
      <w:r>
        <w:rPr>
          <w:spacing w:val="-41"/>
        </w:rPr>
        <w:t xml:space="preserve"> </w:t>
      </w:r>
      <w:r>
        <w:rPr>
          <w:spacing w:val="2"/>
        </w:rPr>
        <w:t>17</w:t>
      </w:r>
      <w:r>
        <w:t xml:space="preserve"> </w:t>
      </w:r>
      <w:r>
        <w:rPr>
          <w:spacing w:val="-2"/>
        </w:rPr>
        <w:t>名，事业编制</w:t>
      </w:r>
      <w:r>
        <w:rPr>
          <w:spacing w:val="-63"/>
        </w:rPr>
        <w:t xml:space="preserve"> </w:t>
      </w:r>
      <w:r>
        <w:rPr>
          <w:spacing w:val="-2"/>
        </w:rPr>
        <w:t>9</w:t>
      </w:r>
      <w:r>
        <w:rPr>
          <w:spacing w:val="-52"/>
        </w:rPr>
        <w:t xml:space="preserve"> </w:t>
      </w:r>
      <w:r>
        <w:rPr>
          <w:spacing w:val="-2"/>
        </w:rPr>
        <w:t>名，工勤</w:t>
      </w:r>
      <w:r>
        <w:rPr>
          <w:spacing w:val="-58"/>
        </w:rPr>
        <w:t xml:space="preserve"> </w:t>
      </w:r>
      <w:r>
        <w:rPr>
          <w:spacing w:val="-2"/>
        </w:rPr>
        <w:t>2</w:t>
      </w:r>
      <w:r>
        <w:rPr>
          <w:spacing w:val="-52"/>
        </w:rPr>
        <w:t xml:space="preserve"> </w:t>
      </w:r>
      <w:r>
        <w:rPr>
          <w:spacing w:val="-2"/>
        </w:rPr>
        <w:t>名。</w:t>
      </w:r>
      <w:r>
        <w:rPr>
          <w:rFonts w:hint="eastAsia"/>
          <w:spacing w:val="3"/>
        </w:rPr>
        <w:t>慈坝乡</w:t>
      </w:r>
      <w:r>
        <w:rPr>
          <w:rFonts w:hint="eastAsia"/>
          <w:spacing w:val="3"/>
          <w:lang w:eastAsia="zh-CN"/>
        </w:rPr>
        <w:t>2024</w:t>
      </w:r>
      <w:r>
        <w:rPr>
          <w:rFonts w:hint="eastAsia"/>
          <w:spacing w:val="3"/>
        </w:rPr>
        <w:t>年12月在册人数：在职</w:t>
      </w:r>
      <w:r>
        <w:rPr>
          <w:rFonts w:hint="eastAsia"/>
          <w:spacing w:val="3"/>
          <w:lang w:val="en-US" w:eastAsia="zh-CN"/>
        </w:rPr>
        <w:t>27</w:t>
      </w:r>
      <w:r>
        <w:rPr>
          <w:rFonts w:hint="eastAsia"/>
          <w:spacing w:val="3"/>
        </w:rPr>
        <w:t>名，其中：行政人员</w:t>
      </w:r>
      <w:r>
        <w:rPr>
          <w:rFonts w:hint="eastAsia"/>
          <w:spacing w:val="3"/>
          <w:lang w:val="en-US" w:eastAsia="zh-CN"/>
        </w:rPr>
        <w:t>17</w:t>
      </w:r>
      <w:r>
        <w:rPr>
          <w:rFonts w:hint="eastAsia"/>
          <w:spacing w:val="3"/>
        </w:rPr>
        <w:t>名，其他事业人员</w:t>
      </w:r>
      <w:r>
        <w:rPr>
          <w:rFonts w:hint="eastAsia"/>
          <w:spacing w:val="3"/>
          <w:lang w:val="en-US" w:eastAsia="zh-CN"/>
        </w:rPr>
        <w:t>7</w:t>
      </w:r>
      <w:r>
        <w:rPr>
          <w:rFonts w:hint="eastAsia"/>
          <w:spacing w:val="3"/>
        </w:rPr>
        <w:t>名，行政工勤2名</w:t>
      </w:r>
      <w:r>
        <w:rPr>
          <w:rFonts w:hint="eastAsia"/>
          <w:spacing w:val="3"/>
          <w:lang w:eastAsia="zh-CN"/>
        </w:rPr>
        <w:t>，</w:t>
      </w:r>
      <w:r>
        <w:rPr>
          <w:rFonts w:hint="eastAsia"/>
          <w:spacing w:val="3"/>
        </w:rPr>
        <w:t>事业工勤</w:t>
      </w:r>
      <w:r>
        <w:rPr>
          <w:rFonts w:hint="eastAsia"/>
          <w:spacing w:val="3"/>
          <w:lang w:val="en-US" w:eastAsia="zh-CN"/>
        </w:rPr>
        <w:t>1名。</w:t>
      </w:r>
    </w:p>
    <w:p>
      <w:pPr>
        <w:spacing w:before="59" w:line="227" w:lineRule="auto"/>
        <w:ind w:left="687"/>
        <w:rPr>
          <w:rFonts w:ascii="黑体" w:hAnsi="黑体" w:eastAsia="黑体" w:cs="黑体"/>
          <w:sz w:val="31"/>
          <w:szCs w:val="31"/>
        </w:rPr>
      </w:pPr>
      <w:r>
        <w:rPr>
          <w:rFonts w:ascii="黑体" w:hAnsi="黑体" w:eastAsia="黑体" w:cs="黑体"/>
          <w:spacing w:val="8"/>
          <w:sz w:val="31"/>
          <w:szCs w:val="31"/>
        </w:rPr>
        <w:t>二、部门资金收支情况</w:t>
      </w:r>
    </w:p>
    <w:p>
      <w:pPr>
        <w:spacing w:line="600" w:lineRule="exact"/>
        <w:ind w:firstLine="638" w:firstLineChars="200"/>
        <w:outlineLvl w:val="1"/>
        <w:rPr>
          <w:rFonts w:hint="eastAsia" w:eastAsia="仿宋"/>
          <w:lang w:eastAsia="zh-CN"/>
        </w:rPr>
      </w:pPr>
      <w:r>
        <w:rPr>
          <w:rFonts w:ascii="楷体" w:hAnsi="楷体" w:eastAsia="楷体" w:cs="楷体"/>
          <w:b/>
          <w:bCs/>
          <w:snapToGrid w:val="0"/>
          <w:color w:val="000000"/>
          <w:spacing w:val="4"/>
          <w:kern w:val="0"/>
          <w:sz w:val="31"/>
          <w:szCs w:val="31"/>
          <w:lang w:val="en-US" w:eastAsia="en-US" w:bidi="ar-SA"/>
        </w:rPr>
        <w:t>（一）收入情况。</w:t>
      </w:r>
      <w:r>
        <w:rPr>
          <w:rFonts w:hint="eastAsia" w:ascii="仿宋" w:hAnsi="仿宋" w:eastAsia="仿宋" w:cs="仿宋"/>
          <w:snapToGrid w:val="0"/>
          <w:color w:val="000000"/>
          <w:spacing w:val="3"/>
          <w:kern w:val="0"/>
          <w:sz w:val="31"/>
          <w:szCs w:val="31"/>
          <w:lang w:val="en-US" w:eastAsia="en-US" w:bidi="ar-SA"/>
        </w:rPr>
        <w:t xml:space="preserve">慈坝乡 </w:t>
      </w:r>
      <w:r>
        <w:rPr>
          <w:rFonts w:hint="eastAsia" w:ascii="仿宋" w:hAnsi="仿宋" w:eastAsia="仿宋" w:cs="仿宋"/>
          <w:snapToGrid w:val="0"/>
          <w:color w:val="000000"/>
          <w:spacing w:val="3"/>
          <w:kern w:val="0"/>
          <w:sz w:val="31"/>
          <w:szCs w:val="31"/>
          <w:lang w:val="en-US" w:eastAsia="zh-CN" w:bidi="ar-SA"/>
        </w:rPr>
        <w:t>2024</w:t>
      </w:r>
      <w:r>
        <w:rPr>
          <w:rFonts w:hint="eastAsia" w:ascii="仿宋" w:hAnsi="仿宋" w:eastAsia="仿宋" w:cs="仿宋"/>
          <w:snapToGrid w:val="0"/>
          <w:color w:val="000000"/>
          <w:spacing w:val="3"/>
          <w:kern w:val="0"/>
          <w:sz w:val="31"/>
          <w:szCs w:val="31"/>
          <w:lang w:val="en-US" w:eastAsia="en-US" w:bidi="ar-SA"/>
        </w:rPr>
        <w:t>年预算收入</w:t>
      </w:r>
      <w:r>
        <w:rPr>
          <w:rFonts w:hint="eastAsia" w:ascii="仿宋" w:hAnsi="仿宋" w:eastAsia="仿宋" w:cs="仿宋"/>
          <w:snapToGrid w:val="0"/>
          <w:color w:val="000000"/>
          <w:spacing w:val="3"/>
          <w:kern w:val="0"/>
          <w:sz w:val="31"/>
          <w:szCs w:val="31"/>
          <w:lang w:val="en-US" w:eastAsia="zh-CN" w:bidi="ar-SA"/>
        </w:rPr>
        <w:t>7643479</w:t>
      </w:r>
      <w:r>
        <w:rPr>
          <w:rFonts w:hint="eastAsia" w:ascii="仿宋" w:hAnsi="仿宋" w:eastAsia="仿宋" w:cs="仿宋"/>
          <w:snapToGrid w:val="0"/>
          <w:color w:val="000000"/>
          <w:spacing w:val="3"/>
          <w:kern w:val="0"/>
          <w:sz w:val="31"/>
          <w:szCs w:val="31"/>
          <w:lang w:val="en-US" w:eastAsia="en-US" w:bidi="ar-SA"/>
        </w:rPr>
        <w:t>元</w:t>
      </w:r>
      <w:r>
        <w:rPr>
          <w:rFonts w:hint="eastAsia" w:ascii="仿宋" w:hAnsi="仿宋" w:eastAsia="仿宋" w:cs="仿宋"/>
          <w:snapToGrid w:val="0"/>
          <w:color w:val="000000"/>
          <w:spacing w:val="3"/>
          <w:kern w:val="0"/>
          <w:sz w:val="31"/>
          <w:szCs w:val="31"/>
          <w:lang w:val="en-US" w:eastAsia="zh-CN" w:bidi="ar-SA"/>
        </w:rPr>
        <w:t>，</w:t>
      </w:r>
      <w:r>
        <w:rPr>
          <w:rFonts w:hint="eastAsia" w:ascii="仿宋" w:hAnsi="仿宋" w:eastAsia="仿宋" w:cs="仿宋"/>
          <w:snapToGrid w:val="0"/>
          <w:color w:val="000000"/>
          <w:spacing w:val="3"/>
          <w:kern w:val="0"/>
          <w:sz w:val="31"/>
          <w:szCs w:val="31"/>
          <w:lang w:val="en-US" w:eastAsia="en-US" w:bidi="ar-SA"/>
        </w:rPr>
        <w:t>与决算报表收入一致</w:t>
      </w:r>
      <w:r>
        <w:rPr>
          <w:rFonts w:hint="eastAsia" w:ascii="仿宋" w:hAnsi="仿宋" w:eastAsia="仿宋" w:cs="仿宋"/>
          <w:snapToGrid w:val="0"/>
          <w:color w:val="000000"/>
          <w:spacing w:val="3"/>
          <w:kern w:val="0"/>
          <w:sz w:val="31"/>
          <w:szCs w:val="31"/>
          <w:lang w:val="en-US" w:eastAsia="zh-CN" w:bidi="ar-SA"/>
        </w:rPr>
        <w:t>，</w:t>
      </w:r>
      <w:r>
        <w:rPr>
          <w:rFonts w:hint="eastAsia" w:ascii="仿宋_GB2312" w:eastAsia="仿宋_GB2312" w:cs="仿宋_GB2312"/>
          <w:color w:val="000000"/>
          <w:sz w:val="32"/>
          <w:szCs w:val="32"/>
          <w:lang w:bidi="ar-SA"/>
        </w:rPr>
        <w:t>其中：一般公共预算财政拨款收入</w:t>
      </w:r>
      <w:r>
        <w:rPr>
          <w:rFonts w:hint="eastAsia" w:ascii="仿宋_GB2312" w:eastAsia="仿宋_GB2312" w:cs="仿宋_GB2312"/>
          <w:color w:val="000000"/>
          <w:sz w:val="32"/>
          <w:szCs w:val="32"/>
          <w:lang w:val="en-US" w:eastAsia="zh-CN" w:bidi="ar-SA"/>
        </w:rPr>
        <w:t>7643219.00</w:t>
      </w:r>
      <w:r>
        <w:rPr>
          <w:rFonts w:hint="eastAsia" w:ascii="仿宋_GB2312" w:eastAsia="仿宋_GB2312" w:cs="仿宋_GB2312"/>
          <w:color w:val="000000"/>
          <w:sz w:val="32"/>
          <w:szCs w:val="32"/>
          <w:lang w:bidi="ar-SA"/>
        </w:rPr>
        <w:t>元，占</w:t>
      </w:r>
      <w:r>
        <w:rPr>
          <w:rFonts w:hint="eastAsia" w:ascii="仿宋_GB2312" w:eastAsia="仿宋_GB2312" w:cs="仿宋_GB2312"/>
          <w:color w:val="000000"/>
          <w:sz w:val="32"/>
          <w:szCs w:val="32"/>
          <w:lang w:val="en-US" w:eastAsia="zh-CN" w:bidi="ar-SA"/>
        </w:rPr>
        <w:t>99.99</w:t>
      </w:r>
      <w:r>
        <w:rPr>
          <w:rFonts w:hint="eastAsia" w:ascii="仿宋_GB2312" w:eastAsia="仿宋_GB2312" w:cs="仿宋_GB2312"/>
          <w:color w:val="000000"/>
          <w:sz w:val="32"/>
          <w:szCs w:val="32"/>
          <w:lang w:bidi="ar-SA"/>
        </w:rPr>
        <w:t>%；年初财政拨款结转结余</w:t>
      </w:r>
      <w:r>
        <w:rPr>
          <w:rFonts w:hint="eastAsia" w:ascii="仿宋_GB2312" w:eastAsia="仿宋_GB2312" w:cs="仿宋_GB2312"/>
          <w:color w:val="000000"/>
          <w:sz w:val="32"/>
          <w:szCs w:val="32"/>
          <w:lang w:val="en-US" w:eastAsia="zh-CN" w:bidi="ar-SA"/>
        </w:rPr>
        <w:t>0</w:t>
      </w:r>
      <w:r>
        <w:rPr>
          <w:rFonts w:hint="eastAsia" w:ascii="仿宋_GB2312" w:eastAsia="仿宋_GB2312" w:cs="仿宋_GB2312"/>
          <w:color w:val="000000"/>
          <w:sz w:val="32"/>
          <w:szCs w:val="32"/>
          <w:lang w:bidi="ar-SA"/>
        </w:rPr>
        <w:t>元，占</w:t>
      </w:r>
      <w:r>
        <w:rPr>
          <w:rFonts w:hint="eastAsia" w:ascii="仿宋_GB2312" w:eastAsia="仿宋_GB2312" w:cs="仿宋_GB2312"/>
          <w:color w:val="000000"/>
          <w:sz w:val="32"/>
          <w:szCs w:val="32"/>
          <w:lang w:val="en-US" w:eastAsia="zh-CN" w:bidi="ar-SA"/>
        </w:rPr>
        <w:t>0</w:t>
      </w:r>
      <w:r>
        <w:rPr>
          <w:rFonts w:hint="eastAsia" w:ascii="仿宋_GB2312" w:eastAsia="仿宋_GB2312" w:cs="仿宋_GB2312"/>
          <w:color w:val="000000"/>
          <w:sz w:val="32"/>
          <w:szCs w:val="32"/>
          <w:lang w:bidi="ar-SA"/>
        </w:rPr>
        <w:t>%；政府性基金预算财政拨款收入0元，占0%；国有资本经营预算财政拨款收入</w:t>
      </w:r>
      <w:r>
        <w:rPr>
          <w:rFonts w:hint="eastAsia" w:ascii="仿宋_GB2312" w:eastAsia="仿宋_GB2312" w:cs="仿宋_GB2312"/>
          <w:color w:val="000000"/>
          <w:sz w:val="32"/>
          <w:szCs w:val="32"/>
          <w:lang w:val="en-US" w:eastAsia="zh-CN" w:bidi="ar-SA"/>
        </w:rPr>
        <w:t>260</w:t>
      </w:r>
      <w:r>
        <w:rPr>
          <w:rFonts w:hint="eastAsia" w:ascii="仿宋_GB2312" w:eastAsia="仿宋_GB2312" w:cs="仿宋_GB2312"/>
          <w:color w:val="000000"/>
          <w:sz w:val="32"/>
          <w:szCs w:val="32"/>
          <w:lang w:bidi="ar-SA"/>
        </w:rPr>
        <w:t>元，占0</w:t>
      </w:r>
      <w:r>
        <w:rPr>
          <w:rFonts w:hint="eastAsia" w:ascii="仿宋_GB2312" w:eastAsia="仿宋_GB2312" w:cs="仿宋_GB2312"/>
          <w:color w:val="000000"/>
          <w:sz w:val="32"/>
          <w:szCs w:val="32"/>
          <w:lang w:val="en-US" w:eastAsia="zh-CN" w:bidi="ar-SA"/>
        </w:rPr>
        <w:t>.01</w:t>
      </w:r>
      <w:r>
        <w:rPr>
          <w:rFonts w:hint="eastAsia" w:ascii="仿宋_GB2312" w:eastAsia="仿宋_GB2312" w:cs="仿宋_GB2312"/>
          <w:color w:val="000000"/>
          <w:sz w:val="32"/>
          <w:szCs w:val="32"/>
          <w:lang w:bidi="ar-SA"/>
        </w:rPr>
        <w:t>%；事业收入0元，占0%；经营收入0元，占0%；附属单位上缴收入0元，占0%；其他收入0元，占0%。</w:t>
      </w:r>
    </w:p>
    <w:p>
      <w:pPr>
        <w:pStyle w:val="3"/>
        <w:spacing w:before="195" w:line="285" w:lineRule="auto"/>
        <w:ind w:left="55" w:right="124" w:firstLine="652"/>
        <w:rPr>
          <w:rFonts w:hint="eastAsia" w:ascii="仿宋_GB2312" w:eastAsia="仿宋_GB2312" w:cs="仿宋_GB2312"/>
          <w:sz w:val="32"/>
          <w:szCs w:val="32"/>
          <w:lang w:bidi="ar-SA"/>
        </w:rPr>
      </w:pPr>
      <w:r>
        <w:rPr>
          <w:rFonts w:ascii="楷体" w:hAnsi="楷体" w:eastAsia="楷体" w:cs="楷体"/>
          <w:b/>
          <w:bCs/>
          <w:spacing w:val="4"/>
        </w:rPr>
        <w:t>（二）支出情况。</w:t>
      </w:r>
      <w:r>
        <w:rPr>
          <w:spacing w:val="4"/>
        </w:rPr>
        <w:t>慈坝乡</w:t>
      </w:r>
      <w:r>
        <w:rPr>
          <w:spacing w:val="-54"/>
        </w:rPr>
        <w:t xml:space="preserve"> </w:t>
      </w:r>
      <w:r>
        <w:rPr>
          <w:rFonts w:hint="eastAsia" w:ascii="Times New Roman" w:hAnsi="Times New Roman" w:eastAsia="宋体" w:cs="Times New Roman"/>
          <w:spacing w:val="4"/>
          <w:lang w:eastAsia="zh-CN"/>
        </w:rPr>
        <w:t>2024</w:t>
      </w:r>
      <w:r>
        <w:rPr>
          <w:spacing w:val="4"/>
        </w:rPr>
        <w:t>年年初预算支出</w:t>
      </w:r>
      <w:r>
        <w:rPr>
          <w:rFonts w:hint="eastAsia"/>
          <w:spacing w:val="4"/>
          <w:lang w:val="en-US" w:eastAsia="zh-CN"/>
        </w:rPr>
        <w:t>7643479</w:t>
      </w:r>
      <w:r>
        <w:rPr>
          <w:spacing w:val="4"/>
        </w:rPr>
        <w:t xml:space="preserve"> 元</w:t>
      </w:r>
      <w:r>
        <w:rPr>
          <w:rFonts w:hint="eastAsia"/>
          <w:spacing w:val="4"/>
          <w:lang w:eastAsia="zh-CN"/>
        </w:rPr>
        <w:t>，</w:t>
      </w:r>
      <w:r>
        <w:rPr>
          <w:spacing w:val="6"/>
        </w:rPr>
        <w:t>与决算报表支出一致</w:t>
      </w:r>
      <w:r>
        <w:rPr>
          <w:rFonts w:hint="eastAsia"/>
          <w:spacing w:val="6"/>
          <w:lang w:eastAsia="zh-CN"/>
        </w:rPr>
        <w:t>，</w:t>
      </w:r>
      <w:r>
        <w:rPr>
          <w:rFonts w:hint="eastAsia" w:ascii="仿宋_GB2312" w:eastAsia="仿宋_GB2312" w:cs="仿宋_GB2312"/>
          <w:color w:val="000000"/>
          <w:sz w:val="32"/>
          <w:szCs w:val="32"/>
          <w:lang w:bidi="ar-SA"/>
        </w:rPr>
        <w:t>其中：</w:t>
      </w:r>
      <w:r>
        <w:rPr>
          <w:rFonts w:hint="eastAsia" w:ascii="仿宋_GB2312" w:eastAsia="仿宋_GB2312" w:cs="仿宋_GB2312"/>
          <w:sz w:val="32"/>
          <w:szCs w:val="32"/>
          <w:lang w:bidi="ar-SA"/>
        </w:rPr>
        <w:t>基本支出</w:t>
      </w:r>
      <w:r>
        <w:rPr>
          <w:rFonts w:hint="eastAsia" w:ascii="仿宋_GB2312" w:eastAsia="仿宋_GB2312" w:cs="仿宋_GB2312"/>
          <w:sz w:val="32"/>
          <w:szCs w:val="32"/>
          <w:lang w:val="en-US" w:eastAsia="zh-CN" w:bidi="ar-SA"/>
        </w:rPr>
        <w:t>6264100.43</w:t>
      </w:r>
      <w:r>
        <w:rPr>
          <w:rFonts w:hint="eastAsia" w:ascii="仿宋_GB2312" w:eastAsia="仿宋_GB2312" w:cs="仿宋_GB2312"/>
          <w:sz w:val="32"/>
          <w:szCs w:val="32"/>
          <w:lang w:bidi="ar-SA"/>
        </w:rPr>
        <w:t>元，占</w:t>
      </w:r>
      <w:r>
        <w:rPr>
          <w:rFonts w:hint="eastAsia" w:ascii="仿宋_GB2312" w:eastAsia="仿宋_GB2312" w:cs="仿宋_GB2312"/>
          <w:sz w:val="32"/>
          <w:szCs w:val="32"/>
          <w:lang w:val="en-US" w:eastAsia="zh-CN" w:bidi="ar-SA"/>
        </w:rPr>
        <w:t>81</w:t>
      </w:r>
      <w:r>
        <w:rPr>
          <w:rFonts w:hint="eastAsia" w:ascii="仿宋_GB2312" w:eastAsia="仿宋_GB2312" w:cs="仿宋_GB2312"/>
          <w:sz w:val="32"/>
          <w:szCs w:val="32"/>
          <w:lang w:bidi="ar-SA"/>
        </w:rPr>
        <w:t>%，项目支出</w:t>
      </w:r>
      <w:r>
        <w:rPr>
          <w:rFonts w:hint="eastAsia" w:ascii="仿宋_GB2312" w:eastAsia="仿宋_GB2312" w:cs="仿宋_GB2312"/>
          <w:sz w:val="32"/>
          <w:szCs w:val="32"/>
          <w:lang w:val="en-US" w:eastAsia="zh-CN" w:bidi="ar-SA"/>
        </w:rPr>
        <w:t>1379378.57</w:t>
      </w:r>
      <w:r>
        <w:rPr>
          <w:rFonts w:hint="eastAsia" w:ascii="仿宋_GB2312" w:eastAsia="仿宋_GB2312" w:cs="仿宋_GB2312"/>
          <w:sz w:val="32"/>
          <w:szCs w:val="32"/>
          <w:lang w:bidi="ar-SA"/>
        </w:rPr>
        <w:t>元,占</w:t>
      </w:r>
      <w:r>
        <w:rPr>
          <w:rFonts w:hint="eastAsia" w:ascii="仿宋_GB2312" w:eastAsia="仿宋_GB2312" w:cs="仿宋_GB2312"/>
          <w:sz w:val="32"/>
          <w:szCs w:val="32"/>
          <w:lang w:val="en-US" w:eastAsia="zh-CN" w:bidi="ar-SA"/>
        </w:rPr>
        <w:t>19</w:t>
      </w:r>
      <w:r>
        <w:rPr>
          <w:rFonts w:hint="eastAsia" w:ascii="仿宋_GB2312" w:eastAsia="仿宋_GB2312" w:cs="仿宋_GB2312"/>
          <w:sz w:val="32"/>
          <w:szCs w:val="32"/>
          <w:lang w:bidi="ar-SA"/>
        </w:rPr>
        <w:t>%；</w:t>
      </w:r>
      <w:r>
        <w:rPr>
          <w:rFonts w:hint="eastAsia" w:ascii="仿宋_GB2312" w:eastAsia="仿宋_GB2312" w:cs="仿宋_GB2312"/>
          <w:color w:val="000000"/>
          <w:sz w:val="32"/>
          <w:szCs w:val="32"/>
          <w:lang w:bidi="ar-SA"/>
        </w:rPr>
        <w:t>上缴上级支出0万元，占0%；经营支出0万元，占0%；对附属单位补助支出0万元，占0%。</w:t>
      </w:r>
    </w:p>
    <w:p>
      <w:pPr>
        <w:rPr>
          <w:rFonts w:hint="eastAsia"/>
          <w:lang w:eastAsia="zh-CN"/>
        </w:rPr>
      </w:pPr>
    </w:p>
    <w:p>
      <w:pPr>
        <w:pStyle w:val="3"/>
        <w:spacing w:before="193" w:line="284" w:lineRule="auto"/>
        <w:ind w:left="54" w:right="90" w:firstLine="653"/>
      </w:pPr>
      <w:r>
        <w:rPr>
          <w:rFonts w:ascii="楷体" w:hAnsi="楷体" w:eastAsia="楷体" w:cs="楷体"/>
          <w:b/>
          <w:bCs/>
          <w:spacing w:val="6"/>
        </w:rPr>
        <w:t>（三）结余分配和结转结余情况。</w:t>
      </w:r>
      <w:r>
        <w:rPr>
          <w:spacing w:val="6"/>
        </w:rPr>
        <w:t>慈坝乡</w:t>
      </w:r>
      <w:r>
        <w:rPr>
          <w:spacing w:val="-63"/>
        </w:rPr>
        <w:t xml:space="preserve"> </w:t>
      </w:r>
      <w:r>
        <w:rPr>
          <w:rFonts w:hint="eastAsia" w:ascii="Times New Roman" w:hAnsi="Times New Roman" w:eastAsia="宋体" w:cs="Times New Roman"/>
          <w:spacing w:val="6"/>
          <w:lang w:eastAsia="zh-CN"/>
        </w:rPr>
        <w:t>2024</w:t>
      </w:r>
      <w:r>
        <w:rPr>
          <w:spacing w:val="6"/>
        </w:rPr>
        <w:t>年决算报表</w:t>
      </w:r>
      <w:r>
        <w:t xml:space="preserve"> </w:t>
      </w:r>
      <w:r>
        <w:rPr>
          <w:spacing w:val="5"/>
        </w:rPr>
        <w:t>无结转结余情况。</w:t>
      </w:r>
    </w:p>
    <w:p>
      <w:pPr>
        <w:spacing w:before="200" w:line="226" w:lineRule="auto"/>
        <w:ind w:left="689"/>
        <w:rPr>
          <w:rFonts w:ascii="黑体" w:hAnsi="黑体" w:eastAsia="黑体" w:cs="黑体"/>
          <w:sz w:val="31"/>
          <w:szCs w:val="31"/>
        </w:rPr>
      </w:pPr>
      <w:r>
        <w:rPr>
          <w:rFonts w:ascii="黑体" w:hAnsi="黑体" w:eastAsia="黑体" w:cs="黑体"/>
          <w:spacing w:val="8"/>
          <w:sz w:val="31"/>
          <w:szCs w:val="31"/>
        </w:rPr>
        <w:t>三、部门预算绩效分析</w:t>
      </w:r>
    </w:p>
    <w:p>
      <w:pPr>
        <w:spacing w:before="196" w:line="230" w:lineRule="auto"/>
        <w:ind w:left="708"/>
        <w:outlineLvl w:val="1"/>
        <w:rPr>
          <w:rFonts w:ascii="楷体" w:hAnsi="楷体" w:eastAsia="楷体" w:cs="楷体"/>
          <w:sz w:val="31"/>
          <w:szCs w:val="31"/>
        </w:rPr>
      </w:pPr>
      <w:r>
        <w:rPr>
          <w:rFonts w:ascii="楷体" w:hAnsi="楷体" w:eastAsia="楷体" w:cs="楷体"/>
          <w:b/>
          <w:bCs/>
          <w:spacing w:val="4"/>
          <w:sz w:val="31"/>
          <w:szCs w:val="31"/>
        </w:rPr>
        <w:t>（一）部门预算总体绩效分析。</w:t>
      </w:r>
    </w:p>
    <w:p>
      <w:pPr>
        <w:pStyle w:val="3"/>
        <w:spacing w:before="101" w:line="327" w:lineRule="auto"/>
        <w:ind w:right="59" w:firstLine="640" w:firstLineChars="200"/>
      </w:pPr>
      <w:r>
        <w:rPr>
          <w:rFonts w:ascii="楷体" w:hAnsi="楷体" w:eastAsia="楷体" w:cs="楷体"/>
          <w:spacing w:val="5"/>
        </w:rPr>
        <w:t>1.履职效能。</w:t>
      </w:r>
      <w:r>
        <w:rPr>
          <w:rFonts w:hint="eastAsia" w:eastAsia="楷体"/>
          <w:spacing w:val="5"/>
          <w:lang w:eastAsia="zh-CN"/>
        </w:rPr>
        <w:t>2024</w:t>
      </w:r>
      <w:r>
        <w:rPr>
          <w:spacing w:val="5"/>
        </w:rPr>
        <w:t>年主要完成工作:一是抓好脱贫攻坚与乡</w:t>
      </w:r>
      <w:r>
        <w:t xml:space="preserve"> </w:t>
      </w:r>
      <w:r>
        <w:rPr>
          <w:spacing w:val="8"/>
        </w:rPr>
        <w:t xml:space="preserve">村振兴有效衔接工作。二是抓好基层组织建设，夯实执政根基。 </w:t>
      </w:r>
      <w:r>
        <w:rPr>
          <w:spacing w:val="-3"/>
        </w:rPr>
        <w:t>三是推进社会事业发展，切实保障民生。四是推进产业结构调整，</w:t>
      </w:r>
      <w:r>
        <w:rPr>
          <w:spacing w:val="9"/>
        </w:rPr>
        <w:t xml:space="preserve"> </w:t>
      </w:r>
      <w:r>
        <w:rPr>
          <w:spacing w:val="5"/>
        </w:rPr>
        <w:t>助力群众增收。五是增强社会保障功能，落实民生政策。六是继 续加强城镇环境综合整治工作，动员广大干部群众积极参与环境</w:t>
      </w:r>
      <w:r>
        <w:rPr>
          <w:spacing w:val="2"/>
        </w:rPr>
        <w:t xml:space="preserve"> </w:t>
      </w:r>
      <w:r>
        <w:rPr>
          <w:spacing w:val="6"/>
        </w:rPr>
        <w:t>整治活动，不断提高村民文明卫生素质，提升对外形象。七是做 好社会维稳工作，努力把群众信访诉求解决在初始阶段和基层， 妥善处理社会矛盾纠纷和群体性事件。八是狠抓安全生产工作，</w:t>
      </w:r>
      <w:r>
        <w:rPr>
          <w:spacing w:val="10"/>
        </w:rPr>
        <w:t>全面落实安全生产责任制，杜绝重大安全事故的发生,整体履职</w:t>
      </w:r>
      <w:r>
        <w:rPr>
          <w:spacing w:val="9"/>
        </w:rPr>
        <w:t xml:space="preserve"> </w:t>
      </w:r>
      <w:r>
        <w:rPr>
          <w:spacing w:val="2"/>
        </w:rPr>
        <w:t>效能良好,该项指标总得分</w:t>
      </w:r>
      <w:r>
        <w:rPr>
          <w:spacing w:val="-24"/>
        </w:rPr>
        <w:t xml:space="preserve"> </w:t>
      </w:r>
      <w:r>
        <w:rPr>
          <w:spacing w:val="2"/>
        </w:rPr>
        <w:t>15</w:t>
      </w:r>
      <w:r>
        <w:rPr>
          <w:spacing w:val="-50"/>
        </w:rPr>
        <w:t xml:space="preserve"> </w:t>
      </w:r>
      <w:r>
        <w:rPr>
          <w:spacing w:val="2"/>
        </w:rPr>
        <w:t>分。</w:t>
      </w:r>
    </w:p>
    <w:p>
      <w:pPr>
        <w:pStyle w:val="3"/>
        <w:spacing w:before="48" w:line="341" w:lineRule="auto"/>
        <w:ind w:firstLine="638"/>
        <w:jc w:val="both"/>
      </w:pPr>
      <w:r>
        <w:rPr>
          <w:rFonts w:ascii="楷体" w:hAnsi="楷体" w:eastAsia="楷体" w:cs="楷体"/>
          <w:spacing w:val="5"/>
        </w:rPr>
        <w:t>2.预算管理。</w:t>
      </w:r>
      <w:r>
        <w:rPr>
          <w:spacing w:val="5"/>
        </w:rPr>
        <w:t>我乡严格按照县财政局“人员经费按标</w:t>
      </w:r>
      <w:r>
        <w:rPr>
          <w:spacing w:val="4"/>
        </w:rPr>
        <w:t>准，公</w:t>
      </w:r>
      <w:r>
        <w:t xml:space="preserve"> </w:t>
      </w:r>
      <w:r>
        <w:rPr>
          <w:spacing w:val="7"/>
        </w:rPr>
        <w:t>用经费按定额</w:t>
      </w:r>
      <w:r>
        <w:rPr>
          <w:spacing w:val="-108"/>
        </w:rPr>
        <w:t xml:space="preserve"> </w:t>
      </w:r>
      <w:r>
        <w:rPr>
          <w:spacing w:val="7"/>
        </w:rPr>
        <w:t>”的预算要求，科学、准确地编制我乡</w:t>
      </w:r>
      <w:r>
        <w:rPr>
          <w:spacing w:val="-56"/>
        </w:rPr>
        <w:t xml:space="preserve"> </w:t>
      </w:r>
      <w:r>
        <w:rPr>
          <w:rFonts w:hint="eastAsia"/>
          <w:spacing w:val="7"/>
          <w:lang w:eastAsia="zh-CN"/>
        </w:rPr>
        <w:t>2024</w:t>
      </w:r>
      <w:r>
        <w:rPr>
          <w:spacing w:val="7"/>
        </w:rPr>
        <w:t>年度</w:t>
      </w:r>
      <w:r>
        <w:t xml:space="preserve"> </w:t>
      </w:r>
      <w:r>
        <w:rPr>
          <w:spacing w:val="9"/>
        </w:rPr>
        <w:t>预算，预算编制质量较优，该小项得</w:t>
      </w:r>
      <w:r>
        <w:rPr>
          <w:spacing w:val="-52"/>
        </w:rPr>
        <w:t xml:space="preserve"> </w:t>
      </w:r>
      <w:r>
        <w:rPr>
          <w:spacing w:val="9"/>
        </w:rPr>
        <w:t>7</w:t>
      </w:r>
      <w:r>
        <w:rPr>
          <w:spacing w:val="-47"/>
        </w:rPr>
        <w:t xml:space="preserve"> </w:t>
      </w:r>
      <w:r>
        <w:rPr>
          <w:spacing w:val="9"/>
        </w:rPr>
        <w:t>分;单位收入统筹</w:t>
      </w:r>
      <w:r>
        <w:rPr>
          <w:spacing w:val="8"/>
        </w:rPr>
        <w:t>情况良</w:t>
      </w:r>
      <w:r>
        <w:t xml:space="preserve"> </w:t>
      </w:r>
      <w:r>
        <w:rPr>
          <w:spacing w:val="-2"/>
        </w:rPr>
        <w:t>好，该小项得</w:t>
      </w:r>
      <w:r>
        <w:rPr>
          <w:spacing w:val="-58"/>
        </w:rPr>
        <w:t xml:space="preserve"> </w:t>
      </w:r>
      <w:r>
        <w:rPr>
          <w:spacing w:val="-2"/>
        </w:rPr>
        <w:t>4</w:t>
      </w:r>
      <w:r>
        <w:rPr>
          <w:spacing w:val="-50"/>
        </w:rPr>
        <w:t xml:space="preserve"> </w:t>
      </w:r>
      <w:r>
        <w:rPr>
          <w:spacing w:val="-2"/>
        </w:rPr>
        <w:t>分；部门预算执行情况</w:t>
      </w:r>
      <w:r>
        <w:rPr>
          <w:spacing w:val="-38"/>
        </w:rPr>
        <w:t xml:space="preserve"> </w:t>
      </w:r>
      <w:r>
        <w:rPr>
          <w:spacing w:val="-2"/>
        </w:rPr>
        <w:t>1</w:t>
      </w:r>
      <w:r>
        <w:rPr>
          <w:spacing w:val="-43"/>
        </w:rPr>
        <w:t xml:space="preserve"> </w:t>
      </w:r>
      <w:r>
        <w:rPr>
          <w:spacing w:val="-2"/>
        </w:rPr>
        <w:t>至</w:t>
      </w:r>
      <w:r>
        <w:rPr>
          <w:spacing w:val="-62"/>
        </w:rPr>
        <w:t xml:space="preserve"> </w:t>
      </w:r>
      <w:r>
        <w:rPr>
          <w:spacing w:val="-2"/>
        </w:rPr>
        <w:t>6</w:t>
      </w:r>
      <w:r>
        <w:rPr>
          <w:spacing w:val="-39"/>
        </w:rPr>
        <w:t xml:space="preserve"> </w:t>
      </w:r>
      <w:r>
        <w:rPr>
          <w:spacing w:val="-2"/>
        </w:rPr>
        <w:t>月一般,1</w:t>
      </w:r>
      <w:r>
        <w:rPr>
          <w:spacing w:val="-43"/>
        </w:rPr>
        <w:t xml:space="preserve"> </w:t>
      </w:r>
      <w:r>
        <w:rPr>
          <w:spacing w:val="-2"/>
        </w:rPr>
        <w:t>至</w:t>
      </w:r>
      <w:r>
        <w:rPr>
          <w:spacing w:val="-38"/>
        </w:rPr>
        <w:t xml:space="preserve"> </w:t>
      </w:r>
      <w:r>
        <w:rPr>
          <w:spacing w:val="-2"/>
        </w:rPr>
        <w:t>10</w:t>
      </w:r>
      <w:r>
        <w:rPr>
          <w:spacing w:val="-41"/>
        </w:rPr>
        <w:t xml:space="preserve"> </w:t>
      </w:r>
      <w:r>
        <w:rPr>
          <w:spacing w:val="-2"/>
        </w:rPr>
        <w:t>月</w:t>
      </w:r>
      <w:r>
        <w:t xml:space="preserve"> </w:t>
      </w:r>
      <w:r>
        <w:rPr>
          <w:spacing w:val="7"/>
        </w:rPr>
        <w:t>预算执行情况良好,该小项得</w:t>
      </w:r>
      <w:r>
        <w:rPr>
          <w:spacing w:val="-58"/>
        </w:rPr>
        <w:t xml:space="preserve"> </w:t>
      </w:r>
      <w:r>
        <w:rPr>
          <w:spacing w:val="7"/>
        </w:rPr>
        <w:t>6</w:t>
      </w:r>
      <w:r>
        <w:rPr>
          <w:spacing w:val="-47"/>
        </w:rPr>
        <w:t xml:space="preserve"> </w:t>
      </w:r>
      <w:r>
        <w:rPr>
          <w:spacing w:val="7"/>
        </w:rPr>
        <w:t>分;我乡</w:t>
      </w:r>
      <w:r>
        <w:rPr>
          <w:rFonts w:hint="eastAsia"/>
          <w:spacing w:val="7"/>
          <w:lang w:val="en-US" w:eastAsia="zh-CN"/>
        </w:rPr>
        <w:t>2024</w:t>
      </w:r>
      <w:r>
        <w:rPr>
          <w:spacing w:val="7"/>
        </w:rPr>
        <w:t>年度预算年终结余为</w:t>
      </w:r>
      <w:r>
        <w:rPr>
          <w:spacing w:val="3"/>
        </w:rPr>
        <w:t>零,该小项的</w:t>
      </w:r>
      <w:r>
        <w:rPr>
          <w:spacing w:val="-43"/>
        </w:rPr>
        <w:t xml:space="preserve"> </w:t>
      </w:r>
      <w:r>
        <w:rPr>
          <w:spacing w:val="3"/>
        </w:rPr>
        <w:t>2</w:t>
      </w:r>
      <w:r>
        <w:rPr>
          <w:spacing w:val="-49"/>
        </w:rPr>
        <w:t xml:space="preserve"> </w:t>
      </w:r>
      <w:r>
        <w:rPr>
          <w:spacing w:val="3"/>
        </w:rPr>
        <w:t>分;制定适宜我乡乡情的财务管理制度，将经费管</w:t>
      </w:r>
      <w:r>
        <w:t xml:space="preserve"> </w:t>
      </w:r>
      <w:r>
        <w:rPr>
          <w:spacing w:val="5"/>
        </w:rPr>
        <w:t>理、经费审批、借款管理、现金及支票管理和财务管理五个方面</w:t>
      </w:r>
      <w:r>
        <w:rPr>
          <w:spacing w:val="10"/>
        </w:rPr>
        <w:t xml:space="preserve"> </w:t>
      </w:r>
      <w:r>
        <w:rPr>
          <w:spacing w:val="7"/>
        </w:rPr>
        <w:t>融入进我乡财务管理制度。根据中央八项规定、省委十项规定、</w:t>
      </w:r>
      <w:r>
        <w:rPr>
          <w:spacing w:val="6"/>
        </w:rPr>
        <w:t>州委和县委相关规定，严控</w:t>
      </w:r>
      <w:r>
        <w:rPr>
          <w:rFonts w:ascii="Times New Roman" w:hAnsi="Times New Roman" w:eastAsia="Times New Roman" w:cs="Times New Roman"/>
          <w:spacing w:val="6"/>
        </w:rPr>
        <w:t>“</w:t>
      </w:r>
      <w:r>
        <w:rPr>
          <w:spacing w:val="6"/>
        </w:rPr>
        <w:t>三公</w:t>
      </w:r>
      <w:r>
        <w:rPr>
          <w:rFonts w:ascii="Times New Roman" w:hAnsi="Times New Roman" w:eastAsia="Times New Roman" w:cs="Times New Roman"/>
          <w:spacing w:val="6"/>
        </w:rPr>
        <w:t>”</w:t>
      </w:r>
      <w:r>
        <w:rPr>
          <w:spacing w:val="6"/>
        </w:rPr>
        <w:t>经费、会议、培训、差旅、办</w:t>
      </w:r>
      <w:r>
        <w:rPr>
          <w:spacing w:val="5"/>
        </w:rPr>
        <w:t>节办展、办公设备购置、信息网络及软件购置更新、课题经费等</w:t>
      </w:r>
      <w:r>
        <w:rPr>
          <w:spacing w:val="10"/>
        </w:rPr>
        <w:t xml:space="preserve"> </w:t>
      </w:r>
      <w:r>
        <w:rPr>
          <w:spacing w:val="12"/>
        </w:rPr>
        <w:t>8</w:t>
      </w:r>
      <w:r>
        <w:rPr>
          <w:spacing w:val="-31"/>
        </w:rPr>
        <w:t xml:space="preserve"> </w:t>
      </w:r>
      <w:r>
        <w:rPr>
          <w:spacing w:val="12"/>
        </w:rPr>
        <w:t>项一般性支出,单位领导干部加强对财政预算资金的管理，机</w:t>
      </w:r>
      <w:r>
        <w:t xml:space="preserve"> </w:t>
      </w:r>
      <w:r>
        <w:rPr>
          <w:spacing w:val="5"/>
        </w:rPr>
        <w:t>关干部、职工遵守财经纪律，按照财务管理制度办事，没有发生</w:t>
      </w:r>
      <w:r>
        <w:rPr>
          <w:spacing w:val="10"/>
        </w:rPr>
        <w:t xml:space="preserve"> </w:t>
      </w:r>
      <w:r>
        <w:rPr>
          <w:spacing w:val="9"/>
        </w:rPr>
        <w:t>违反财经纪律、违反财务管理制度的情况。该小项得</w:t>
      </w:r>
      <w:r>
        <w:rPr>
          <w:spacing w:val="-53"/>
        </w:rPr>
        <w:t xml:space="preserve"> </w:t>
      </w:r>
      <w:r>
        <w:rPr>
          <w:spacing w:val="9"/>
        </w:rPr>
        <w:t>5</w:t>
      </w:r>
      <w:r>
        <w:rPr>
          <w:spacing w:val="-49"/>
        </w:rPr>
        <w:t xml:space="preserve"> </w:t>
      </w:r>
      <w:r>
        <w:rPr>
          <w:spacing w:val="9"/>
        </w:rPr>
        <w:t>分,预算</w:t>
      </w:r>
      <w:r>
        <w:t xml:space="preserve"> </w:t>
      </w:r>
      <w:r>
        <w:rPr>
          <w:spacing w:val="3"/>
        </w:rPr>
        <w:t>管理指标整体总得</w:t>
      </w:r>
      <w:r>
        <w:rPr>
          <w:spacing w:val="-51"/>
        </w:rPr>
        <w:t xml:space="preserve"> </w:t>
      </w:r>
      <w:r>
        <w:rPr>
          <w:spacing w:val="3"/>
        </w:rPr>
        <w:t>24</w:t>
      </w:r>
      <w:r>
        <w:rPr>
          <w:spacing w:val="-49"/>
        </w:rPr>
        <w:t xml:space="preserve"> </w:t>
      </w:r>
      <w:r>
        <w:rPr>
          <w:spacing w:val="3"/>
        </w:rPr>
        <w:t>分。</w:t>
      </w:r>
    </w:p>
    <w:p>
      <w:pPr>
        <w:pStyle w:val="3"/>
        <w:spacing w:before="57" w:line="336" w:lineRule="auto"/>
        <w:ind w:left="9" w:right="57" w:firstLine="630"/>
        <w:jc w:val="both"/>
      </w:pPr>
      <w:r>
        <w:rPr>
          <w:rFonts w:ascii="楷体" w:hAnsi="楷体" w:eastAsia="楷体" w:cs="楷体"/>
          <w:spacing w:val="5"/>
        </w:rPr>
        <w:t>3.财务管理。</w:t>
      </w:r>
      <w:r>
        <w:rPr>
          <w:spacing w:val="5"/>
        </w:rPr>
        <w:t>慈坝乡已制定内部财务管理制度</w:t>
      </w:r>
      <w:r>
        <w:rPr>
          <w:spacing w:val="4"/>
        </w:rPr>
        <w:t>等制度机制并</w:t>
      </w:r>
      <w:r>
        <w:t xml:space="preserve"> </w:t>
      </w:r>
      <w:r>
        <w:rPr>
          <w:spacing w:val="3"/>
        </w:rPr>
        <w:t>且财务管理制度得到落实，该小项得</w:t>
      </w:r>
      <w:r>
        <w:rPr>
          <w:spacing w:val="-47"/>
        </w:rPr>
        <w:t xml:space="preserve"> </w:t>
      </w:r>
      <w:r>
        <w:rPr>
          <w:spacing w:val="3"/>
        </w:rPr>
        <w:t>4</w:t>
      </w:r>
      <w:r>
        <w:rPr>
          <w:spacing w:val="-50"/>
        </w:rPr>
        <w:t xml:space="preserve"> </w:t>
      </w:r>
      <w:r>
        <w:rPr>
          <w:spacing w:val="3"/>
        </w:rPr>
        <w:t>分；合理设置财务工作岗</w:t>
      </w:r>
      <w:r>
        <w:t xml:space="preserve"> </w:t>
      </w:r>
      <w:r>
        <w:rPr>
          <w:spacing w:val="7"/>
        </w:rPr>
        <w:t>位，明确职责权限，并严格实行不相容岗位分离的，该小项得</w:t>
      </w:r>
      <w:r>
        <w:rPr>
          <w:spacing w:val="-55"/>
        </w:rPr>
        <w:t xml:space="preserve"> </w:t>
      </w:r>
      <w:r>
        <w:rPr>
          <w:spacing w:val="7"/>
        </w:rPr>
        <w:t>2</w:t>
      </w:r>
      <w:r>
        <w:t xml:space="preserve"> </w:t>
      </w:r>
      <w:r>
        <w:rPr>
          <w:spacing w:val="3"/>
        </w:rPr>
        <w:t>分；资金使用符合相关财务管理制度规定，该小项得</w:t>
      </w:r>
      <w:r>
        <w:rPr>
          <w:spacing w:val="-49"/>
        </w:rPr>
        <w:t xml:space="preserve"> </w:t>
      </w:r>
      <w:r>
        <w:rPr>
          <w:spacing w:val="3"/>
        </w:rPr>
        <w:t>4</w:t>
      </w:r>
      <w:r>
        <w:rPr>
          <w:spacing w:val="-50"/>
        </w:rPr>
        <w:t xml:space="preserve"> </w:t>
      </w:r>
      <w:r>
        <w:rPr>
          <w:spacing w:val="3"/>
        </w:rPr>
        <w:t>分；财务</w:t>
      </w:r>
      <w:r>
        <w:t xml:space="preserve"> </w:t>
      </w:r>
      <w:r>
        <w:rPr>
          <w:spacing w:val="2"/>
        </w:rPr>
        <w:t>管理该项指标总得分</w:t>
      </w:r>
      <w:r>
        <w:rPr>
          <w:spacing w:val="-39"/>
        </w:rPr>
        <w:t xml:space="preserve"> </w:t>
      </w:r>
      <w:r>
        <w:rPr>
          <w:spacing w:val="2"/>
        </w:rPr>
        <w:t>10</w:t>
      </w:r>
      <w:r>
        <w:rPr>
          <w:spacing w:val="-52"/>
        </w:rPr>
        <w:t xml:space="preserve"> </w:t>
      </w:r>
      <w:r>
        <w:rPr>
          <w:spacing w:val="2"/>
        </w:rPr>
        <w:t>分。</w:t>
      </w:r>
    </w:p>
    <w:p>
      <w:pPr>
        <w:pStyle w:val="3"/>
        <w:spacing w:before="54" w:line="229" w:lineRule="auto"/>
        <w:ind w:left="632"/>
      </w:pPr>
      <w:r>
        <w:rPr>
          <w:rFonts w:ascii="楷体" w:hAnsi="楷体" w:eastAsia="楷体" w:cs="楷体"/>
          <w:spacing w:val="5"/>
        </w:rPr>
        <w:t>4.资产管理。</w:t>
      </w:r>
      <w:r>
        <w:rPr>
          <w:spacing w:val="5"/>
        </w:rPr>
        <w:t>慈坝乡资产人均资产变化率在可控状态，该小</w:t>
      </w:r>
    </w:p>
    <w:p>
      <w:pPr>
        <w:pStyle w:val="3"/>
        <w:spacing w:before="101" w:line="333" w:lineRule="auto"/>
        <w:ind w:right="85"/>
        <w:jc w:val="both"/>
      </w:pPr>
      <w:r>
        <w:rPr>
          <w:spacing w:val="1"/>
        </w:rPr>
        <w:t>项得</w:t>
      </w:r>
      <w:r>
        <w:rPr>
          <w:spacing w:val="-43"/>
        </w:rPr>
        <w:t xml:space="preserve"> </w:t>
      </w:r>
      <w:r>
        <w:rPr>
          <w:spacing w:val="1"/>
        </w:rPr>
        <w:t>3</w:t>
      </w:r>
      <w:r>
        <w:rPr>
          <w:spacing w:val="-50"/>
        </w:rPr>
        <w:t xml:space="preserve"> </w:t>
      </w:r>
      <w:r>
        <w:rPr>
          <w:spacing w:val="1"/>
        </w:rPr>
        <w:t>分；单位资产利用率高效，该小项得</w:t>
      </w:r>
      <w:r>
        <w:rPr>
          <w:spacing w:val="-55"/>
        </w:rPr>
        <w:t xml:space="preserve"> </w:t>
      </w:r>
      <w:r>
        <w:rPr>
          <w:spacing w:val="1"/>
        </w:rPr>
        <w:t>3</w:t>
      </w:r>
      <w:r>
        <w:rPr>
          <w:spacing w:val="-50"/>
        </w:rPr>
        <w:t xml:space="preserve"> </w:t>
      </w:r>
      <w:r>
        <w:rPr>
          <w:spacing w:val="1"/>
        </w:rPr>
        <w:t>分；近两年均无闲</w:t>
      </w:r>
      <w:r>
        <w:t xml:space="preserve"> </w:t>
      </w:r>
      <w:r>
        <w:rPr>
          <w:spacing w:val="19"/>
        </w:rPr>
        <w:t>置资产或上年度有闲置资产评价年度无闲置</w:t>
      </w:r>
      <w:r>
        <w:rPr>
          <w:spacing w:val="18"/>
        </w:rPr>
        <w:t>资产，该小项得</w:t>
      </w:r>
      <w:r>
        <w:rPr>
          <w:spacing w:val="-54"/>
        </w:rPr>
        <w:t xml:space="preserve"> </w:t>
      </w:r>
      <w:r>
        <w:rPr>
          <w:spacing w:val="18"/>
        </w:rPr>
        <w:t>4</w:t>
      </w:r>
      <w:r>
        <w:t xml:space="preserve"> </w:t>
      </w:r>
      <w:r>
        <w:rPr>
          <w:spacing w:val="5"/>
        </w:rPr>
        <w:t>分；资产管理该项指标总得分</w:t>
      </w:r>
      <w:r>
        <w:rPr>
          <w:spacing w:val="-59"/>
        </w:rPr>
        <w:t xml:space="preserve"> </w:t>
      </w:r>
      <w:r>
        <w:rPr>
          <w:spacing w:val="5"/>
        </w:rPr>
        <w:t>9</w:t>
      </w:r>
      <w:r>
        <w:rPr>
          <w:spacing w:val="-50"/>
        </w:rPr>
        <w:t xml:space="preserve"> </w:t>
      </w:r>
      <w:r>
        <w:rPr>
          <w:spacing w:val="5"/>
        </w:rPr>
        <w:t>分。</w:t>
      </w:r>
    </w:p>
    <w:p>
      <w:pPr>
        <w:pStyle w:val="3"/>
        <w:spacing w:before="50" w:line="335" w:lineRule="auto"/>
        <w:ind w:left="49" w:right="41" w:firstLine="625"/>
        <w:jc w:val="both"/>
        <w:rPr>
          <w:rFonts w:ascii="Arial"/>
          <w:sz w:val="21"/>
        </w:rPr>
      </w:pPr>
      <w:r>
        <w:rPr>
          <w:rFonts w:ascii="楷体" w:hAnsi="楷体" w:eastAsia="楷体" w:cs="楷体"/>
          <w:spacing w:val="7"/>
        </w:rPr>
        <w:t>5.采购管理。</w:t>
      </w:r>
      <w:r>
        <w:rPr>
          <w:spacing w:val="7"/>
        </w:rPr>
        <w:t>对适宜由中小企业提供的采</w:t>
      </w:r>
      <w:r>
        <w:rPr>
          <w:spacing w:val="6"/>
        </w:rPr>
        <w:t>购项目和采购包，</w:t>
      </w:r>
      <w:r>
        <w:t xml:space="preserve"> </w:t>
      </w:r>
      <w:r>
        <w:rPr>
          <w:spacing w:val="5"/>
        </w:rPr>
        <w:t>预留采购份额专门面向中小企业采购，并在采购预算中单独列示</w:t>
      </w:r>
      <w:r>
        <w:rPr>
          <w:spacing w:val="2"/>
        </w:rPr>
        <w:t xml:space="preserve"> </w:t>
      </w:r>
      <w:r>
        <w:rPr>
          <w:spacing w:val="1"/>
        </w:rPr>
        <w:t>该小项得</w:t>
      </w:r>
      <w:r>
        <w:rPr>
          <w:spacing w:val="-39"/>
        </w:rPr>
        <w:t xml:space="preserve"> </w:t>
      </w:r>
      <w:r>
        <w:rPr>
          <w:spacing w:val="1"/>
        </w:rPr>
        <w:t>3</w:t>
      </w:r>
      <w:r>
        <w:rPr>
          <w:spacing w:val="-49"/>
        </w:rPr>
        <w:t xml:space="preserve"> </w:t>
      </w:r>
      <w:r>
        <w:rPr>
          <w:spacing w:val="1"/>
        </w:rPr>
        <w:t>分；采购执行率高，该小项得</w:t>
      </w:r>
      <w:r>
        <w:rPr>
          <w:spacing w:val="-56"/>
        </w:rPr>
        <w:t xml:space="preserve"> </w:t>
      </w:r>
      <w:r>
        <w:rPr>
          <w:spacing w:val="1"/>
        </w:rPr>
        <w:t>3</w:t>
      </w:r>
      <w:r>
        <w:rPr>
          <w:spacing w:val="-49"/>
        </w:rPr>
        <w:t xml:space="preserve"> </w:t>
      </w:r>
      <w:r>
        <w:rPr>
          <w:spacing w:val="1"/>
        </w:rPr>
        <w:t>分；采购管理该项指</w:t>
      </w:r>
      <w:r>
        <w:t xml:space="preserve"> </w:t>
      </w:r>
      <w:r>
        <w:rPr>
          <w:spacing w:val="-1"/>
        </w:rPr>
        <w:t>标总得分</w:t>
      </w:r>
      <w:r>
        <w:rPr>
          <w:spacing w:val="-60"/>
        </w:rPr>
        <w:t xml:space="preserve"> </w:t>
      </w:r>
      <w:r>
        <w:rPr>
          <w:spacing w:val="-1"/>
        </w:rPr>
        <w:t>6</w:t>
      </w:r>
      <w:r>
        <w:rPr>
          <w:spacing w:val="-50"/>
        </w:rPr>
        <w:t xml:space="preserve"> </w:t>
      </w:r>
      <w:r>
        <w:rPr>
          <w:spacing w:val="-1"/>
        </w:rPr>
        <w:t>分。</w:t>
      </w:r>
    </w:p>
    <w:p>
      <w:pPr>
        <w:spacing w:before="101" w:line="230" w:lineRule="auto"/>
        <w:ind w:left="708"/>
        <w:outlineLvl w:val="1"/>
        <w:rPr>
          <w:rFonts w:ascii="楷体" w:hAnsi="楷体" w:eastAsia="楷体" w:cs="楷体"/>
          <w:sz w:val="31"/>
          <w:szCs w:val="31"/>
        </w:rPr>
      </w:pPr>
      <w:r>
        <w:rPr>
          <w:rFonts w:ascii="楷体" w:hAnsi="楷体" w:eastAsia="楷体" w:cs="楷体"/>
          <w:b/>
          <w:bCs/>
          <w:spacing w:val="4"/>
          <w:sz w:val="31"/>
          <w:szCs w:val="31"/>
        </w:rPr>
        <w:t>（二）部门预算项目绩效分析。</w:t>
      </w:r>
    </w:p>
    <w:p>
      <w:pPr>
        <w:pStyle w:val="3"/>
        <w:spacing w:before="191" w:line="325" w:lineRule="auto"/>
        <w:ind w:left="365" w:leftChars="174" w:right="86" w:firstLine="706" w:firstLineChars="209"/>
        <w:jc w:val="both"/>
        <w:rPr>
          <w:spacing w:val="2"/>
        </w:rPr>
      </w:pPr>
      <w:r>
        <w:rPr>
          <w:spacing w:val="14"/>
        </w:rPr>
        <w:t>常年项目绩效分析。该类项目总数</w:t>
      </w:r>
      <w:r>
        <w:rPr>
          <w:rFonts w:hint="eastAsia"/>
          <w:spacing w:val="14"/>
          <w:lang w:val="en-US" w:eastAsia="zh-CN"/>
        </w:rPr>
        <w:t>9</w:t>
      </w:r>
      <w:r>
        <w:rPr>
          <w:spacing w:val="14"/>
        </w:rPr>
        <w:t>个，涉及预算</w:t>
      </w:r>
      <w:r>
        <w:rPr>
          <w:spacing w:val="13"/>
        </w:rPr>
        <w:t>总金额</w:t>
      </w:r>
      <w:r>
        <w:rPr>
          <w:rFonts w:hint="eastAsia"/>
          <w:lang w:val="en-US" w:eastAsia="zh-CN"/>
        </w:rPr>
        <w:t>126.38</w:t>
      </w:r>
      <w:r>
        <w:rPr>
          <w:spacing w:val="5"/>
        </w:rPr>
        <w:t>万元，</w:t>
      </w:r>
      <w:r>
        <w:rPr>
          <w:rFonts w:ascii="Times New Roman" w:hAnsi="Times New Roman" w:eastAsia="Times New Roman" w:cs="Times New Roman"/>
          <w:spacing w:val="5"/>
        </w:rPr>
        <w:t>1</w:t>
      </w:r>
      <w:r>
        <w:rPr>
          <w:spacing w:val="5"/>
        </w:rPr>
        <w:t>—</w:t>
      </w:r>
      <w:r>
        <w:rPr>
          <w:rFonts w:ascii="Times New Roman" w:hAnsi="Times New Roman" w:eastAsia="Times New Roman" w:cs="Times New Roman"/>
          <w:spacing w:val="5"/>
        </w:rPr>
        <w:t>12</w:t>
      </w:r>
      <w:r>
        <w:rPr>
          <w:rFonts w:ascii="Times New Roman" w:hAnsi="Times New Roman" w:eastAsia="Times New Roman" w:cs="Times New Roman"/>
          <w:spacing w:val="43"/>
          <w:w w:val="101"/>
        </w:rPr>
        <w:t xml:space="preserve"> </w:t>
      </w:r>
      <w:r>
        <w:rPr>
          <w:spacing w:val="5"/>
        </w:rPr>
        <w:t>月预算执行总体进度为</w:t>
      </w:r>
      <w:r>
        <w:rPr>
          <w:spacing w:val="-31"/>
        </w:rPr>
        <w:t xml:space="preserve"> </w:t>
      </w:r>
      <w:r>
        <w:rPr>
          <w:rFonts w:ascii="Times New Roman" w:hAnsi="Times New Roman" w:eastAsia="Times New Roman" w:cs="Times New Roman"/>
          <w:spacing w:val="5"/>
        </w:rPr>
        <w:t>100%</w:t>
      </w:r>
      <w:r>
        <w:rPr>
          <w:rFonts w:ascii="Times New Roman" w:hAnsi="Times New Roman" w:eastAsia="Times New Roman" w:cs="Times New Roman"/>
          <w:spacing w:val="-31"/>
        </w:rPr>
        <w:t xml:space="preserve"> </w:t>
      </w:r>
      <w:r>
        <w:rPr>
          <w:spacing w:val="5"/>
        </w:rPr>
        <w:t>，其中：预算</w:t>
      </w:r>
      <w:r>
        <w:t xml:space="preserve"> </w:t>
      </w:r>
      <w:r>
        <w:rPr>
          <w:spacing w:val="2"/>
        </w:rPr>
        <w:t>结余率大于</w:t>
      </w:r>
      <w:r>
        <w:rPr>
          <w:spacing w:val="-23"/>
        </w:rPr>
        <w:t xml:space="preserve"> </w:t>
      </w:r>
      <w:r>
        <w:rPr>
          <w:rFonts w:ascii="Times New Roman" w:hAnsi="Times New Roman" w:eastAsia="Times New Roman" w:cs="Times New Roman"/>
          <w:spacing w:val="2"/>
        </w:rPr>
        <w:t>10%</w:t>
      </w:r>
      <w:r>
        <w:rPr>
          <w:spacing w:val="2"/>
        </w:rPr>
        <w:t xml:space="preserve">的项目共计 </w:t>
      </w:r>
      <w:r>
        <w:rPr>
          <w:rFonts w:ascii="Times New Roman" w:hAnsi="Times New Roman" w:eastAsia="Times New Roman" w:cs="Times New Roman"/>
          <w:spacing w:val="2"/>
        </w:rPr>
        <w:t>0</w:t>
      </w:r>
      <w:r>
        <w:rPr>
          <w:rFonts w:ascii="Times New Roman" w:hAnsi="Times New Roman" w:eastAsia="Times New Roman" w:cs="Times New Roman"/>
          <w:spacing w:val="26"/>
        </w:rPr>
        <w:t xml:space="preserve"> </w:t>
      </w:r>
      <w:r>
        <w:rPr>
          <w:spacing w:val="2"/>
        </w:rPr>
        <w:t>个。</w:t>
      </w:r>
    </w:p>
    <w:p>
      <w:pPr>
        <w:pStyle w:val="5"/>
        <w:keepNext w:val="0"/>
        <w:keepLines w:val="0"/>
        <w:pageBreakBefore w:val="0"/>
        <w:kinsoku/>
        <w:wordWrap/>
        <w:overflowPunct/>
        <w:topLinePunct w:val="0"/>
        <w:autoSpaceDE/>
        <w:autoSpaceDN/>
        <w:bidi w:val="0"/>
        <w:spacing w:line="576" w:lineRule="exact"/>
        <w:textAlignment w:val="auto"/>
        <w:rPr>
          <w:rFonts w:hint="default"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000000"/>
          <w:spacing w:val="5"/>
          <w:kern w:val="0"/>
          <w:sz w:val="31"/>
          <w:szCs w:val="31"/>
          <w:lang w:val="en-US" w:eastAsia="zh-CN" w:bidi="ar-SA"/>
        </w:rPr>
        <w:t xml:space="preserve">  </w:t>
      </w:r>
      <w:r>
        <w:rPr>
          <w:rFonts w:hint="eastAsia" w:ascii="仿宋" w:hAnsi="仿宋" w:eastAsia="仿宋" w:cs="仿宋"/>
          <w:snapToGrid w:val="0"/>
          <w:color w:val="auto"/>
          <w:spacing w:val="5"/>
          <w:kern w:val="0"/>
          <w:sz w:val="31"/>
          <w:szCs w:val="31"/>
          <w:lang w:val="en-US" w:eastAsia="zh-CN" w:bidi="ar-SA"/>
        </w:rPr>
        <w:t xml:space="preserve"> 1.人大经费项目：2024年预算数6.35万元，2024年支付6.35万元，拨付率为100%，该项目绩效总体目标为保障人大工作正常运行，人大工作有序开展。</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auto"/>
          <w:spacing w:val="5"/>
          <w:kern w:val="0"/>
          <w:sz w:val="31"/>
          <w:szCs w:val="31"/>
          <w:lang w:val="en-US" w:eastAsia="zh-CN" w:bidi="ar-SA"/>
        </w:rPr>
        <w:t>2.年度考核奖项目：2024年预算数37.62万元，2024年拨付37.62万元，拨付率为100%，该项目绩效总体目标为保障年度考核奖正常发放。</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auto"/>
          <w:spacing w:val="5"/>
          <w:kern w:val="0"/>
          <w:sz w:val="31"/>
          <w:szCs w:val="31"/>
          <w:lang w:val="en-US" w:eastAsia="zh-CN" w:bidi="ar-SA"/>
        </w:rPr>
        <w:t>3.</w:t>
      </w:r>
      <w:r>
        <w:rPr>
          <w:rFonts w:hint="default" w:ascii="仿宋" w:hAnsi="仿宋" w:eastAsia="仿宋" w:cs="仿宋"/>
          <w:snapToGrid w:val="0"/>
          <w:color w:val="auto"/>
          <w:spacing w:val="5"/>
          <w:kern w:val="0"/>
          <w:sz w:val="31"/>
          <w:szCs w:val="31"/>
          <w:lang w:val="en-US" w:eastAsia="zh-CN" w:bidi="ar-SA"/>
        </w:rPr>
        <w:t>村干部工资</w:t>
      </w:r>
      <w:r>
        <w:rPr>
          <w:rFonts w:hint="eastAsia" w:ascii="仿宋" w:hAnsi="仿宋" w:eastAsia="仿宋" w:cs="仿宋"/>
          <w:snapToGrid w:val="0"/>
          <w:color w:val="auto"/>
          <w:spacing w:val="5"/>
          <w:kern w:val="0"/>
          <w:sz w:val="31"/>
          <w:szCs w:val="31"/>
          <w:lang w:val="en-US" w:eastAsia="zh-CN" w:bidi="ar-SA"/>
        </w:rPr>
        <w:t>项目：2024年预算数54.21万元，2024年拨付54.21万元，拨付率为100%，该项目绩效总体目标为确保村干部工资正常发放。</w:t>
      </w:r>
    </w:p>
    <w:p>
      <w:pPr>
        <w:pStyle w:val="5"/>
        <w:keepNext w:val="0"/>
        <w:keepLines w:val="0"/>
        <w:pageBreakBefore w:val="0"/>
        <w:kinsoku/>
        <w:wordWrap/>
        <w:overflowPunct/>
        <w:topLinePunct w:val="0"/>
        <w:autoSpaceDE/>
        <w:autoSpaceDN/>
        <w:bidi w:val="0"/>
        <w:spacing w:line="576" w:lineRule="exact"/>
        <w:ind w:firstLine="640"/>
        <w:textAlignment w:val="auto"/>
        <w:rPr>
          <w:rFonts w:hint="default"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auto"/>
          <w:spacing w:val="5"/>
          <w:kern w:val="0"/>
          <w:sz w:val="31"/>
          <w:szCs w:val="31"/>
          <w:lang w:val="en-US" w:eastAsia="zh-CN" w:bidi="ar-SA"/>
        </w:rPr>
        <w:t>4.</w:t>
      </w:r>
      <w:r>
        <w:rPr>
          <w:rFonts w:hint="default" w:ascii="仿宋" w:hAnsi="仿宋" w:eastAsia="仿宋" w:cs="仿宋"/>
          <w:snapToGrid w:val="0"/>
          <w:color w:val="auto"/>
          <w:spacing w:val="5"/>
          <w:kern w:val="0"/>
          <w:sz w:val="31"/>
          <w:szCs w:val="31"/>
          <w:lang w:val="en-US" w:eastAsia="zh-CN" w:bidi="ar-SA"/>
        </w:rPr>
        <w:t>村级公共运行维护费</w:t>
      </w:r>
      <w:r>
        <w:rPr>
          <w:rFonts w:hint="eastAsia" w:ascii="仿宋" w:hAnsi="仿宋" w:eastAsia="仿宋" w:cs="仿宋"/>
          <w:snapToGrid w:val="0"/>
          <w:color w:val="auto"/>
          <w:spacing w:val="5"/>
          <w:kern w:val="0"/>
          <w:sz w:val="31"/>
          <w:szCs w:val="31"/>
          <w:lang w:val="en-US" w:eastAsia="zh-CN" w:bidi="ar-SA"/>
        </w:rPr>
        <w:t>项目：2024年预算数15.57万元，2024年拨付15.57万元，拨付率为100%，该项目绩效总体目标为保障村级工作正常运行。</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auto"/>
          <w:spacing w:val="5"/>
          <w:kern w:val="0"/>
          <w:sz w:val="31"/>
          <w:szCs w:val="31"/>
          <w:lang w:val="en-US" w:eastAsia="zh-CN" w:bidi="ar-SA"/>
        </w:rPr>
        <w:t>5.驻村工作队专项工作经费项目：2024年预算数3万元，2024年拨付3万元，拨付率为100%，该项目绩效总体目标为抓好村两委班子建设，增强基层党组织的创造力，提高农村党员带头致富的能力。</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auto"/>
          <w:spacing w:val="5"/>
          <w:kern w:val="0"/>
          <w:sz w:val="31"/>
          <w:szCs w:val="31"/>
          <w:lang w:val="en-US" w:eastAsia="zh-CN" w:bidi="ar-SA"/>
        </w:rPr>
        <w:t>6.华润新能源投资公司捐赠资金项目：2024年预算数6.87万元，2024年拨付6.87万元，拨付率为100%，该项目绩效总体目标为合理使用捐赠资金，加强华润捐赠资金使用率，充分发挥其经济效能，确保各村合规使用捐赠资金，切实提高村基础设施建设，改善村民生活环境，提高村民满意度。</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auto"/>
          <w:spacing w:val="5"/>
          <w:kern w:val="0"/>
          <w:sz w:val="31"/>
          <w:szCs w:val="31"/>
          <w:lang w:val="en-US" w:eastAsia="zh-CN" w:bidi="ar-SA"/>
        </w:rPr>
        <w:t>7.中央省国有企业退休人员社会化管理财政补助资金:该项目为国有资本经营预算支出，2024年预算数0.03万元，2024年拨付0.03万元，拨付率为100%，该项目绩效总体目标为国有企业退休人员社会化管理的补助，保障退休人员的待遇。</w:t>
      </w:r>
    </w:p>
    <w:p>
      <w:pPr>
        <w:pStyle w:val="5"/>
        <w:keepNext w:val="0"/>
        <w:keepLines w:val="0"/>
        <w:pageBreakBefore w:val="0"/>
        <w:kinsoku/>
        <w:wordWrap/>
        <w:overflowPunct/>
        <w:topLinePunct w:val="0"/>
        <w:autoSpaceDE/>
        <w:autoSpaceDN/>
        <w:bidi w:val="0"/>
        <w:spacing w:line="576" w:lineRule="exact"/>
        <w:ind w:firstLine="640"/>
        <w:textAlignment w:val="auto"/>
        <w:rPr>
          <w:rFonts w:hint="eastAsia" w:ascii="仿宋" w:hAnsi="仿宋" w:eastAsia="仿宋" w:cs="仿宋"/>
          <w:snapToGrid w:val="0"/>
          <w:color w:val="auto"/>
          <w:spacing w:val="5"/>
          <w:kern w:val="0"/>
          <w:sz w:val="31"/>
          <w:szCs w:val="31"/>
          <w:lang w:val="en-US" w:eastAsia="zh-CN" w:bidi="ar-SA"/>
        </w:rPr>
      </w:pPr>
      <w:r>
        <w:rPr>
          <w:rFonts w:hint="eastAsia" w:ascii="仿宋" w:hAnsi="仿宋" w:eastAsia="仿宋" w:cs="仿宋"/>
          <w:snapToGrid w:val="0"/>
          <w:color w:val="auto"/>
          <w:spacing w:val="5"/>
          <w:kern w:val="0"/>
          <w:sz w:val="31"/>
          <w:szCs w:val="31"/>
          <w:lang w:val="en-US" w:eastAsia="zh-CN" w:bidi="ar-SA"/>
        </w:rPr>
        <w:t>8.乡镇避险转移资金：2024年预算数1.46万元，2024年拨付1.46万元，拨付率为100%，该项目绩效总体目标为保障群众避险转移生活补助。</w:t>
      </w:r>
    </w:p>
    <w:p>
      <w:pPr>
        <w:pStyle w:val="5"/>
        <w:keepNext w:val="0"/>
        <w:keepLines w:val="0"/>
        <w:pageBreakBefore w:val="0"/>
        <w:kinsoku/>
        <w:wordWrap/>
        <w:overflowPunct/>
        <w:topLinePunct w:val="0"/>
        <w:autoSpaceDE/>
        <w:autoSpaceDN/>
        <w:bidi w:val="0"/>
        <w:spacing w:line="576" w:lineRule="exact"/>
        <w:ind w:firstLine="640"/>
        <w:textAlignment w:val="auto"/>
      </w:pPr>
      <w:r>
        <w:rPr>
          <w:rFonts w:hint="eastAsia" w:ascii="仿宋" w:hAnsi="仿宋" w:eastAsia="仿宋" w:cs="仿宋"/>
          <w:snapToGrid w:val="0"/>
          <w:color w:val="auto"/>
          <w:spacing w:val="5"/>
          <w:kern w:val="0"/>
          <w:sz w:val="31"/>
          <w:szCs w:val="31"/>
          <w:lang w:val="en-US" w:eastAsia="zh-CN" w:bidi="ar-SA"/>
        </w:rPr>
        <w:t>9.村务协理员项目：2024年预算数1.27万元，2024年拨付1.27万元，拨付率为100%，该项目绩效总体目标为保障村务协理员人员的基本生活补贴以及意外保险等。</w:t>
      </w:r>
    </w:p>
    <w:p>
      <w:pPr>
        <w:pStyle w:val="3"/>
        <w:spacing w:before="90" w:line="325" w:lineRule="auto"/>
        <w:ind w:left="50" w:right="1" w:firstLine="663"/>
        <w:jc w:val="both"/>
      </w:pPr>
      <w:r>
        <w:rPr>
          <w:spacing w:val="2"/>
        </w:rPr>
        <w:t>阶段（一次性）项目绩效分析。该类项目总数</w:t>
      </w:r>
      <w:r>
        <w:rPr>
          <w:rFonts w:hint="eastAsia"/>
          <w:spacing w:val="-55"/>
          <w:lang w:val="en-US" w:eastAsia="zh-CN"/>
        </w:rPr>
        <w:t>2</w:t>
      </w:r>
      <w:r>
        <w:rPr>
          <w:spacing w:val="2"/>
        </w:rPr>
        <w:t>个，涉及预</w:t>
      </w:r>
      <w:r>
        <w:t xml:space="preserve"> </w:t>
      </w:r>
      <w:r>
        <w:rPr>
          <w:spacing w:val="-7"/>
        </w:rPr>
        <w:t xml:space="preserve">算总金额 </w:t>
      </w:r>
      <w:r>
        <w:rPr>
          <w:rFonts w:hint="eastAsia"/>
          <w:spacing w:val="-7"/>
          <w:lang w:val="en-US" w:eastAsia="zh-CN"/>
        </w:rPr>
        <w:t>56.07</w:t>
      </w:r>
      <w:r>
        <w:rPr>
          <w:spacing w:val="-7"/>
        </w:rPr>
        <w:t>万元，</w:t>
      </w:r>
      <w:r>
        <w:rPr>
          <w:rFonts w:ascii="Times New Roman" w:hAnsi="Times New Roman" w:eastAsia="Times New Roman" w:cs="Times New Roman"/>
          <w:spacing w:val="-7"/>
        </w:rPr>
        <w:t>1</w:t>
      </w:r>
      <w:r>
        <w:rPr>
          <w:spacing w:val="-7"/>
        </w:rPr>
        <w:t>—</w:t>
      </w:r>
      <w:r>
        <w:rPr>
          <w:rFonts w:ascii="Times New Roman" w:hAnsi="Times New Roman" w:eastAsia="Times New Roman" w:cs="Times New Roman"/>
          <w:spacing w:val="-7"/>
        </w:rPr>
        <w:t>12</w:t>
      </w:r>
      <w:r>
        <w:rPr>
          <w:rFonts w:ascii="Times New Roman" w:hAnsi="Times New Roman" w:eastAsia="Times New Roman" w:cs="Times New Roman"/>
          <w:spacing w:val="39"/>
        </w:rPr>
        <w:t xml:space="preserve"> </w:t>
      </w:r>
      <w:r>
        <w:rPr>
          <w:spacing w:val="-7"/>
        </w:rPr>
        <w:t>月预算执行总体进度为</w:t>
      </w:r>
      <w:r>
        <w:rPr>
          <w:spacing w:val="-36"/>
        </w:rPr>
        <w:t xml:space="preserve"> </w:t>
      </w:r>
      <w:r>
        <w:rPr>
          <w:rFonts w:ascii="Times New Roman" w:hAnsi="Times New Roman" w:eastAsia="Times New Roman" w:cs="Times New Roman"/>
          <w:spacing w:val="-7"/>
        </w:rPr>
        <w:t>100%</w:t>
      </w:r>
      <w:r>
        <w:rPr>
          <w:spacing w:val="-7"/>
        </w:rPr>
        <w:t>，其中：</w:t>
      </w:r>
      <w:r>
        <w:t xml:space="preserve"> </w:t>
      </w:r>
      <w:r>
        <w:rPr>
          <w:spacing w:val="3"/>
        </w:rPr>
        <w:t>预算结余率大于</w:t>
      </w:r>
      <w:r>
        <w:rPr>
          <w:spacing w:val="-21"/>
        </w:rPr>
        <w:t xml:space="preserve"> </w:t>
      </w:r>
      <w:r>
        <w:rPr>
          <w:rFonts w:ascii="Times New Roman" w:hAnsi="Times New Roman" w:eastAsia="Times New Roman" w:cs="Times New Roman"/>
          <w:spacing w:val="3"/>
        </w:rPr>
        <w:t>10%</w:t>
      </w:r>
      <w:r>
        <w:rPr>
          <w:spacing w:val="3"/>
        </w:rPr>
        <w:t xml:space="preserve">的项目共计 </w:t>
      </w:r>
      <w:r>
        <w:rPr>
          <w:rFonts w:ascii="Times New Roman" w:hAnsi="Times New Roman" w:eastAsia="Times New Roman" w:cs="Times New Roman"/>
          <w:spacing w:val="3"/>
        </w:rPr>
        <w:t>0</w:t>
      </w:r>
      <w:r>
        <w:rPr>
          <w:rFonts w:ascii="Times New Roman" w:hAnsi="Times New Roman" w:eastAsia="Times New Roman" w:cs="Times New Roman"/>
          <w:spacing w:val="25"/>
          <w:w w:val="101"/>
        </w:rPr>
        <w:t xml:space="preserve"> </w:t>
      </w:r>
      <w:r>
        <w:rPr>
          <w:spacing w:val="3"/>
        </w:rPr>
        <w:t>个。</w:t>
      </w:r>
    </w:p>
    <w:p>
      <w:pPr>
        <w:pStyle w:val="3"/>
        <w:spacing w:before="86" w:line="338" w:lineRule="auto"/>
        <w:ind w:left="49" w:firstLine="649"/>
        <w:jc w:val="both"/>
      </w:pPr>
      <w:r>
        <w:rPr>
          <w:rFonts w:ascii="楷体" w:hAnsi="楷体" w:eastAsia="楷体" w:cs="楷体"/>
          <w:spacing w:val="4"/>
        </w:rPr>
        <w:t>1.项目决策。</w:t>
      </w:r>
      <w:r>
        <w:rPr>
          <w:spacing w:val="4"/>
        </w:rPr>
        <w:t>决策程序上部门预算项目设立按规定履行评估</w:t>
      </w:r>
      <w:r>
        <w:rPr>
          <w:spacing w:val="5"/>
        </w:rPr>
        <w:t xml:space="preserve"> </w:t>
      </w:r>
      <w:r>
        <w:rPr>
          <w:spacing w:val="3"/>
        </w:rPr>
        <w:t>论证、申报程序，该小项得</w:t>
      </w:r>
      <w:r>
        <w:rPr>
          <w:spacing w:val="-47"/>
        </w:rPr>
        <w:t xml:space="preserve"> </w:t>
      </w:r>
      <w:r>
        <w:rPr>
          <w:spacing w:val="3"/>
        </w:rPr>
        <w:t>4</w:t>
      </w:r>
      <w:r>
        <w:rPr>
          <w:spacing w:val="-50"/>
        </w:rPr>
        <w:t xml:space="preserve"> </w:t>
      </w:r>
      <w:r>
        <w:rPr>
          <w:spacing w:val="3"/>
        </w:rPr>
        <w:t>分；目标设置上部门预算项目绩效</w:t>
      </w:r>
      <w:r>
        <w:t xml:space="preserve"> </w:t>
      </w:r>
      <w:r>
        <w:rPr>
          <w:spacing w:val="5"/>
        </w:rPr>
        <w:t>目标与计划期内的任务量、预算安排的资金量相匹配，绩效目标</w:t>
      </w:r>
      <w:r>
        <w:rPr>
          <w:spacing w:val="2"/>
        </w:rPr>
        <w:t xml:space="preserve"> </w:t>
      </w:r>
      <w:r>
        <w:rPr>
          <w:spacing w:val="-4"/>
        </w:rPr>
        <w:t>设置科学合理、规范完整、量化细化、预算匹配，</w:t>
      </w:r>
      <w:r>
        <w:rPr>
          <w:spacing w:val="-5"/>
        </w:rPr>
        <w:t>该小项得</w:t>
      </w:r>
      <w:r>
        <w:rPr>
          <w:spacing w:val="-64"/>
        </w:rPr>
        <w:t xml:space="preserve"> </w:t>
      </w:r>
      <w:r>
        <w:rPr>
          <w:spacing w:val="-5"/>
        </w:rPr>
        <w:t>4</w:t>
      </w:r>
      <w:r>
        <w:rPr>
          <w:spacing w:val="-49"/>
        </w:rPr>
        <w:t xml:space="preserve"> </w:t>
      </w:r>
      <w:r>
        <w:rPr>
          <w:spacing w:val="-5"/>
        </w:rPr>
        <w:t>分；</w:t>
      </w:r>
      <w:r>
        <w:t xml:space="preserve"> </w:t>
      </w:r>
      <w:r>
        <w:rPr>
          <w:spacing w:val="7"/>
        </w:rPr>
        <w:t>项目入库上部门预算项目在规定时间完成项目入库，该小项得</w:t>
      </w:r>
      <w:r>
        <w:rPr>
          <w:spacing w:val="-52"/>
        </w:rPr>
        <w:t xml:space="preserve"> </w:t>
      </w:r>
      <w:r>
        <w:rPr>
          <w:spacing w:val="7"/>
        </w:rPr>
        <w:t>4</w:t>
      </w:r>
      <w:r>
        <w:t xml:space="preserve"> </w:t>
      </w:r>
      <w:r>
        <w:rPr>
          <w:spacing w:val="4"/>
        </w:rPr>
        <w:t>分，项目决策该项指标总得分</w:t>
      </w:r>
      <w:r>
        <w:rPr>
          <w:spacing w:val="-39"/>
        </w:rPr>
        <w:t xml:space="preserve"> </w:t>
      </w:r>
      <w:r>
        <w:rPr>
          <w:spacing w:val="4"/>
        </w:rPr>
        <w:t>12</w:t>
      </w:r>
      <w:r>
        <w:rPr>
          <w:spacing w:val="-50"/>
        </w:rPr>
        <w:t xml:space="preserve"> </w:t>
      </w:r>
      <w:r>
        <w:rPr>
          <w:spacing w:val="4"/>
        </w:rPr>
        <w:t>分。</w:t>
      </w:r>
    </w:p>
    <w:p>
      <w:pPr>
        <w:pStyle w:val="3"/>
        <w:spacing w:before="48" w:line="337" w:lineRule="auto"/>
        <w:ind w:right="29" w:firstLine="633"/>
        <w:jc w:val="both"/>
        <w:rPr>
          <w:spacing w:val="-7"/>
        </w:rPr>
      </w:pPr>
      <w:r>
        <w:rPr>
          <w:rFonts w:ascii="楷体" w:hAnsi="楷体" w:eastAsia="楷体" w:cs="楷体"/>
          <w:spacing w:val="2"/>
        </w:rPr>
        <w:t>2.项</w:t>
      </w:r>
      <w:r>
        <w:rPr>
          <w:rFonts w:ascii="楷体" w:hAnsi="楷体" w:eastAsia="楷体" w:cs="楷体"/>
          <w:spacing w:val="-73"/>
        </w:rPr>
        <w:t xml:space="preserve"> </w:t>
      </w:r>
      <w:r>
        <w:rPr>
          <w:rFonts w:ascii="楷体" w:hAnsi="楷体" w:eastAsia="楷体" w:cs="楷体"/>
          <w:spacing w:val="2"/>
        </w:rPr>
        <w:t>目执行。</w:t>
      </w:r>
      <w:r>
        <w:rPr>
          <w:spacing w:val="2"/>
        </w:rPr>
        <w:t>资金执行同向上部门预算项目实际</w:t>
      </w:r>
      <w:r>
        <w:rPr>
          <w:spacing w:val="1"/>
        </w:rPr>
        <w:t>列支内容与</w:t>
      </w:r>
      <w:r>
        <w:rPr>
          <w:spacing w:val="11"/>
        </w:rPr>
        <w:t>绩效目标设置方向相符</w:t>
      </w:r>
      <w:r>
        <w:rPr>
          <w:rFonts w:ascii="Times New Roman" w:hAnsi="Times New Roman" w:eastAsia="Times New Roman" w:cs="Times New Roman"/>
          <w:spacing w:val="11"/>
        </w:rPr>
        <w:t>,</w:t>
      </w:r>
      <w:r>
        <w:rPr>
          <w:spacing w:val="11"/>
        </w:rPr>
        <w:t>该小项得</w:t>
      </w:r>
      <w:r>
        <w:rPr>
          <w:spacing w:val="-50"/>
        </w:rPr>
        <w:t xml:space="preserve"> </w:t>
      </w:r>
      <w:r>
        <w:rPr>
          <w:spacing w:val="11"/>
        </w:rPr>
        <w:t>4</w:t>
      </w:r>
      <w:r>
        <w:rPr>
          <w:spacing w:val="-44"/>
        </w:rPr>
        <w:t xml:space="preserve"> </w:t>
      </w:r>
      <w:r>
        <w:rPr>
          <w:spacing w:val="11"/>
        </w:rPr>
        <w:t>分；项目调整方面，部门预</w:t>
      </w:r>
      <w:r>
        <w:t xml:space="preserve"> </w:t>
      </w:r>
      <w:r>
        <w:rPr>
          <w:spacing w:val="3"/>
        </w:rPr>
        <w:t>算项目已按实际采取对应调整措施，该小项得</w:t>
      </w:r>
      <w:r>
        <w:rPr>
          <w:spacing w:val="-48"/>
        </w:rPr>
        <w:t xml:space="preserve"> </w:t>
      </w:r>
      <w:r>
        <w:rPr>
          <w:spacing w:val="3"/>
        </w:rPr>
        <w:t>4</w:t>
      </w:r>
      <w:r>
        <w:rPr>
          <w:spacing w:val="-50"/>
        </w:rPr>
        <w:t xml:space="preserve"> </w:t>
      </w:r>
      <w:r>
        <w:rPr>
          <w:spacing w:val="3"/>
        </w:rPr>
        <w:t>分；部门预算项</w:t>
      </w:r>
      <w:r>
        <w:t xml:space="preserve"> </w:t>
      </w:r>
      <w:r>
        <w:rPr>
          <w:spacing w:val="10"/>
        </w:rPr>
        <w:t>目预算执行良好，该小项得</w:t>
      </w:r>
      <w:r>
        <w:rPr>
          <w:spacing w:val="-59"/>
        </w:rPr>
        <w:t xml:space="preserve"> </w:t>
      </w:r>
      <w:r>
        <w:rPr>
          <w:spacing w:val="10"/>
        </w:rPr>
        <w:t>4</w:t>
      </w:r>
      <w:r>
        <w:rPr>
          <w:spacing w:val="-45"/>
        </w:rPr>
        <w:t xml:space="preserve"> </w:t>
      </w:r>
      <w:r>
        <w:rPr>
          <w:spacing w:val="10"/>
        </w:rPr>
        <w:t>分；项目执行该项指标总得分</w:t>
      </w:r>
      <w:r>
        <w:rPr>
          <w:spacing w:val="-33"/>
        </w:rPr>
        <w:t xml:space="preserve"> </w:t>
      </w:r>
      <w:r>
        <w:rPr>
          <w:spacing w:val="10"/>
        </w:rPr>
        <w:t>12</w:t>
      </w:r>
      <w:r>
        <w:t xml:space="preserve"> </w:t>
      </w:r>
      <w:r>
        <w:rPr>
          <w:spacing w:val="-7"/>
        </w:rPr>
        <w:t>分。</w:t>
      </w:r>
    </w:p>
    <w:p>
      <w:pPr>
        <w:pStyle w:val="3"/>
        <w:spacing w:before="48" w:line="337" w:lineRule="auto"/>
        <w:ind w:right="29" w:firstLine="633"/>
        <w:jc w:val="both"/>
      </w:pPr>
      <w:r>
        <w:rPr>
          <w:rFonts w:ascii="楷体" w:hAnsi="楷体" w:eastAsia="楷体" w:cs="楷体"/>
          <w:spacing w:val="2"/>
        </w:rPr>
        <w:t>3.</w:t>
      </w:r>
      <w:r>
        <w:rPr>
          <w:rFonts w:ascii="楷体" w:hAnsi="楷体" w:eastAsia="楷体" w:cs="楷体"/>
          <w:spacing w:val="-74"/>
        </w:rPr>
        <w:t xml:space="preserve"> </w:t>
      </w:r>
      <w:r>
        <w:rPr>
          <w:rFonts w:ascii="楷体" w:hAnsi="楷体" w:eastAsia="楷体" w:cs="楷体"/>
          <w:spacing w:val="2"/>
        </w:rPr>
        <w:t>目标实现。</w:t>
      </w:r>
      <w:r>
        <w:rPr>
          <w:spacing w:val="2"/>
        </w:rPr>
        <w:t>部门预算项目绩效目标已按数量</w:t>
      </w:r>
      <w:r>
        <w:rPr>
          <w:spacing w:val="1"/>
        </w:rPr>
        <w:t>指标完成，该</w:t>
      </w:r>
      <w:r>
        <w:t xml:space="preserve"> </w:t>
      </w:r>
      <w:r>
        <w:rPr>
          <w:spacing w:val="3"/>
        </w:rPr>
        <w:t>小项得</w:t>
      </w:r>
      <w:r>
        <w:rPr>
          <w:spacing w:val="-47"/>
        </w:rPr>
        <w:t xml:space="preserve"> </w:t>
      </w:r>
      <w:r>
        <w:rPr>
          <w:spacing w:val="3"/>
        </w:rPr>
        <w:t>4</w:t>
      </w:r>
      <w:r>
        <w:rPr>
          <w:spacing w:val="-50"/>
        </w:rPr>
        <w:t xml:space="preserve"> </w:t>
      </w:r>
      <w:r>
        <w:rPr>
          <w:spacing w:val="3"/>
        </w:rPr>
        <w:t>分；部门预算项目绩效目标数量指标实现程度与预期目</w:t>
      </w:r>
      <w:r>
        <w:t xml:space="preserve"> </w:t>
      </w:r>
      <w:r>
        <w:rPr>
          <w:spacing w:val="3"/>
        </w:rPr>
        <w:t>标的偏离度在可控范围内，该小项得</w:t>
      </w:r>
      <w:r>
        <w:rPr>
          <w:spacing w:val="-45"/>
        </w:rPr>
        <w:t xml:space="preserve"> </w:t>
      </w:r>
      <w:r>
        <w:rPr>
          <w:spacing w:val="3"/>
        </w:rPr>
        <w:t>4</w:t>
      </w:r>
      <w:r>
        <w:rPr>
          <w:spacing w:val="-49"/>
        </w:rPr>
        <w:t xml:space="preserve"> </w:t>
      </w:r>
      <w:r>
        <w:rPr>
          <w:spacing w:val="3"/>
        </w:rPr>
        <w:t>分；部门预算项目绩效目</w:t>
      </w:r>
      <w:r>
        <w:t xml:space="preserve"> </w:t>
      </w:r>
      <w:r>
        <w:rPr>
          <w:spacing w:val="3"/>
        </w:rPr>
        <w:t>标效益指标实施效果良好，该小项得</w:t>
      </w:r>
      <w:r>
        <w:rPr>
          <w:spacing w:val="-47"/>
        </w:rPr>
        <w:t xml:space="preserve"> </w:t>
      </w:r>
      <w:r>
        <w:rPr>
          <w:spacing w:val="3"/>
        </w:rPr>
        <w:t>3</w:t>
      </w:r>
      <w:r>
        <w:rPr>
          <w:spacing w:val="-50"/>
        </w:rPr>
        <w:t xml:space="preserve"> </w:t>
      </w:r>
      <w:r>
        <w:rPr>
          <w:spacing w:val="3"/>
        </w:rPr>
        <w:t>分；目标实现该项指标得</w:t>
      </w:r>
      <w:r>
        <w:t xml:space="preserve"> </w:t>
      </w:r>
      <w:r>
        <w:rPr>
          <w:spacing w:val="-11"/>
        </w:rPr>
        <w:t>分</w:t>
      </w:r>
      <w:r>
        <w:rPr>
          <w:spacing w:val="-36"/>
        </w:rPr>
        <w:t xml:space="preserve"> </w:t>
      </w:r>
      <w:r>
        <w:rPr>
          <w:spacing w:val="-11"/>
        </w:rPr>
        <w:t>11</w:t>
      </w:r>
      <w:r>
        <w:rPr>
          <w:spacing w:val="-50"/>
        </w:rPr>
        <w:t xml:space="preserve"> </w:t>
      </w:r>
      <w:r>
        <w:rPr>
          <w:spacing w:val="-11"/>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contextualSpacing/>
        <w:jc w:val="left"/>
        <w:textAlignment w:val="auto"/>
        <w:outlineLvl w:val="9"/>
        <w:rPr>
          <w:rFonts w:hint="eastAsia" w:ascii="Times New Roman" w:hAnsi="Times New Roman" w:cs="Times New Roman"/>
          <w:sz w:val="32"/>
          <w:szCs w:val="32"/>
          <w:highlight w:val="none"/>
          <w:u w:val="none"/>
          <w:lang w:eastAsia="zh-CN" w:bidi="ar"/>
        </w:rPr>
      </w:pPr>
      <w:r>
        <w:rPr>
          <w:rFonts w:ascii="楷体" w:hAnsi="楷体" w:eastAsia="楷体" w:cs="楷体"/>
          <w:b/>
          <w:bCs/>
          <w:spacing w:val="5"/>
          <w:sz w:val="31"/>
          <w:szCs w:val="31"/>
        </w:rPr>
        <w:t>（三）重点领域绩效分析。</w:t>
      </w:r>
    </w:p>
    <w:p>
      <w:pPr>
        <w:pStyle w:val="5"/>
        <w:keepNext w:val="0"/>
        <w:keepLines w:val="0"/>
        <w:pageBreakBefore w:val="0"/>
        <w:kinsoku/>
        <w:wordWrap/>
        <w:overflowPunct/>
        <w:topLinePunct w:val="0"/>
        <w:autoSpaceDE/>
        <w:autoSpaceDN/>
        <w:bidi w:val="0"/>
        <w:spacing w:line="576" w:lineRule="exact"/>
        <w:ind w:firstLine="640"/>
        <w:textAlignment w:val="auto"/>
        <w:rPr>
          <w:rFonts w:ascii="楷体" w:hAnsi="楷体" w:eastAsia="楷体" w:cs="楷体"/>
          <w:sz w:val="31"/>
          <w:szCs w:val="31"/>
        </w:rPr>
      </w:pPr>
      <w:r>
        <w:rPr>
          <w:rFonts w:hint="eastAsia" w:ascii="仿宋" w:hAnsi="仿宋" w:eastAsia="仿宋" w:cs="仿宋"/>
          <w:snapToGrid w:val="0"/>
          <w:color w:val="000000"/>
          <w:spacing w:val="3"/>
          <w:kern w:val="0"/>
          <w:sz w:val="31"/>
          <w:szCs w:val="31"/>
          <w:lang w:val="en-US" w:eastAsia="zh-CN" w:bidi="ar-SA"/>
        </w:rPr>
        <w:t xml:space="preserve"> 国有资本经营预算支出，中央省国有企业退休人员社会化管理财政补助资金:2024年预算数0.03万元，2024年拨付0.03万元，拨付率为100%，该项目绩效总体目标为辖区国有企业退休人员社会化管理的补助，保障退休人员的待遇。</w:t>
      </w:r>
    </w:p>
    <w:p>
      <w:pPr>
        <w:spacing w:before="187" w:line="230" w:lineRule="auto"/>
        <w:ind w:left="658"/>
        <w:outlineLvl w:val="1"/>
        <w:rPr>
          <w:rFonts w:ascii="楷体" w:hAnsi="楷体" w:eastAsia="楷体" w:cs="楷体"/>
          <w:sz w:val="31"/>
          <w:szCs w:val="31"/>
        </w:rPr>
      </w:pPr>
      <w:r>
        <w:rPr>
          <w:rFonts w:ascii="楷体" w:hAnsi="楷体" w:eastAsia="楷体" w:cs="楷体"/>
          <w:b/>
          <w:bCs/>
          <w:spacing w:val="3"/>
          <w:sz w:val="31"/>
          <w:szCs w:val="31"/>
        </w:rPr>
        <w:t>（四）绩效结果应用情况。</w:t>
      </w:r>
    </w:p>
    <w:p>
      <w:pPr>
        <w:pStyle w:val="3"/>
        <w:spacing w:before="189" w:line="332" w:lineRule="auto"/>
        <w:ind w:left="2" w:right="31" w:firstLine="650"/>
        <w:jc w:val="both"/>
      </w:pPr>
      <w:r>
        <w:rPr>
          <w:spacing w:val="16"/>
        </w:rPr>
        <w:t>我乡依据财政编审要求,在年度终了后,结合本单位当年全</w:t>
      </w:r>
      <w:r>
        <w:rPr>
          <w:spacing w:val="3"/>
        </w:rPr>
        <w:t xml:space="preserve"> </w:t>
      </w:r>
      <w:r>
        <w:rPr>
          <w:spacing w:val="10"/>
        </w:rPr>
        <w:t>部预算收入、财政拨款收入及支出等,对全口径的资金收入、支</w:t>
      </w:r>
      <w:r>
        <w:rPr>
          <w:spacing w:val="15"/>
        </w:rPr>
        <w:t xml:space="preserve"> </w:t>
      </w:r>
      <w:r>
        <w:rPr>
          <w:spacing w:val="8"/>
        </w:rPr>
        <w:t>出和预算管理、资产管理等工作进行的全面总结。</w:t>
      </w:r>
    </w:p>
    <w:p>
      <w:pPr>
        <w:pStyle w:val="3"/>
        <w:spacing w:before="55" w:line="333" w:lineRule="auto"/>
        <w:ind w:right="31" w:firstLine="648"/>
        <w:jc w:val="both"/>
      </w:pPr>
      <w:r>
        <w:rPr>
          <w:spacing w:val="4"/>
        </w:rPr>
        <w:t>通过对部门决算报表的编制，来检查本单位全年资金的使用</w:t>
      </w:r>
      <w:r>
        <w:rPr>
          <w:spacing w:val="10"/>
        </w:rPr>
        <w:t xml:space="preserve"> </w:t>
      </w:r>
      <w:r>
        <w:rPr>
          <w:spacing w:val="5"/>
        </w:rPr>
        <w:t>管理、职能履行情况等，并为单位内部控制工作的有序开展提供</w:t>
      </w:r>
      <w:r>
        <w:rPr>
          <w:spacing w:val="2"/>
        </w:rPr>
        <w:t xml:space="preserve"> </w:t>
      </w:r>
      <w:r>
        <w:rPr>
          <w:spacing w:val="3"/>
        </w:rPr>
        <w:t>数据支撑。</w:t>
      </w:r>
    </w:p>
    <w:p>
      <w:pPr>
        <w:pStyle w:val="3"/>
        <w:spacing w:before="52" w:line="327" w:lineRule="auto"/>
        <w:ind w:right="31" w:firstLine="635"/>
      </w:pPr>
      <w:r>
        <w:rPr>
          <w:rFonts w:hint="eastAsia"/>
          <w:spacing w:val="12"/>
          <w:lang w:eastAsia="zh-CN"/>
        </w:rPr>
        <w:t>2024</w:t>
      </w:r>
      <w:r>
        <w:rPr>
          <w:spacing w:val="12"/>
        </w:rPr>
        <w:t>年度慈坝乡自评质量较好、绩效目标和自评在乡公示</w:t>
      </w:r>
      <w:r>
        <w:t xml:space="preserve"> </w:t>
      </w:r>
      <w:r>
        <w:rPr>
          <w:spacing w:val="8"/>
        </w:rPr>
        <w:t>栏公开、评价结果良好，应用结果反馈良好。</w:t>
      </w:r>
    </w:p>
    <w:p>
      <w:pPr>
        <w:spacing w:before="53" w:line="227" w:lineRule="auto"/>
        <w:ind w:left="651"/>
        <w:outlineLvl w:val="2"/>
        <w:rPr>
          <w:rFonts w:ascii="黑体" w:hAnsi="黑体" w:eastAsia="黑体" w:cs="黑体"/>
          <w:sz w:val="31"/>
          <w:szCs w:val="31"/>
        </w:rPr>
      </w:pPr>
      <w:r>
        <w:rPr>
          <w:rFonts w:ascii="黑体" w:hAnsi="黑体" w:eastAsia="黑体" w:cs="黑体"/>
          <w:spacing w:val="6"/>
          <w:sz w:val="31"/>
          <w:szCs w:val="31"/>
        </w:rPr>
        <w:t>四、评价结论及建议</w:t>
      </w:r>
    </w:p>
    <w:p>
      <w:pPr>
        <w:pStyle w:val="3"/>
        <w:spacing w:before="101" w:line="333" w:lineRule="auto"/>
        <w:ind w:left="340" w:leftChars="162" w:right="90" w:firstLine="635" w:firstLineChars="198"/>
        <w:jc w:val="both"/>
      </w:pPr>
      <w:r>
        <w:rPr>
          <w:rFonts w:ascii="楷体" w:hAnsi="楷体" w:eastAsia="楷体" w:cs="楷体"/>
          <w:b/>
          <w:bCs/>
          <w:spacing w:val="5"/>
        </w:rPr>
        <w:t>（一）评价结论。</w:t>
      </w:r>
      <w:r>
        <w:rPr>
          <w:rFonts w:hint="eastAsia" w:eastAsia="楷体"/>
          <w:spacing w:val="5"/>
          <w:lang w:eastAsia="zh-CN"/>
        </w:rPr>
        <w:t>2024</w:t>
      </w:r>
      <w:r>
        <w:rPr>
          <w:spacing w:val="5"/>
        </w:rPr>
        <w:t>年，慈坝乡预算绩效单位自评为</w:t>
      </w:r>
      <w:r>
        <w:rPr>
          <w:spacing w:val="-60"/>
        </w:rPr>
        <w:t xml:space="preserve"> </w:t>
      </w:r>
      <w:r>
        <w:rPr>
          <w:spacing w:val="5"/>
        </w:rPr>
        <w:t>9</w:t>
      </w:r>
      <w:r>
        <w:rPr>
          <w:rFonts w:hint="eastAsia"/>
          <w:spacing w:val="5"/>
          <w:lang w:val="en-US" w:eastAsia="zh-CN"/>
        </w:rPr>
        <w:t>1</w:t>
      </w:r>
      <w:r>
        <w:rPr>
          <w:spacing w:val="5"/>
        </w:rPr>
        <w:t>分。在县委、县政府的坚强领导下，我乡的巩固</w:t>
      </w:r>
      <w:r>
        <w:rPr>
          <w:rFonts w:hint="eastAsia"/>
          <w:spacing w:val="5"/>
          <w:lang w:val="en-US" w:eastAsia="zh-CN"/>
        </w:rPr>
        <w:t>拓展</w:t>
      </w:r>
      <w:r>
        <w:rPr>
          <w:spacing w:val="5"/>
        </w:rPr>
        <w:t>脱贫攻坚</w:t>
      </w:r>
      <w:r>
        <w:rPr>
          <w:rFonts w:hint="eastAsia"/>
          <w:spacing w:val="5"/>
          <w:lang w:val="en-US" w:eastAsia="zh-CN"/>
        </w:rPr>
        <w:t>成果</w:t>
      </w:r>
      <w:r>
        <w:rPr>
          <w:spacing w:val="5"/>
        </w:rPr>
        <w:t>同乡村振兴有效衔接工作、发展生产、综治维稳等各项工作得到平稳推</w:t>
      </w:r>
      <w:r>
        <w:rPr>
          <w:spacing w:val="2"/>
        </w:rPr>
        <w:t xml:space="preserve"> </w:t>
      </w:r>
      <w:r>
        <w:rPr>
          <w:spacing w:val="5"/>
        </w:rPr>
        <w:t>进，并取得较好成效。为全县经济发展、社会稳定做出了自身的</w:t>
      </w:r>
      <w:r>
        <w:rPr>
          <w:spacing w:val="-2"/>
        </w:rPr>
        <w:t>贡献。</w:t>
      </w:r>
    </w:p>
    <w:p>
      <w:pPr>
        <w:pStyle w:val="3"/>
        <w:spacing w:before="101" w:line="336" w:lineRule="auto"/>
        <w:ind w:right="30" w:firstLine="592" w:firstLineChars="200"/>
        <w:jc w:val="both"/>
        <w:rPr>
          <w:spacing w:val="-7"/>
        </w:rPr>
      </w:pPr>
    </w:p>
    <w:p>
      <w:pPr>
        <w:spacing w:before="51" w:line="232" w:lineRule="auto"/>
        <w:ind w:left="708"/>
        <w:outlineLvl w:val="1"/>
        <w:rPr>
          <w:rFonts w:ascii="楷体" w:hAnsi="楷体" w:eastAsia="楷体" w:cs="楷体"/>
          <w:sz w:val="31"/>
          <w:szCs w:val="31"/>
        </w:rPr>
      </w:pPr>
      <w:r>
        <w:rPr>
          <w:rFonts w:ascii="楷体" w:hAnsi="楷体" w:eastAsia="楷体" w:cs="楷体"/>
          <w:b/>
          <w:bCs/>
          <w:spacing w:val="1"/>
          <w:sz w:val="31"/>
          <w:szCs w:val="31"/>
        </w:rPr>
        <w:t>（二）存在问题。</w:t>
      </w:r>
    </w:p>
    <w:p>
      <w:pPr>
        <w:pStyle w:val="3"/>
        <w:spacing w:before="189" w:line="332" w:lineRule="auto"/>
        <w:ind w:left="2" w:right="31" w:firstLine="650"/>
        <w:jc w:val="both"/>
        <w:rPr>
          <w:spacing w:val="16"/>
        </w:rPr>
      </w:pPr>
      <w:r>
        <w:rPr>
          <w:rFonts w:hint="eastAsia" w:ascii="仿宋" w:hAnsi="仿宋" w:eastAsia="仿宋" w:cs="仿宋"/>
          <w:bCs/>
          <w:sz w:val="32"/>
          <w:szCs w:val="32"/>
          <w:highlight w:val="none"/>
          <w:lang w:val="en-US" w:eastAsia="zh-CN"/>
        </w:rPr>
        <w:t>在项目绩效目标设定、预算执行、资金使用等方面，不同程度地存在一些操作不够规范、跟踪不够及时、衔接不够充分、监督不够到位；部分项目预算资金支付进度有待提高，短期资金支出效率较低。项目绩效目标设定的科学性、时效性有待加强。项目安排统筹力度还需加大。因资金拨付情况及工作开展情况，导致个别项目在一定程度上存在支出进度慢的现象。 </w:t>
      </w:r>
    </w:p>
    <w:p>
      <w:pPr>
        <w:spacing w:before="199" w:line="239" w:lineRule="auto"/>
        <w:ind w:left="708"/>
        <w:outlineLvl w:val="1"/>
        <w:rPr>
          <w:rFonts w:ascii="楷体" w:hAnsi="楷体" w:eastAsia="楷体" w:cs="楷体"/>
          <w:sz w:val="31"/>
          <w:szCs w:val="31"/>
        </w:rPr>
      </w:pPr>
      <w:r>
        <w:rPr>
          <w:rFonts w:ascii="楷体" w:hAnsi="楷体" w:eastAsia="楷体" w:cs="楷体"/>
          <w:b/>
          <w:bCs/>
          <w:spacing w:val="1"/>
          <w:sz w:val="31"/>
          <w:szCs w:val="31"/>
        </w:rPr>
        <w:t>（三）改进建议。</w:t>
      </w:r>
    </w:p>
    <w:p>
      <w:pPr>
        <w:pStyle w:val="3"/>
        <w:spacing w:before="189" w:line="332" w:lineRule="auto"/>
        <w:ind w:left="2" w:right="31" w:firstLine="650"/>
        <w:jc w:val="both"/>
        <w:rPr>
          <w:rFonts w:hint="default"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en-US" w:eastAsia="zh-CN"/>
        </w:rPr>
        <w:t>进一步加强财务规范化管理，增强内部预算管理意识，严格按照预算编制的相关制度和要求进行预算编制和绩效评估,切实提高财政资金使用效益，不断提高单位绩效自评工作人员的知识和能力，确保绩效评价的科学性和准确性；坚持推进精细化管理，强化预算绩效目标管理、细化绩效目标，并将绩效目标细化分解为具体工作计划。烦请财政根据政协工作发展要求和实际情况，将相关项目经费纳入年度预算，保障单位财务正常运转，使评价工作更合理、更完整；进一步完善预算管理体制，加强项目开展进度的跟踪，开展项目绩效评价，确保项目绩效目标的完成。</w:t>
      </w:r>
    </w:p>
    <w:p>
      <w:pPr>
        <w:spacing w:line="252" w:lineRule="auto"/>
        <w:ind w:firstLine="628" w:firstLineChars="200"/>
        <w:rPr>
          <w:rFonts w:hint="default" w:ascii="仿宋" w:hAnsi="仿宋" w:eastAsia="仿宋" w:cs="仿宋"/>
          <w:snapToGrid w:val="0"/>
          <w:color w:val="000000"/>
          <w:spacing w:val="2"/>
          <w:kern w:val="0"/>
          <w:sz w:val="31"/>
          <w:szCs w:val="31"/>
          <w:lang w:val="en-US" w:eastAsia="zh-CN" w:bidi="ar-SA"/>
        </w:rPr>
      </w:pPr>
    </w:p>
    <w:p>
      <w:pPr>
        <w:spacing w:line="252" w:lineRule="auto"/>
        <w:ind w:firstLine="628" w:firstLineChars="200"/>
        <w:rPr>
          <w:rFonts w:hint="default" w:ascii="仿宋" w:hAnsi="仿宋" w:eastAsia="仿宋" w:cs="仿宋"/>
          <w:snapToGrid w:val="0"/>
          <w:color w:val="000000"/>
          <w:spacing w:val="2"/>
          <w:kern w:val="0"/>
          <w:sz w:val="31"/>
          <w:szCs w:val="31"/>
          <w:lang w:val="en-US" w:eastAsia="zh-CN" w:bidi="ar-SA"/>
        </w:rPr>
      </w:pPr>
    </w:p>
    <w:p>
      <w:pPr>
        <w:spacing w:line="252" w:lineRule="auto"/>
        <w:ind w:firstLine="628" w:firstLineChars="200"/>
        <w:rPr>
          <w:rFonts w:hint="default" w:ascii="仿宋" w:hAnsi="仿宋" w:eastAsia="仿宋" w:cs="仿宋"/>
          <w:snapToGrid w:val="0"/>
          <w:color w:val="000000"/>
          <w:spacing w:val="2"/>
          <w:kern w:val="0"/>
          <w:sz w:val="31"/>
          <w:szCs w:val="31"/>
          <w:lang w:val="en-US" w:eastAsia="zh-CN" w:bidi="ar-SA"/>
        </w:rPr>
      </w:pPr>
    </w:p>
    <w:p>
      <w:pPr>
        <w:spacing w:line="252" w:lineRule="auto"/>
        <w:ind w:firstLine="628" w:firstLineChars="200"/>
        <w:rPr>
          <w:rFonts w:hint="default" w:ascii="仿宋" w:hAnsi="仿宋" w:eastAsia="仿宋" w:cs="仿宋"/>
          <w:snapToGrid w:val="0"/>
          <w:color w:val="000000"/>
          <w:spacing w:val="2"/>
          <w:kern w:val="0"/>
          <w:sz w:val="31"/>
          <w:szCs w:val="31"/>
          <w:lang w:val="en-US" w:eastAsia="zh-CN" w:bidi="ar-SA"/>
        </w:rPr>
      </w:pPr>
    </w:p>
    <w:p>
      <w:pPr>
        <w:spacing w:line="252" w:lineRule="auto"/>
        <w:ind w:firstLine="628" w:firstLineChars="200"/>
        <w:rPr>
          <w:rFonts w:hint="default" w:ascii="仿宋" w:hAnsi="仿宋" w:eastAsia="仿宋" w:cs="仿宋"/>
          <w:snapToGrid w:val="0"/>
          <w:color w:val="000000"/>
          <w:spacing w:val="2"/>
          <w:kern w:val="0"/>
          <w:sz w:val="31"/>
          <w:szCs w:val="31"/>
          <w:lang w:val="en-US" w:eastAsia="zh-CN" w:bidi="ar-SA"/>
        </w:rPr>
      </w:pPr>
    </w:p>
    <w:p>
      <w:pPr>
        <w:spacing w:line="252" w:lineRule="auto"/>
        <w:ind w:firstLine="628" w:firstLineChars="200"/>
        <w:rPr>
          <w:rFonts w:hint="default" w:ascii="仿宋" w:hAnsi="仿宋" w:eastAsia="仿宋" w:cs="仿宋"/>
          <w:snapToGrid w:val="0"/>
          <w:color w:val="000000"/>
          <w:spacing w:val="2"/>
          <w:kern w:val="0"/>
          <w:sz w:val="31"/>
          <w:szCs w:val="31"/>
          <w:lang w:val="en-US" w:eastAsia="zh-CN" w:bidi="ar-SA"/>
        </w:rPr>
      </w:pPr>
      <w:r>
        <w:rPr>
          <w:rFonts w:hint="default" w:ascii="仿宋" w:hAnsi="仿宋" w:eastAsia="仿宋" w:cs="仿宋"/>
          <w:snapToGrid w:val="0"/>
          <w:color w:val="000000"/>
          <w:spacing w:val="2"/>
          <w:kern w:val="0"/>
          <w:sz w:val="31"/>
          <w:szCs w:val="31"/>
          <w:lang w:val="en-US" w:eastAsia="zh-CN" w:bidi="ar-SA"/>
        </w:rPr>
        <w:t>附表：1.部门预算绩效自评打分表</w:t>
      </w:r>
    </w:p>
    <w:p>
      <w:pPr>
        <w:spacing w:line="252" w:lineRule="auto"/>
        <w:ind w:firstLine="1570" w:firstLineChars="500"/>
        <w:rPr>
          <w:rFonts w:hint="default" w:ascii="仿宋" w:hAnsi="仿宋" w:eastAsia="仿宋" w:cs="仿宋"/>
          <w:snapToGrid w:val="0"/>
          <w:color w:val="000000"/>
          <w:spacing w:val="2"/>
          <w:kern w:val="0"/>
          <w:sz w:val="31"/>
          <w:szCs w:val="31"/>
          <w:lang w:val="en-US" w:eastAsia="zh-CN" w:bidi="ar-SA"/>
        </w:rPr>
      </w:pPr>
      <w:r>
        <w:rPr>
          <w:rFonts w:hint="default" w:ascii="仿宋" w:hAnsi="仿宋" w:eastAsia="仿宋" w:cs="仿宋"/>
          <w:snapToGrid w:val="0"/>
          <w:color w:val="000000"/>
          <w:spacing w:val="2"/>
          <w:kern w:val="0"/>
          <w:sz w:val="31"/>
          <w:szCs w:val="31"/>
          <w:lang w:val="en-US" w:eastAsia="zh-CN" w:bidi="ar-SA"/>
        </w:rPr>
        <w:t>2.部门整体绩效目标完成情况自评表</w:t>
      </w:r>
    </w:p>
    <w:p>
      <w:pPr>
        <w:spacing w:line="252" w:lineRule="auto"/>
        <w:ind w:firstLine="1570" w:firstLineChars="500"/>
        <w:rPr>
          <w:rFonts w:ascii="仿宋" w:hAnsi="仿宋" w:eastAsia="仿宋" w:cs="仿宋"/>
          <w:snapToGrid w:val="0"/>
          <w:color w:val="000000"/>
          <w:spacing w:val="2"/>
          <w:kern w:val="0"/>
          <w:sz w:val="31"/>
          <w:szCs w:val="31"/>
          <w:lang w:val="en-US" w:eastAsia="en-US" w:bidi="ar-SA"/>
        </w:rPr>
      </w:pPr>
      <w:r>
        <w:rPr>
          <w:rFonts w:hint="default" w:ascii="仿宋" w:hAnsi="仿宋" w:eastAsia="仿宋" w:cs="仿宋"/>
          <w:snapToGrid w:val="0"/>
          <w:color w:val="000000"/>
          <w:spacing w:val="2"/>
          <w:kern w:val="0"/>
          <w:sz w:val="31"/>
          <w:szCs w:val="31"/>
          <w:lang w:val="en-US" w:eastAsia="zh-CN" w:bidi="ar-SA"/>
        </w:rPr>
        <w:t>3.部门预算项目支出绩效评价表（2024年度）</w:t>
      </w:r>
    </w:p>
    <w:p>
      <w:pPr>
        <w:spacing w:line="252" w:lineRule="auto"/>
        <w:rPr>
          <w:rFonts w:ascii="Arial"/>
          <w:sz w:val="21"/>
        </w:rPr>
      </w:pPr>
    </w:p>
    <w:p>
      <w:pPr>
        <w:spacing w:line="252" w:lineRule="auto"/>
        <w:jc w:val="right"/>
        <w:rPr>
          <w:rFonts w:hint="eastAsia" w:ascii="仿宋" w:hAnsi="仿宋" w:eastAsia="仿宋" w:cs="仿宋"/>
          <w:snapToGrid w:val="0"/>
          <w:color w:val="000000"/>
          <w:spacing w:val="5"/>
          <w:kern w:val="0"/>
          <w:sz w:val="31"/>
          <w:szCs w:val="31"/>
          <w:lang w:val="en-US" w:eastAsia="zh-CN" w:bidi="ar-SA"/>
        </w:rPr>
      </w:pPr>
      <w:r>
        <w:rPr>
          <w:rFonts w:hint="eastAsia" w:ascii="仿宋" w:hAnsi="仿宋" w:eastAsia="仿宋" w:cs="仿宋"/>
          <w:snapToGrid w:val="0"/>
          <w:color w:val="000000"/>
          <w:spacing w:val="5"/>
          <w:kern w:val="0"/>
          <w:sz w:val="31"/>
          <w:szCs w:val="31"/>
          <w:lang w:val="en-US" w:eastAsia="zh-CN" w:bidi="ar-SA"/>
        </w:rPr>
        <w:t xml:space="preserve">  </w:t>
      </w:r>
    </w:p>
    <w:p>
      <w:pPr>
        <w:spacing w:line="252" w:lineRule="auto"/>
        <w:jc w:val="right"/>
        <w:rPr>
          <w:rFonts w:hint="eastAsia" w:ascii="仿宋" w:hAnsi="仿宋" w:eastAsia="仿宋" w:cs="仿宋"/>
          <w:snapToGrid w:val="0"/>
          <w:color w:val="000000"/>
          <w:spacing w:val="2"/>
          <w:kern w:val="0"/>
          <w:sz w:val="31"/>
          <w:szCs w:val="31"/>
          <w:lang w:val="en-US" w:eastAsia="zh-CN" w:bidi="ar-SA"/>
        </w:rPr>
      </w:pPr>
    </w:p>
    <w:p>
      <w:pPr>
        <w:spacing w:line="252" w:lineRule="auto"/>
        <w:jc w:val="right"/>
        <w:rPr>
          <w:rFonts w:hint="eastAsia" w:ascii="仿宋" w:hAnsi="仿宋" w:eastAsia="仿宋" w:cs="仿宋"/>
          <w:snapToGrid w:val="0"/>
          <w:color w:val="000000"/>
          <w:spacing w:val="2"/>
          <w:kern w:val="0"/>
          <w:sz w:val="31"/>
          <w:szCs w:val="31"/>
          <w:lang w:val="en-US" w:eastAsia="zh-CN" w:bidi="ar-SA"/>
        </w:rPr>
      </w:pPr>
    </w:p>
    <w:p>
      <w:pPr>
        <w:spacing w:line="252" w:lineRule="auto"/>
        <w:jc w:val="right"/>
        <w:rPr>
          <w:rFonts w:hint="eastAsia" w:ascii="仿宋" w:hAnsi="仿宋" w:eastAsia="仿宋" w:cs="仿宋"/>
          <w:snapToGrid w:val="0"/>
          <w:color w:val="000000"/>
          <w:spacing w:val="2"/>
          <w:kern w:val="0"/>
          <w:sz w:val="31"/>
          <w:szCs w:val="31"/>
          <w:lang w:val="en-US" w:eastAsia="zh-CN" w:bidi="ar-SA"/>
        </w:rPr>
      </w:pPr>
      <w:r>
        <w:rPr>
          <w:rFonts w:hint="eastAsia" w:ascii="仿宋" w:hAnsi="仿宋" w:eastAsia="仿宋" w:cs="仿宋"/>
          <w:snapToGrid w:val="0"/>
          <w:color w:val="000000"/>
          <w:spacing w:val="2"/>
          <w:kern w:val="0"/>
          <w:sz w:val="31"/>
          <w:szCs w:val="31"/>
          <w:lang w:val="en-US" w:eastAsia="zh-CN" w:bidi="ar-SA"/>
        </w:rPr>
        <w:t>黑水县慈坝乡人民政府</w:t>
      </w:r>
    </w:p>
    <w:p>
      <w:pPr>
        <w:jc w:val="right"/>
        <w:rPr>
          <w:rFonts w:hint="eastAsia" w:ascii="仿宋" w:hAnsi="仿宋" w:eastAsia="仿宋" w:cs="仿宋"/>
          <w:snapToGrid w:val="0"/>
          <w:color w:val="000000"/>
          <w:spacing w:val="2"/>
          <w:kern w:val="0"/>
          <w:sz w:val="31"/>
          <w:szCs w:val="31"/>
          <w:lang w:val="en-US" w:eastAsia="zh-CN" w:bidi="ar-SA"/>
        </w:rPr>
      </w:pPr>
      <w:r>
        <w:rPr>
          <w:rFonts w:hint="eastAsia" w:ascii="仿宋" w:hAnsi="仿宋" w:eastAsia="仿宋" w:cs="仿宋"/>
          <w:snapToGrid w:val="0"/>
          <w:color w:val="000000"/>
          <w:spacing w:val="2"/>
          <w:kern w:val="0"/>
          <w:sz w:val="31"/>
          <w:szCs w:val="31"/>
          <w:lang w:val="en-US" w:eastAsia="zh-CN" w:bidi="ar-SA"/>
        </w:rPr>
        <w:t>2025年4月23日</w:t>
      </w:r>
    </w:p>
    <w:p>
      <w:pPr>
        <w:pStyle w:val="6"/>
        <w:rPr>
          <w:rFonts w:hint="eastAsia" w:ascii="仿宋" w:hAnsi="仿宋" w:eastAsia="仿宋" w:cs="仿宋"/>
          <w:snapToGrid w:val="0"/>
          <w:color w:val="000000"/>
          <w:spacing w:val="2"/>
          <w:kern w:val="0"/>
          <w:sz w:val="31"/>
          <w:szCs w:val="31"/>
          <w:lang w:val="en-US" w:eastAsia="zh-CN" w:bidi="ar-SA"/>
        </w:rPr>
      </w:pPr>
    </w:p>
    <w:p>
      <w:pPr>
        <w:rPr>
          <w:rFonts w:hint="eastAsia" w:ascii="仿宋" w:hAnsi="仿宋" w:eastAsia="仿宋" w:cs="仿宋"/>
          <w:snapToGrid w:val="0"/>
          <w:color w:val="000000"/>
          <w:spacing w:val="2"/>
          <w:kern w:val="0"/>
          <w:sz w:val="31"/>
          <w:szCs w:val="31"/>
          <w:lang w:val="en-US" w:eastAsia="zh-CN" w:bidi="ar-SA"/>
        </w:rPr>
      </w:pPr>
    </w:p>
    <w:p>
      <w:pPr>
        <w:pStyle w:val="2"/>
        <w:rPr>
          <w:rFonts w:hint="eastAsia" w:ascii="仿宋" w:hAnsi="仿宋" w:eastAsia="仿宋" w:cs="仿宋"/>
          <w:snapToGrid w:val="0"/>
          <w:color w:val="000000"/>
          <w:spacing w:val="2"/>
          <w:kern w:val="0"/>
          <w:sz w:val="31"/>
          <w:szCs w:val="31"/>
          <w:lang w:val="en-US" w:eastAsia="zh-CN" w:bidi="ar-SA"/>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rPr>
          <w:rFonts w:hint="eastAsia"/>
          <w:lang w:eastAsia="zh-CN"/>
        </w:rPr>
      </w:pPr>
    </w:p>
    <w:p>
      <w:pPr>
        <w:keepNext w:val="0"/>
        <w:keepLines w:val="0"/>
        <w:pageBreakBefore w:val="0"/>
        <w:pBdr>
          <w:top w:val="single" w:color="auto" w:sz="6" w:space="1"/>
          <w:bottom w:val="single" w:color="auto" w:sz="6" w:space="1"/>
        </w:pBdr>
        <w:kinsoku/>
        <w:wordWrap/>
        <w:overflowPunct/>
        <w:topLinePunct w:val="0"/>
        <w:autoSpaceDE/>
        <w:autoSpaceDN/>
        <w:bidi w:val="0"/>
        <w:adjustRightInd/>
        <w:snapToGrid/>
        <w:spacing w:line="240" w:lineRule="auto"/>
        <w:ind w:left="0" w:leftChars="0" w:right="0" w:rightChars="0"/>
        <w:jc w:val="both"/>
        <w:textAlignment w:val="auto"/>
        <w:outlineLvl w:val="9"/>
        <w:rPr>
          <w:rFonts w:ascii="黑体" w:eastAsia="黑体" w:cs="黑体"/>
          <w:b w:val="0"/>
          <w:bCs w:val="0"/>
          <w:color w:val="auto"/>
          <w:kern w:val="0"/>
          <w:sz w:val="32"/>
          <w:szCs w:val="32"/>
          <w:highlight w:val="none"/>
          <w:u w:val="none"/>
          <w:shd w:val="clear" w:color="auto" w:fill="FFFFFF"/>
          <w:lang w:val="zh-CN" w:eastAsia="zh-CN"/>
        </w:rPr>
      </w:pPr>
      <w:r>
        <w:rPr>
          <w:rFonts w:hint="eastAsia" w:ascii="仿宋" w:hAnsi="仿宋" w:eastAsia="仿宋" w:cs="仿宋"/>
          <w:sz w:val="32"/>
          <w:szCs w:val="32"/>
        </w:rPr>
        <w:t>慈坝乡</w:t>
      </w:r>
      <w:r>
        <w:rPr>
          <w:rFonts w:hint="eastAsia" w:ascii="仿宋" w:hAnsi="仿宋" w:eastAsia="仿宋" w:cs="仿宋"/>
          <w:sz w:val="32"/>
          <w:szCs w:val="32"/>
          <w:lang w:eastAsia="zh-CN"/>
        </w:rPr>
        <w:t>人民政府</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2025</w:t>
      </w:r>
      <w:r>
        <w:rPr>
          <w:rFonts w:hint="eastAsia" w:ascii="仿宋" w:hAnsi="仿宋" w:eastAsia="仿宋" w:cs="仿宋"/>
          <w:sz w:val="32"/>
          <w:szCs w:val="32"/>
        </w:rPr>
        <w:t>年</w:t>
      </w:r>
      <w:r>
        <w:rPr>
          <w:rFonts w:hint="eastAsia" w:ascii="仿宋" w:hAnsi="仿宋" w:eastAsia="仿宋" w:cs="仿宋"/>
          <w:sz w:val="32"/>
          <w:szCs w:val="32"/>
          <w:lang w:val="en-US" w:eastAsia="zh-CN"/>
        </w:rPr>
        <w:t>4月23日</w:t>
      </w:r>
    </w:p>
    <w:p>
      <w:pPr>
        <w:spacing w:line="252" w:lineRule="auto"/>
        <w:jc w:val="center"/>
        <w:sectPr>
          <w:pgSz w:w="11906" w:h="16839"/>
          <w:pgMar w:top="1431" w:right="1416" w:bottom="0" w:left="1598" w:header="0" w:footer="0" w:gutter="0"/>
          <w:cols w:space="720" w:num="1"/>
        </w:sectPr>
      </w:pPr>
    </w:p>
    <w:p/>
    <w:p>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8"/>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1"/>
        <w:gridCol w:w="1400"/>
        <w:gridCol w:w="3225"/>
        <w:gridCol w:w="638"/>
        <w:gridCol w:w="3501"/>
        <w:gridCol w:w="756"/>
        <w:gridCol w:w="4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60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绩效评价指标指标分值</w:t>
            </w:r>
          </w:p>
        </w:tc>
        <w:tc>
          <w:tcPr>
            <w:tcW w:w="35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35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宣传和贯彻执行上级各部门及本镇的各项政策、法规、决议等;保障人员经费，保障日常业务有序进行和履职效果;宣传及其他工作履职效果</w:t>
            </w:r>
          </w:p>
        </w:tc>
        <w:tc>
          <w:tcPr>
            <w:tcW w:w="638"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15</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预算编制质量</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8</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单位收入统筹</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支出执行进度</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6</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预算年终结余</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严控一般性支出</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财务管理制度</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财务岗位设置</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资金使用规范</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人均资产变化率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资产利用率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资产盘活率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支持中小企业发展</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采购执行率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（35分）</w:t>
            </w:r>
          </w:p>
        </w:tc>
        <w:tc>
          <w:tcPr>
            <w:tcW w:w="140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决策程序</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目标设置</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项目入库</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执行同向</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项目调整</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执行结果</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目标完成</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目标偏离</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实现效果</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4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35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pStyle w:val="2"/>
        <w:keepNext/>
        <w:keepLines/>
        <w:pageBreakBefore w:val="0"/>
        <w:widowControl w:val="0"/>
        <w:kinsoku/>
        <w:wordWrap/>
        <w:overflowPunct/>
        <w:topLinePunct w:val="0"/>
        <w:autoSpaceDE/>
        <w:autoSpaceDN/>
        <w:bidi w:val="0"/>
        <w:adjustRightInd/>
        <w:snapToGrid/>
        <w:spacing w:line="20" w:lineRule="exact"/>
        <w:textAlignment w:val="auto"/>
        <w:rPr>
          <w:rFonts w:hint="default"/>
          <w:lang w:val="en-US" w:eastAsia="zh-CN"/>
        </w:rPr>
      </w:pPr>
    </w:p>
    <w:p>
      <w:pPr>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br w:type="page"/>
      </w:r>
    </w:p>
    <w:p>
      <w:pPr>
        <w:keepNext w:val="0"/>
        <w:keepLines w:val="0"/>
        <w:pageBreakBefore w:val="0"/>
        <w:kinsoku/>
        <w:wordWrap/>
        <w:overflowPunct/>
        <w:topLinePunct w:val="0"/>
        <w:autoSpaceDE/>
        <w:autoSpaceDN/>
        <w:bidi w:val="0"/>
        <w:spacing w:line="578" w:lineRule="exact"/>
        <w:jc w:val="left"/>
        <w:textAlignment w:val="auto"/>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2</w:t>
      </w:r>
    </w:p>
    <w:p>
      <w:pPr>
        <w:spacing w:line="801" w:lineRule="exact"/>
      </w:pPr>
    </w:p>
    <w:tbl>
      <w:tblPr>
        <w:tblStyle w:val="8"/>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62" w:hRule="exact"/>
          <w:jc w:val="center"/>
        </w:trPr>
        <w:tc>
          <w:tcPr>
            <w:tcW w:w="10560" w:type="dxa"/>
            <w:gridSpan w:val="10"/>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0560" w:type="dxa"/>
            <w:gridSpan w:val="10"/>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eastAsia" w:eastAsia="宋体" w:cs="Times New Roman"/>
                <w:i w:val="0"/>
                <w:color w:val="000000"/>
                <w:kern w:val="0"/>
                <w:sz w:val="28"/>
                <w:szCs w:val="28"/>
                <w:u w:val="none"/>
                <w:lang w:val="en-US" w:eastAsia="zh-CN" w:bidi="ar"/>
              </w:rPr>
              <w:t>4</w:t>
            </w:r>
            <w:r>
              <w:rPr>
                <w:rFonts w:hint="default" w:ascii="Times New Roman" w:hAnsi="Times New Roman" w:eastAsia="宋体" w:cs="Times New Roman"/>
                <w:i w:val="0"/>
                <w:color w:val="000000"/>
                <w:kern w:val="0"/>
                <w:sz w:val="28"/>
                <w:szCs w:val="28"/>
                <w:u w:val="none"/>
                <w:lang w:val="en-US" w:eastAsia="zh-CN" w:bidi="ar"/>
              </w:rPr>
              <w:t>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0560" w:type="dxa"/>
            <w:gridSpan w:val="10"/>
            <w:tcBorders>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b/>
                <w:bCs/>
                <w:i w:val="0"/>
                <w:color w:val="000000"/>
                <w:kern w:val="0"/>
                <w:sz w:val="24"/>
                <w:szCs w:val="24"/>
                <w:u w:val="none"/>
                <w:lang w:val="en-US" w:eastAsia="zh-CN" w:bidi="ar"/>
              </w:rPr>
              <w:t>黑水县慈坝乡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567.16</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567.16</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snapToGrid w:val="0"/>
                <w:color w:val="000000"/>
                <w:kern w:val="0"/>
                <w:sz w:val="18"/>
                <w:szCs w:val="18"/>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1.党建工作再抓实。落细落实《阿坝州“两联一进”群众工作全覆盖办法》，加强政治思想建设、基层阵地建设、干部队伍建设和宣传教育引导，牢牢掌握意识形态主动权。</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2.项目保障再用功。科学谋划项目发展，结合资源优势和发展定位，在产业发展项目上再添举措、出实招，发展种养结合产业项目，不断丰富农业产业业态，书写绿色文章。</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乡村振兴上拼全力。乡村振兴，产业先行，产业发展了，农村才有人气。按照“红色慈坝守初心，绿色发展担使命”的发展思路，因村制宜，发挥优势，发展特色种养殖业，不断拓宽发展领域，形成各具特色的经济发展路子。</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4.社会事业再见效。做好社会保障，加大工作力度。</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5.社会治理再用情。做好安全生产监管，进一步落实安全生产责任，常态化开展安全生产检查，及时发现安全隐患，及时解决消除，确保不发生大的安全事故。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基本支出：定额经费</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定额公用经费570000元，行政403750元，事业166250元。公车运行维护费62000元，差旅费111600元，水费7000元，邮电费54000元，培训费18000元，劳务费42000元，其他商品服务支出20000元，办公费335400元。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项目支出：村干部工资保险</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全乡2个村村干部基本工资、绩效工资、养老补助、医疗补助、意外保险等。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基本支出：在职人员工资保险</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在职人26人工资、社会保障缴费、住房公积金、体检费、独子费、遗嘱补助等。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项目支出：基</w:t>
            </w:r>
            <w:r>
              <w:rPr>
                <w:rFonts w:hint="eastAsia" w:ascii="宋体" w:hAnsi="宋体" w:eastAsia="宋体" w:cs="宋体"/>
                <w:i w:val="0"/>
                <w:iCs w:val="0"/>
                <w:snapToGrid w:val="0"/>
                <w:color w:val="000000"/>
                <w:kern w:val="0"/>
                <w:sz w:val="18"/>
                <w:szCs w:val="18"/>
                <w:u w:val="none"/>
                <w:lang w:val="en-US" w:eastAsia="zh-CN" w:bidi="ar"/>
              </w:rPr>
              <w:t>层</w:t>
            </w:r>
            <w:r>
              <w:rPr>
                <w:rFonts w:ascii="宋体" w:hAnsi="宋体" w:eastAsia="宋体" w:cs="宋体"/>
                <w:i w:val="0"/>
                <w:iCs w:val="0"/>
                <w:snapToGrid w:val="0"/>
                <w:color w:val="000000"/>
                <w:kern w:val="0"/>
                <w:sz w:val="18"/>
                <w:szCs w:val="18"/>
                <w:u w:val="none"/>
                <w:lang w:val="en-US" w:eastAsia="zh-CN" w:bidi="ar"/>
              </w:rPr>
              <w:t>组织运行及公共运行维护费</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2个村日常办公费20000元，基层组织活动和公共服务运行每村6万元，2个村12万元。总计14万元。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jc w:val="center"/>
        </w:trPr>
        <w:tc>
          <w:tcPr>
            <w:tcW w:w="130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2024年慈坝乡在职职工26人、在编车辆2辆，严格控制</w:t>
            </w:r>
            <w:r>
              <w:rPr>
                <w:rFonts w:hint="eastAsia" w:ascii="宋体" w:hAnsi="宋体" w:eastAsia="宋体" w:cs="宋体"/>
                <w:i w:val="0"/>
                <w:iCs w:val="0"/>
                <w:snapToGrid w:val="0"/>
                <w:color w:val="000000"/>
                <w:kern w:val="0"/>
                <w:sz w:val="18"/>
                <w:szCs w:val="18"/>
                <w:u w:val="none"/>
                <w:lang w:val="en-US" w:eastAsia="zh-CN" w:bidi="ar"/>
              </w:rPr>
              <w:t>“</w:t>
            </w:r>
            <w:r>
              <w:rPr>
                <w:rFonts w:ascii="宋体" w:hAnsi="宋体" w:eastAsia="宋体" w:cs="宋体"/>
                <w:i w:val="0"/>
                <w:iCs w:val="0"/>
                <w:snapToGrid w:val="0"/>
                <w:color w:val="000000"/>
                <w:kern w:val="0"/>
                <w:sz w:val="18"/>
                <w:szCs w:val="18"/>
                <w:u w:val="none"/>
                <w:lang w:val="en-US" w:eastAsia="zh-CN" w:bidi="ar"/>
              </w:rPr>
              <w:t>三公</w:t>
            </w:r>
            <w:bookmarkStart w:id="0" w:name="_GoBack"/>
            <w:bookmarkEnd w:id="0"/>
            <w:r>
              <w:rPr>
                <w:rFonts w:hint="eastAsia" w:ascii="宋体" w:hAnsi="宋体" w:eastAsia="宋体" w:cs="宋体"/>
                <w:i w:val="0"/>
                <w:iCs w:val="0"/>
                <w:snapToGrid w:val="0"/>
                <w:color w:val="000000"/>
                <w:kern w:val="0"/>
                <w:sz w:val="18"/>
                <w:szCs w:val="18"/>
                <w:u w:val="none"/>
                <w:lang w:val="en-US" w:eastAsia="zh-CN" w:bidi="ar"/>
              </w:rPr>
              <w:t>”</w:t>
            </w:r>
            <w:r>
              <w:rPr>
                <w:rFonts w:ascii="宋体" w:hAnsi="宋体" w:eastAsia="宋体" w:cs="宋体"/>
                <w:i w:val="0"/>
                <w:iCs w:val="0"/>
                <w:snapToGrid w:val="0"/>
                <w:color w:val="000000"/>
                <w:kern w:val="0"/>
                <w:sz w:val="18"/>
                <w:szCs w:val="18"/>
                <w:u w:val="none"/>
                <w:lang w:val="en-US" w:eastAsia="zh-CN" w:bidi="ar"/>
              </w:rPr>
              <w:t>经费支出保障村干部体检</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26</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7</w:t>
            </w:r>
          </w:p>
        </w:tc>
        <w:tc>
          <w:tcPr>
            <w:tcW w:w="1113"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黑水县慈坝乡共2个村，村干部18名，确保村干部工资、按时交纳保险</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18</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7</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开展村级公共运行维护（道路、村活动室）</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2</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处</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通过多途径进行政策宣传</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45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次/年</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8</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组织各村支部书记开党建工作会议</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次/年</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7</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保障经费按时按质量发放，完成相关工作及任务</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7</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保障经费按时按质量发放，项目均达到验收标准，任务均按时完成</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12</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月</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效益指标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社会效益指标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对村级运行发展提升度，提高干部职工的工作积极性</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提升村民对乡镇的满意度，做好对职工的关心关爱工作</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ascii="宋体" w:hAnsi="宋体" w:eastAsia="宋体" w:cs="宋体"/>
                <w:i w:val="0"/>
                <w:iCs w:val="0"/>
                <w:snapToGrid w:val="0"/>
                <w:color w:val="000000"/>
                <w:kern w:val="0"/>
                <w:sz w:val="18"/>
                <w:szCs w:val="18"/>
                <w:u w:val="none"/>
                <w:lang w:val="en-US" w:eastAsia="zh-CN" w:bidi="ar"/>
              </w:rPr>
              <w:t>成本指标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ascii="宋体" w:hAnsi="宋体" w:eastAsia="宋体" w:cs="宋体"/>
                <w:i w:val="0"/>
                <w:iCs w:val="0"/>
                <w:snapToGrid w:val="0"/>
                <w:color w:val="000000"/>
                <w:kern w:val="0"/>
                <w:sz w:val="18"/>
                <w:szCs w:val="18"/>
                <w:u w:val="none"/>
                <w:lang w:val="en-US" w:eastAsia="zh-CN" w:bidi="ar"/>
              </w:rPr>
              <w:t>经济成本指标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保障基本支出、资金投入使用：人员经费4398916.36元、公用经费570000元</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4968916.36</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元</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4968916.36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309"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kern w:val="0"/>
                <w:sz w:val="24"/>
                <w:szCs w:val="24"/>
                <w:u w:val="none"/>
                <w:lang w:val="en-US" w:eastAsia="zh-CN" w:bidi="ar"/>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kern w:val="0"/>
                <w:sz w:val="24"/>
                <w:szCs w:val="24"/>
                <w:u w:val="none"/>
                <w:lang w:val="en-US" w:eastAsia="zh-CN" w:bidi="ar"/>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保障项目支出、资金投入使用：村干部工资及体检费、村干部工资、村级公共运行维护费655180万元</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655180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元</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b/>
                <w:bCs/>
                <w:i w:val="0"/>
                <w:color w:val="000000"/>
                <w:sz w:val="24"/>
                <w:szCs w:val="24"/>
                <w:u w:val="none"/>
              </w:rPr>
            </w:pPr>
            <w:r>
              <w:rPr>
                <w:rFonts w:ascii="宋体" w:hAnsi="宋体" w:eastAsia="宋体" w:cs="宋体"/>
                <w:i w:val="0"/>
                <w:iCs w:val="0"/>
                <w:snapToGrid w:val="0"/>
                <w:color w:val="000000"/>
                <w:kern w:val="0"/>
                <w:sz w:val="18"/>
                <w:szCs w:val="18"/>
                <w:u w:val="none"/>
                <w:lang w:val="en-US" w:eastAsia="zh-CN" w:bidi="ar"/>
              </w:rPr>
              <w:t>655180</w:t>
            </w:r>
          </w:p>
        </w:tc>
      </w:tr>
    </w:tbl>
    <w:p>
      <w:pPr>
        <w:pStyle w:val="2"/>
      </w:pPr>
    </w:p>
    <w:p>
      <w:pPr>
        <w:spacing w:line="281" w:lineRule="auto"/>
        <w:rPr>
          <w:rFonts w:ascii="Arial"/>
          <w:sz w:val="21"/>
        </w:rPr>
      </w:pPr>
    </w:p>
    <w:p>
      <w:pPr>
        <w:spacing w:line="281" w:lineRule="auto"/>
        <w:rPr>
          <w:rFonts w:ascii="Arial"/>
          <w:sz w:val="21"/>
        </w:rPr>
      </w:pPr>
    </w:p>
    <w:p>
      <w:pPr>
        <w:spacing w:line="801" w:lineRule="exact"/>
        <w:sectPr>
          <w:pgSz w:w="11906" w:h="16839"/>
          <w:pgMar w:top="1431" w:right="1444" w:bottom="0" w:left="1606" w:header="0" w:footer="0" w:gutter="0"/>
          <w:cols w:space="720" w:num="1"/>
        </w:sect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2" w:lineRule="auto"/>
        <w:jc w:val="both"/>
        <w:rPr>
          <w:rFonts w:hint="eastAsia" w:ascii="仿宋" w:hAnsi="仿宋" w:eastAsia="仿宋" w:cs="仿宋"/>
          <w:snapToGrid w:val="0"/>
          <w:color w:val="000000"/>
          <w:spacing w:val="2"/>
          <w:kern w:val="0"/>
          <w:sz w:val="31"/>
          <w:szCs w:val="31"/>
          <w:lang w:val="en-US" w:eastAsia="zh-CN" w:bidi="ar-SA"/>
        </w:rPr>
      </w:pPr>
    </w:p>
    <w:sectPr>
      <w:headerReference r:id="rId5" w:type="default"/>
      <w:pgSz w:w="11906" w:h="16839"/>
      <w:pgMar w:top="400" w:right="612" w:bottom="0" w:left="72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AR PL UKai CN">
    <w:panose1 w:val="02000503000000000000"/>
    <w:charset w:val="86"/>
    <w:family w:val="auto"/>
    <w:pitch w:val="default"/>
    <w:sig w:usb0="A00002FF" w:usb1="3ACFFDFF" w:usb2="00000036" w:usb3="00000000" w:csb0="2016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45412A6"/>
    <w:rsid w:val="04D350DC"/>
    <w:rsid w:val="0A3D295B"/>
    <w:rsid w:val="0AF71F67"/>
    <w:rsid w:val="0C3D20A1"/>
    <w:rsid w:val="0D3E2F48"/>
    <w:rsid w:val="0F4D2CA8"/>
    <w:rsid w:val="10F47B61"/>
    <w:rsid w:val="14787422"/>
    <w:rsid w:val="18752231"/>
    <w:rsid w:val="1B2750C0"/>
    <w:rsid w:val="1D0A51B3"/>
    <w:rsid w:val="1D82517F"/>
    <w:rsid w:val="1DAA53AA"/>
    <w:rsid w:val="20FB2677"/>
    <w:rsid w:val="222F7A24"/>
    <w:rsid w:val="233B46DE"/>
    <w:rsid w:val="24DB4284"/>
    <w:rsid w:val="24F2052C"/>
    <w:rsid w:val="27E87140"/>
    <w:rsid w:val="2A0E468C"/>
    <w:rsid w:val="2D883F6F"/>
    <w:rsid w:val="2E285745"/>
    <w:rsid w:val="33903029"/>
    <w:rsid w:val="33DF2DA8"/>
    <w:rsid w:val="343A0F0A"/>
    <w:rsid w:val="346304CE"/>
    <w:rsid w:val="380B4643"/>
    <w:rsid w:val="401C02BA"/>
    <w:rsid w:val="40C704FC"/>
    <w:rsid w:val="447C1AE8"/>
    <w:rsid w:val="46AA7C46"/>
    <w:rsid w:val="4AD856DA"/>
    <w:rsid w:val="4E7F40A1"/>
    <w:rsid w:val="4ED9366C"/>
    <w:rsid w:val="4EF8069D"/>
    <w:rsid w:val="50F93666"/>
    <w:rsid w:val="51E113E5"/>
    <w:rsid w:val="55537C53"/>
    <w:rsid w:val="55854BDF"/>
    <w:rsid w:val="55C030E5"/>
    <w:rsid w:val="57E84249"/>
    <w:rsid w:val="5A5E4C52"/>
    <w:rsid w:val="5B163AB7"/>
    <w:rsid w:val="5DC860FA"/>
    <w:rsid w:val="668002B5"/>
    <w:rsid w:val="69A004FC"/>
    <w:rsid w:val="69F256DE"/>
    <w:rsid w:val="6BB875C8"/>
    <w:rsid w:val="6DD92AC5"/>
    <w:rsid w:val="6FFF702C"/>
    <w:rsid w:val="71805F67"/>
    <w:rsid w:val="726A1369"/>
    <w:rsid w:val="75630023"/>
    <w:rsid w:val="756957B0"/>
    <w:rsid w:val="756B75B9"/>
    <w:rsid w:val="77FF90EB"/>
    <w:rsid w:val="7DA226C3"/>
    <w:rsid w:val="DB570C66"/>
    <w:rsid w:val="FE57FCEC"/>
    <w:rsid w:val="FFFB30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Body Text"/>
    <w:basedOn w:val="1"/>
    <w:next w:val="1"/>
    <w:semiHidden/>
    <w:qFormat/>
    <w:uiPriority w:val="0"/>
    <w:rPr>
      <w:rFonts w:ascii="仿宋" w:hAnsi="仿宋" w:eastAsia="仿宋" w:cs="仿宋"/>
      <w:sz w:val="31"/>
      <w:szCs w:val="31"/>
      <w:lang w:val="en-US" w:eastAsia="en-US" w:bidi="ar-SA"/>
    </w:rPr>
  </w:style>
  <w:style w:type="paragraph" w:styleId="4">
    <w:name w:val="Body Text Indent"/>
    <w:basedOn w:val="1"/>
    <w:qFormat/>
    <w:uiPriority w:val="0"/>
    <w:pPr>
      <w:spacing w:after="120"/>
      <w:ind w:leftChars="200"/>
    </w:pPr>
    <w:rPr>
      <w:rFonts w:ascii="仿宋_GB2312"/>
      <w:szCs w:val="32"/>
    </w:rPr>
  </w:style>
  <w:style w:type="paragraph" w:styleId="5">
    <w:name w:val="Plain Text"/>
    <w:basedOn w:val="1"/>
    <w:qFormat/>
    <w:uiPriority w:val="0"/>
    <w:pPr>
      <w:widowControl/>
      <w:jc w:val="left"/>
    </w:pPr>
    <w:rPr>
      <w:rFonts w:ascii="宋体" w:hAnsi="Courier New"/>
      <w:kern w:val="0"/>
      <w:szCs w:val="21"/>
    </w:rPr>
  </w:style>
  <w:style w:type="paragraph" w:styleId="6">
    <w:name w:val="table of figures"/>
    <w:basedOn w:val="1"/>
    <w:next w:val="1"/>
    <w:qFormat/>
    <w:uiPriority w:val="0"/>
    <w:pPr>
      <w:ind w:left="400" w:leftChars="200" w:hanging="200" w:hangingChars="200"/>
    </w:pPr>
  </w:style>
  <w:style w:type="paragraph" w:styleId="7">
    <w:name w:val="Body Text First Indent 2"/>
    <w:basedOn w:val="4"/>
    <w:unhideWhenUsed/>
    <w:qFormat/>
    <w:uiPriority w:val="99"/>
    <w:pPr>
      <w:ind w:firstLine="420" w:firstLineChars="200"/>
    </w:p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仿宋" w:hAnsi="仿宋" w:eastAsia="仿宋" w:cs="仿宋"/>
      <w:sz w:val="31"/>
      <w:szCs w:val="3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5883</Words>
  <Characters>6356</Characters>
  <TotalTime>3</TotalTime>
  <ScaleCrop>false</ScaleCrop>
  <LinksUpToDate>false</LinksUpToDate>
  <CharactersWithSpaces>6561</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2024-08-09T09:23:00Z</dcterms:created>
  <dc:creator>陈萍</dc:creator>
  <cp:lastModifiedBy>user</cp:lastModifiedBy>
  <cp:lastPrinted>2025-04-24T09:46:00Z</cp:lastPrinted>
  <dcterms:modified xsi:type="dcterms:W3CDTF">2025-11-28T11:29:16Z</dcterms:modified>
  <dc:title>区域性就业培训基地建设项目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2024-09-05T13:27:31Z</vt:filetime>
  </property>
  <property fmtid="{D5CDD505-2E9C-101B-9397-08002B2CF9AE}" pid="4" name="KSOTemplateDocerSaveRecord">
    <vt:lpwstr>eyJoZGlkIjoiZTYyNDUwOWZmZDFlODJlZGRiMWE4NzY2MDA4M2NiZTAiLCJ1c2VySWQiOiI1MDAzMTg0MTgifQ==</vt:lpwstr>
  </property>
  <property fmtid="{D5CDD505-2E9C-101B-9397-08002B2CF9AE}" pid="5" name="KSOProductBuildVer">
    <vt:lpwstr>2052-11.8.2.1120</vt:lpwstr>
  </property>
  <property fmtid="{D5CDD505-2E9C-101B-9397-08002B2CF9AE}" pid="6" name="ICV">
    <vt:lpwstr>C37357783AC042708991D7BDFA7A7875_12</vt:lpwstr>
  </property>
</Properties>
</file>