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color w:val="auto"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color w:val="auto"/>
          <w:sz w:val="32"/>
          <w:szCs w:val="32"/>
          <w:lang w:val="en-US" w:eastAsia="zh-CN"/>
        </w:rPr>
        <w:t>卡龙镇</w:t>
      </w:r>
      <w:r>
        <w:rPr>
          <w:rFonts w:hint="eastAsia" w:ascii="仿宋_GB2312" w:hAnsi="黑体" w:eastAsia="仿宋_GB2312" w:cs="方正小标宋简体"/>
          <w:b/>
          <w:color w:val="auto"/>
          <w:sz w:val="32"/>
          <w:szCs w:val="32"/>
          <w:lang w:eastAsia="zh-CN"/>
        </w:rPr>
        <w:t>2019</w:t>
      </w:r>
      <w:r>
        <w:rPr>
          <w:rFonts w:hint="eastAsia" w:ascii="仿宋_GB2312" w:hAnsi="黑体" w:eastAsia="仿宋_GB2312" w:cs="方正小标宋简体"/>
          <w:b/>
          <w:color w:val="auto"/>
          <w:sz w:val="32"/>
          <w:szCs w:val="32"/>
        </w:rPr>
        <w:t>整体支出绩效评价报告</w:t>
      </w:r>
      <w:bookmarkEnd w:id="0"/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color w:val="FF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（一）机构组成。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卡龙镇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属于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财县管的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镇，设有独立的财政所，本单位无下属二级预算单位。全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共辖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个行政村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1个社区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卡龙镇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下设股级行政机构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个（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办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所）：党政综合办、基层组织建设办、综治维稳办、财政所。下设事业机构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个：经济发展服务中心、社会事业服务中心、就业和社会保障服务中心、综合文化中心。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（二）机构职能。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黑水县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卡龙镇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人民政府是基层国家行政机关，行使本行政区域的政府行政职能部门。根据县委、县政府关于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年全县工作的总体部署，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卡龙镇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主要工作是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: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）继续全力实施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年脱贫攻坚任务，扎实推进脱贫任务村的整体建设，在大力发展核桃种植规模和水平的同时，发展特色水果种植、蜜蜂、牦牛养殖等。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）继续抓好维稳工作，深入细致地了解、掌握各村动态，排查矛盾、纠纷，做好思想工作，化解纠纷，防止恶性群体事件，为群众创造一个和谐稳定的社会环境。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）积极探索致富路线，加大产业结构调整力度，进一步推进核桃种植，促进农民增收。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）抓好安全生产、护林防火工作与汛期地质灾害防治，完善应急预案，落实防治责任，加大防灾和安全知识的宣传力度，坚决杜绝安全生产事故的发生。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）继续做好各项目建设协调工作，做好群众思想工作，有计划、有质量地保证各项目按时完成。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）继续抓好计生、民政、教育、卫生等工作，确保我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的社会各项事业有序开展。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7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）认真完成上级交办的各项工作任务。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（三）人员概况。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卡龙镇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总编制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名，其中：行政编制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名，事业编制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名，工勤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名。截止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年底我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在职人员总数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人，其中：行政人员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人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,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事业单位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人，工勤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（一）部门财政资金收入情况。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（一）部门财政资金收入情况。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镇2019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年收入预算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848.65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万元，其中一般公共预算拨款收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入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499.50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58.86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；政府性基金拨款收入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万元，占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（二）部门财政资金支出情况。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镇2019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年支出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584.05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万元，其中：基本支出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430.43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73.70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，项目支出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153.62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万元万元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占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26.30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。一般公共服务支出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291.06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49.83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；社会保障和就业支出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47.27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8.09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、城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社区支出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万元，占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0.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、住房保障支出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31.95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5.47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、农林水支出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195.16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33.41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、医疗卫生与计划生育支出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17.01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2.91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（二）部门财政资金支出情况。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（一）预决算编制情况。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严格按照县财政局“人员经费按标准，公用经费按定额”的预算原则，根据县财政局关于做好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年财务工作预算的通知要求，客观真实编制了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年部门预算，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年财政资金总支出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584.05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万元（其中基本支出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430.43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万元、项目支出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153.62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万元）。预算编制是我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预算体制最基本的环节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是预算管理体制改革的核心。预算编制秉承实事求是的原则，对我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财政支出做出合理规划，对财政管理体制的完善、活动范围的合理界定、监督和约束都具有重要作用。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（二）执行管理情况。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严格遵守县财政局经费来源和分配、管理、使用原则。一是规范账户管理。单位允许设立一个银行账户。严禁公款私存、私设小金库和账外账，所有资金收支必须在一个银行账户中反映。二是严格遵守支出审批制度。按照“量力而行、量入为出”的原则，合理安排经费。所有票据由经办人、科室负责人签署意见，送财务室对票据的合法性、支出的真实性进行审核，报分管财务领导审核。单项支出金额无论大小，均由分管财务的领导审核后，报主要领导审批。公务支出一律使用公务卡支付。无划卡条件的，原则上采取银行转账方式支付。三是严格遵守财务内审和监督制度。我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历来高度重视内部财务管理，建立了内部财务管理制度。内部财务管理制度中包含了经费管理、经费审批、借款管理、现金及支票管理和财务管理五个方面。根据中央八项规定、省委十项规定、州委和县委相关规定，对“三公经费”、会议费、公务卡强制接算目录制度等进行了完善，单位领导干部加强对财政预算资金的管理，机关干部、职工都严格遵守财经纪律，严格按照财务管理制度照章办事，没有发生违反财经纪律、违反财务管理制度的情况。党组每季度听取一次单位财务工作汇报，了解掌握财务收支情况；单位的财务收支情况每年向党组和职工大会公布，接受党组和干部职工的监督。同时，在开支控制、办公用品采购、大宗印刷管理、公车改革、车辆租赁等方面严格执行相关制度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（三）综合管理情况。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我单位依据财政编审要求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在年度终了后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结合本单位当年全部预算收入、财政拨款收入及支出等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对全口径的资金收入、支出和预算管理、资产管理等工作进行的全面总结。通过编制部门决算报表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对本单位全年的资金管理、单位履行机构职能和受托责任等进行系统的思考检查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分析预算执行中的得失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以推动单位加强内部管理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制定适应本单位的内控制度以促进发展。为编报一份高质量的部门决算报表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还应当从日常工作、前期准备、报表分析等方面做好全过程精细化的财务管理。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color w:val="auto"/>
          <w:sz w:val="32"/>
          <w:szCs w:val="32"/>
        </w:rPr>
      </w:pPr>
      <w:r>
        <w:rPr>
          <w:rFonts w:ascii="仿宋_GB2312" w:hAnsi="黑体" w:eastAsia="仿宋_GB2312" w:cs="黑体"/>
          <w:color w:val="auto"/>
          <w:sz w:val="32"/>
          <w:szCs w:val="32"/>
        </w:rPr>
        <w:t>1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、部门支出绩效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</w:rPr>
        <w:t>（</w:t>
      </w:r>
      <w:r>
        <w:rPr>
          <w:rFonts w:ascii="仿宋_GB2312" w:hAnsi="黑体" w:eastAsia="仿宋_GB2312" w:cs="黑体"/>
          <w:color w:val="auto"/>
          <w:sz w:val="32"/>
          <w:szCs w:val="32"/>
        </w:rPr>
        <w:t>1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）基本支出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</w:rPr>
        <w:t>本年度基本支出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430.43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万元。其中：工资福利支出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359.76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万元，占总支出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83.58</w:t>
      </w:r>
      <w:r>
        <w:rPr>
          <w:rFonts w:ascii="仿宋_GB2312" w:hAnsi="黑体" w:eastAsia="仿宋_GB2312" w:cs="黑体"/>
          <w:color w:val="auto"/>
          <w:sz w:val="32"/>
          <w:szCs w:val="32"/>
        </w:rPr>
        <w:t>%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，商品服务支出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49.31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万元，占总支出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11.46</w:t>
      </w:r>
      <w:r>
        <w:rPr>
          <w:rFonts w:ascii="仿宋_GB2312" w:hAnsi="黑体" w:eastAsia="仿宋_GB2312" w:cs="黑体"/>
          <w:color w:val="auto"/>
          <w:sz w:val="32"/>
          <w:szCs w:val="32"/>
        </w:rPr>
        <w:t>%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，对个人家庭补助支出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21.36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万元，占总支出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4.96</w:t>
      </w:r>
      <w:r>
        <w:rPr>
          <w:rFonts w:ascii="仿宋_GB2312" w:hAnsi="黑体" w:eastAsia="仿宋_GB2312" w:cs="黑体"/>
          <w:color w:val="auto"/>
          <w:sz w:val="32"/>
          <w:szCs w:val="32"/>
        </w:rPr>
        <w:t>%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；基本支出用于为保障机构正常运转、完成日常工作任务而发生的支出，包括人员经费和公用经费，开展日常工作。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</w:rPr>
        <w:t>（</w:t>
      </w:r>
      <w:r>
        <w:rPr>
          <w:rFonts w:ascii="仿宋_GB2312" w:hAnsi="黑体" w:eastAsia="仿宋_GB2312" w:cs="黑体"/>
          <w:color w:val="auto"/>
          <w:sz w:val="32"/>
          <w:szCs w:val="32"/>
        </w:rPr>
        <w:t>2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）机关厉行节约。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</w:rPr>
        <w:t>我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eastAsia="zh-CN"/>
        </w:rPr>
        <w:t>镇2019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年无因公出国（境）经费预算；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eastAsia="zh-CN"/>
        </w:rPr>
        <w:t>2019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年公务接待费预算安排</w:t>
      </w:r>
      <w:r>
        <w:rPr>
          <w:rFonts w:ascii="仿宋_GB2312" w:hAnsi="黑体" w:eastAsia="仿宋_GB2312" w:cs="黑体"/>
          <w:color w:val="auto"/>
          <w:sz w:val="32"/>
          <w:szCs w:val="32"/>
        </w:rPr>
        <w:t>0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万元，与上年度持平；主要原因为我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人大代表人员增加；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eastAsia="zh-CN"/>
        </w:rPr>
        <w:t>2019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年安排公务用车运行维护费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6.11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万元。单位共有公务用车</w:t>
      </w:r>
      <w:r>
        <w:rPr>
          <w:rFonts w:ascii="仿宋_GB2312" w:hAnsi="黑体" w:eastAsia="仿宋_GB2312" w:cs="黑体"/>
          <w:color w:val="auto"/>
          <w:sz w:val="32"/>
          <w:szCs w:val="32"/>
        </w:rPr>
        <w:t>1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辆，主要用于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eastAsia="zh-CN"/>
        </w:rPr>
        <w:t>卡龙镇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干部职工上县办事、下村开展工作产生燃料费、维修费、过桥过路费、保险费、安全奖励费用等支出。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（一）评价结论。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年，在县委、县政府的坚强领导，我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工作继续完善、提升、发展，总体呈现出稳中有升、高位求进的良好发展态势，圆满完成了州县下达的各项目标任务，为全县经济社会发展创造良好的社会环境做出了突出贡献。</w:t>
      </w:r>
      <w:r>
        <w:rPr>
          <w:rFonts w:ascii="仿宋_GB2312" w:hAnsi="仿宋" w:eastAsia="仿宋_GB2312"/>
          <w:color w:val="auto"/>
          <w:sz w:val="32"/>
          <w:szCs w:val="32"/>
        </w:rPr>
        <w:t>2019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年度收入总计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848.65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万元，其中：一般公共预算收入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499.50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万元，年初结转结余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349.15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。</w:t>
      </w:r>
      <w:r>
        <w:rPr>
          <w:rFonts w:ascii="仿宋_GB2312" w:hAnsi="仿宋" w:eastAsia="仿宋_GB2312"/>
          <w:color w:val="auto"/>
          <w:sz w:val="32"/>
          <w:szCs w:val="32"/>
        </w:rPr>
        <w:t>2019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年本年支出合计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584.05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万元，其中：基本支出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430.43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73.70</w:t>
      </w:r>
      <w:r>
        <w:rPr>
          <w:rFonts w:ascii="仿宋_GB2312" w:hAnsi="仿宋" w:eastAsia="仿宋_GB2312"/>
          <w:color w:val="auto"/>
          <w:sz w:val="32"/>
          <w:szCs w:val="32"/>
        </w:rPr>
        <w:t>%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；项目支出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153.62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占比26.30%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主要用于一般公共服务支出、社会保障和就业支出、医疗卫生与计划生育支出、农林水支出、住房保障支出；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工资福利支出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359.76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万元，占总支出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83.58</w:t>
      </w:r>
      <w:r>
        <w:rPr>
          <w:rFonts w:ascii="仿宋_GB2312" w:hAnsi="黑体" w:eastAsia="仿宋_GB2312" w:cs="黑体"/>
          <w:color w:val="auto"/>
          <w:sz w:val="32"/>
          <w:szCs w:val="32"/>
        </w:rPr>
        <w:t>%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，商品服务支出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49.31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万元，占总支出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11.46</w:t>
      </w:r>
      <w:r>
        <w:rPr>
          <w:rFonts w:ascii="仿宋_GB2312" w:hAnsi="黑体" w:eastAsia="仿宋_GB2312" w:cs="黑体"/>
          <w:color w:val="auto"/>
          <w:sz w:val="32"/>
          <w:szCs w:val="32"/>
        </w:rPr>
        <w:t>%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，对个人家庭补助支出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21.36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万元，占总支出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4.96</w:t>
      </w:r>
      <w:r>
        <w:rPr>
          <w:rFonts w:ascii="仿宋_GB2312" w:hAnsi="黑体" w:eastAsia="仿宋_GB2312" w:cs="黑体"/>
          <w:color w:val="auto"/>
          <w:sz w:val="32"/>
          <w:szCs w:val="32"/>
        </w:rPr>
        <w:t>%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；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基本支出用于为保障机构正常运转、完成日常工作任务而发生的支出，包括人员经费和公用经费，开展日常工作。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（二）存在问题。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、村民大局观念不强，过分强调自身利益，对所在村民小组的实施项目表现强烈的兴趣，对村上的公共服务建设项目无心过问。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2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、农村基层民主制度建设的核心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——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财务公开与监督建设有待进一步提高。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（三）改进建议。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、加强资金的管理，在公共运行维护资金的使用范围上严格把关，按照规定进行公示。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 2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、及时总结我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在公共运行维护项目在实施过程中存在的问题及好的经验，进一步加大宣传力度，完善运行维护费工作机制。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3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、加强宣传基础设施维修维护费的用途，督促村干部在项目完工后及时报账。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今后，我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将认真总结经验，完善不足，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贯彻落实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上级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指示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精神，强化村干部法律意识，加强资金的管理，并结合我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的实际情况，创新工作思路，加大工作力度，切实把村级运行维护资金这项惠民工作做好、做实，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切实改善群众民生工程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color w:val="FF0000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color w:val="FF0000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color w:val="FF0000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color w:val="FF0000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jc w:val="right"/>
        <w:rPr>
          <w:rFonts w:hint="eastAsia" w:ascii="仿宋_GB2312" w:hAnsi="仿宋" w:eastAsia="仿宋_GB2312" w:cs="仿宋_GB2312"/>
          <w:color w:val="FF0000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jc w:val="right"/>
        <w:rPr>
          <w:rFonts w:hint="eastAsia" w:ascii="仿宋_GB2312" w:hAnsi="仿宋" w:eastAsia="仿宋_GB2312" w:cs="仿宋_GB2312"/>
          <w:color w:val="FF0000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jc w:val="right"/>
        <w:rPr>
          <w:rFonts w:hint="eastAsia" w:ascii="仿宋_GB2312" w:hAnsi="仿宋" w:eastAsia="仿宋_GB2312" w:cs="仿宋_GB2312"/>
          <w:color w:val="FF0000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jc w:val="right"/>
        <w:rPr>
          <w:rFonts w:hint="eastAsia" w:ascii="仿宋_GB2312" w:hAnsi="仿宋" w:eastAsia="仿宋_GB2312" w:cs="仿宋_GB2312"/>
          <w:color w:val="FF0000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jc w:val="right"/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卡龙镇人民政府</w:t>
      </w:r>
    </w:p>
    <w:p>
      <w:pPr>
        <w:spacing w:line="580" w:lineRule="exact"/>
        <w:ind w:firstLine="640" w:firstLineChars="200"/>
        <w:jc w:val="right"/>
        <w:rPr>
          <w:rFonts w:hint="default" w:ascii="仿宋_GB2312" w:hAnsi="仿宋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2019年8月13</w:t>
      </w:r>
      <w:bookmarkStart w:id="1" w:name="_GoBack"/>
      <w:bookmarkEnd w:id="1"/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日</w:t>
      </w:r>
    </w:p>
    <w:p>
      <w:pPr>
        <w:widowControl/>
        <w:jc w:val="right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22"/>
    <w:rsid w:val="001C5556"/>
    <w:rsid w:val="00291808"/>
    <w:rsid w:val="00491B22"/>
    <w:rsid w:val="0052390C"/>
    <w:rsid w:val="008677D0"/>
    <w:rsid w:val="00924941"/>
    <w:rsid w:val="00981CAE"/>
    <w:rsid w:val="00A250E4"/>
    <w:rsid w:val="00FE17BC"/>
    <w:rsid w:val="14B418F9"/>
    <w:rsid w:val="15DB6933"/>
    <w:rsid w:val="29CE0DA3"/>
    <w:rsid w:val="353665AF"/>
    <w:rsid w:val="38972076"/>
    <w:rsid w:val="3B8232A2"/>
    <w:rsid w:val="3C0B6773"/>
    <w:rsid w:val="3FAA0DF4"/>
    <w:rsid w:val="3FF4510F"/>
    <w:rsid w:val="40653E9D"/>
    <w:rsid w:val="4FC2330D"/>
    <w:rsid w:val="71ED0256"/>
    <w:rsid w:val="723C0554"/>
    <w:rsid w:val="787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7</Pages>
  <Words>484</Words>
  <Characters>2764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文杨</cp:lastModifiedBy>
  <cp:lastPrinted>2019-09-03T03:56:00Z</cp:lastPrinted>
  <dcterms:modified xsi:type="dcterms:W3CDTF">2020-08-20T07:48:01Z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