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hAnsi="黑体" w:eastAsia="仿宋_GB2312" w:cs="方正小标宋简体"/>
          <w:b/>
          <w:sz w:val="44"/>
          <w:szCs w:val="44"/>
        </w:rPr>
      </w:pPr>
      <w:r>
        <w:rPr>
          <w:rFonts w:hint="eastAsia" w:ascii="仿宋_GB2312" w:hAnsi="黑体" w:eastAsia="仿宋_GB2312" w:cs="方正小标宋简体"/>
          <w:b/>
          <w:sz w:val="44"/>
          <w:szCs w:val="44"/>
          <w:lang w:val="en-US" w:eastAsia="zh-CN"/>
        </w:rPr>
        <w:t xml:space="preserve"> </w:t>
      </w:r>
      <w:bookmarkStart w:id="1" w:name="_GoBack"/>
      <w:bookmarkEnd w:id="1"/>
      <w:r>
        <w:rPr>
          <w:rFonts w:hint="eastAsia" w:ascii="仿宋_GB2312" w:hAnsi="黑体" w:eastAsia="仿宋_GB2312" w:cs="方正小标宋简体"/>
          <w:b/>
          <w:sz w:val="44"/>
          <w:szCs w:val="44"/>
        </w:rPr>
        <w:t>20</w:t>
      </w:r>
      <w:r>
        <w:rPr>
          <w:rFonts w:hint="eastAsia" w:ascii="仿宋_GB2312" w:hAnsi="黑体" w:eastAsia="仿宋_GB2312" w:cs="方正小标宋简体"/>
          <w:b/>
          <w:sz w:val="44"/>
          <w:szCs w:val="44"/>
          <w:lang w:val="en-US" w:eastAsia="zh-CN"/>
        </w:rPr>
        <w:t>22</w:t>
      </w:r>
      <w:r>
        <w:rPr>
          <w:rFonts w:hint="eastAsia" w:ascii="仿宋_GB2312" w:hAnsi="黑体" w:eastAsia="仿宋_GB2312" w:cs="方正小标宋简体"/>
          <w:b/>
          <w:sz w:val="44"/>
          <w:szCs w:val="44"/>
        </w:rPr>
        <w:t>年</w:t>
      </w:r>
      <w:r>
        <w:rPr>
          <w:rFonts w:hint="eastAsia" w:ascii="仿宋_GB2312" w:hAnsi="黑体" w:eastAsia="仿宋_GB2312" w:cs="方正小标宋简体"/>
          <w:b/>
          <w:sz w:val="44"/>
          <w:szCs w:val="44"/>
          <w:lang w:eastAsia="zh-CN"/>
        </w:rPr>
        <w:t>卡龙镇</w:t>
      </w:r>
      <w:r>
        <w:rPr>
          <w:rFonts w:hint="eastAsia" w:ascii="仿宋_GB2312" w:hAnsi="黑体" w:eastAsia="仿宋_GB2312" w:cs="方正小标宋简体"/>
          <w:b/>
          <w:sz w:val="44"/>
          <w:szCs w:val="44"/>
        </w:rPr>
        <w:t>项目支出绩效评价报告</w:t>
      </w:r>
    </w:p>
    <w:p>
      <w:pPr>
        <w:spacing w:line="580" w:lineRule="exact"/>
        <w:jc w:val="center"/>
        <w:rPr>
          <w:rFonts w:hint="eastAsia" w:ascii="仿宋_GB2312" w:hAnsi="仿宋_GB2312" w:eastAsia="仿宋_GB2312" w:cs="仿宋_GB2312"/>
          <w:sz w:val="32"/>
          <w:szCs w:val="32"/>
          <w:lang w:eastAsia="zh-CN"/>
        </w:rPr>
      </w:pPr>
      <w:r>
        <w:rPr>
          <w:rFonts w:hint="eastAsia" w:ascii="仿宋_GB2312" w:hAnsi="黑体" w:eastAsia="仿宋_GB2312" w:cs="方正小标宋简体"/>
          <w:b/>
          <w:sz w:val="32"/>
          <w:szCs w:val="32"/>
          <w:lang w:eastAsia="zh-CN"/>
        </w:rPr>
        <w:t>（行政）</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numPr>
          <w:ilvl w:val="0"/>
          <w:numId w:val="0"/>
        </w:numPr>
        <w:spacing w:line="580" w:lineRule="exact"/>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1.关心关爱下一代工作2022年</w:t>
      </w:r>
    </w:p>
    <w:p>
      <w:pPr>
        <w:pStyle w:val="5"/>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为关心下一代主要用于助学、助孤、助残、助业以及扶持发展青少年和儿童教育事业。引导青少年身心健康，积极参加青少年活动；引导青少年遵纪守法，依法保护自己；引导青少年积极开展精神文明创建活动。促进关心下一代工作</w:t>
      </w:r>
      <w:r>
        <w:rPr>
          <w:rFonts w:hint="eastAsia" w:ascii="仿宋_GB2312" w:hAnsi="仿宋_GB2312" w:eastAsia="仿宋_GB2312" w:cs="仿宋_GB2312"/>
          <w:b w:val="0"/>
          <w:bCs w:val="0"/>
          <w:sz w:val="32"/>
          <w:szCs w:val="32"/>
          <w:lang w:eastAsia="zh-CN"/>
        </w:rPr>
        <w:t>。</w:t>
      </w:r>
    </w:p>
    <w:p>
      <w:pPr>
        <w:numPr>
          <w:ilvl w:val="0"/>
          <w:numId w:val="0"/>
        </w:numPr>
        <w:spacing w:line="580" w:lineRule="exact"/>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2.2022年基层组织活动经费村级运行维护费（基础设施维护费）</w:t>
      </w:r>
    </w:p>
    <w:p>
      <w:pPr>
        <w:adjustRightInd w:val="0"/>
        <w:snapToGrid w:val="0"/>
        <w:spacing w:line="520" w:lineRule="exact"/>
        <w:ind w:firstLine="640" w:firstLineChars="200"/>
        <w:rPr>
          <w:rFonts w:hint="eastAsia" w:ascii="仿宋" w:hAnsi="仿宋" w:eastAsia="仿宋_GB2312" w:cs="仿宋"/>
          <w:sz w:val="32"/>
          <w:szCs w:val="32"/>
          <w:lang w:val="en-US" w:eastAsia="zh-CN"/>
        </w:rPr>
      </w:pPr>
      <w:r>
        <w:rPr>
          <w:rFonts w:hint="eastAsia" w:ascii="仿宋_GB2312" w:hAnsi="宋体" w:eastAsia="仿宋_GB2312"/>
          <w:kern w:val="0"/>
          <w:sz w:val="32"/>
          <w:szCs w:val="32"/>
          <w:lang w:bidi="ar"/>
        </w:rPr>
        <w:t>我</w:t>
      </w:r>
      <w:r>
        <w:rPr>
          <w:rFonts w:hint="eastAsia" w:ascii="仿宋_GB2312" w:hAnsi="宋体" w:eastAsia="仿宋_GB2312"/>
          <w:color w:val="000000" w:themeColor="text1"/>
          <w:kern w:val="0"/>
          <w:sz w:val="32"/>
          <w:szCs w:val="32"/>
          <w:lang w:eastAsia="zh-CN" w:bidi="ar"/>
          <w14:textFill>
            <w14:solidFill>
              <w14:schemeClr w14:val="tx1"/>
            </w14:solidFill>
          </w14:textFill>
        </w:rPr>
        <w:t>镇</w:t>
      </w:r>
      <w:r>
        <w:rPr>
          <w:rFonts w:hint="eastAsia" w:ascii="仿宋_GB2312" w:hAnsi="宋体" w:eastAsia="仿宋_GB2312"/>
          <w:kern w:val="0"/>
          <w:sz w:val="32"/>
          <w:szCs w:val="32"/>
          <w:lang w:bidi="ar"/>
        </w:rPr>
        <w:t>成立了农村公共服务运行维护机制建设示范工作领导小组。成立了以</w:t>
      </w:r>
      <w:r>
        <w:rPr>
          <w:rFonts w:hint="eastAsia" w:ascii="仿宋_GB2312" w:hAnsi="宋体" w:eastAsia="仿宋_GB2312"/>
          <w:kern w:val="0"/>
          <w:sz w:val="32"/>
          <w:szCs w:val="32"/>
          <w:lang w:eastAsia="zh-CN" w:bidi="ar"/>
        </w:rPr>
        <w:t>镇</w:t>
      </w:r>
      <w:r>
        <w:rPr>
          <w:rFonts w:hint="eastAsia" w:ascii="仿宋_GB2312" w:hAnsi="宋体" w:eastAsia="仿宋_GB2312"/>
          <w:kern w:val="0"/>
          <w:sz w:val="32"/>
          <w:szCs w:val="32"/>
          <w:lang w:bidi="ar"/>
        </w:rPr>
        <w:t>长为组长，人大主席为副组长、纪委书记、财政人员为成员的城</w:t>
      </w:r>
      <w:r>
        <w:rPr>
          <w:rFonts w:hint="eastAsia" w:ascii="仿宋_GB2312" w:hAnsi="宋体" w:eastAsia="仿宋_GB2312"/>
          <w:kern w:val="0"/>
          <w:sz w:val="32"/>
          <w:szCs w:val="32"/>
          <w:lang w:eastAsia="zh-CN" w:bidi="ar"/>
        </w:rPr>
        <w:t>镇</w:t>
      </w:r>
      <w:r>
        <w:rPr>
          <w:rFonts w:hint="eastAsia" w:ascii="仿宋_GB2312" w:hAnsi="宋体" w:eastAsia="仿宋_GB2312"/>
          <w:kern w:val="0"/>
          <w:sz w:val="32"/>
          <w:szCs w:val="32"/>
          <w:lang w:bidi="ar"/>
        </w:rPr>
        <w:t>农村公共服务运行维护机制建设领导小组，各村由支部书记牵头，落实专门人员负责本村工作。各村根据实际情况，通过广播和召开村组会议等形式，广泛宣传示范工作的有关政策，做到家喻户晓、人人皆知，充分调动广大干部和农民群众的积极性，形成推动此项工作的强大合力，保障</w:t>
      </w:r>
      <w:r>
        <w:rPr>
          <w:rFonts w:hint="eastAsia" w:ascii="仿宋_GB2312" w:hAnsi="宋体" w:eastAsia="仿宋_GB2312"/>
          <w:sz w:val="32"/>
          <w:szCs w:val="32"/>
        </w:rPr>
        <w:t>绩效目标设置合理，评估内容包括绩效目标和绩效指标量化可考核，公共服务运行经费和各村实际情况相匹配，契合政策或项目实质，与部门的长期规划目标、年度工作目标相一致，产出和效果相关联，满意度指标预测均可达98%以上，资金能足额保证，具有相应的质量检查、验收等必要的控制措施或手段，有针对突发事件或未知风险的应急措施</w:t>
      </w:r>
      <w:r>
        <w:rPr>
          <w:rFonts w:hint="eastAsia" w:ascii="仿宋_GB2312" w:hAnsi="宋体" w:eastAsia="仿宋_GB2312"/>
          <w:sz w:val="32"/>
          <w:szCs w:val="32"/>
          <w:lang w:eastAsia="zh-CN"/>
        </w:rPr>
        <w:t>。</w:t>
      </w:r>
    </w:p>
    <w:p>
      <w:pPr>
        <w:numPr>
          <w:ilvl w:val="0"/>
          <w:numId w:val="0"/>
        </w:numPr>
        <w:spacing w:line="580" w:lineRule="exact"/>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3.2022年采购森林草原防灭火物资</w:t>
      </w:r>
    </w:p>
    <w:p>
      <w:pPr>
        <w:adjustRightInd w:val="0"/>
        <w:snapToGrid w:val="0"/>
        <w:spacing w:line="520" w:lineRule="exact"/>
        <w:ind w:firstLine="640" w:firstLineChars="200"/>
        <w:rPr>
          <w:rFonts w:hint="default" w:ascii="仿宋" w:hAnsi="仿宋" w:eastAsia="仿宋" w:cs="仿宋"/>
          <w:sz w:val="32"/>
          <w:szCs w:val="32"/>
          <w:lang w:val="en-US" w:eastAsia="zh-CN"/>
        </w:rPr>
      </w:pPr>
      <w:r>
        <w:rPr>
          <w:rFonts w:hint="eastAsia" w:ascii="仿宋_GB2312" w:hAnsi="仿宋_GB2312" w:eastAsia="仿宋_GB2312" w:cs="仿宋_GB2312"/>
          <w:sz w:val="32"/>
          <w:szCs w:val="32"/>
        </w:rPr>
        <w:t>通过森林草原防灭火物资的装备，能够防患于未然，有效防治森林草原火灾的发生及蔓延。黑水县已进入三月火险高危期和火灾多发期，为做好森林草原火灾扑救工作，做到“打早、打小、打了”，树牢“宁可备而不用、不可用而不备”。</w:t>
      </w:r>
    </w:p>
    <w:p>
      <w:pPr>
        <w:numPr>
          <w:ilvl w:val="0"/>
          <w:numId w:val="0"/>
        </w:numPr>
        <w:spacing w:line="580" w:lineRule="exact"/>
        <w:ind w:leftChars="0" w:firstLine="640" w:firstLineChars="200"/>
        <w:rPr>
          <w:rFonts w:hint="default"/>
          <w:lang w:val="en-US" w:eastAsia="zh-CN"/>
        </w:rPr>
      </w:pPr>
      <w:r>
        <w:rPr>
          <w:rFonts w:hint="eastAsia" w:ascii="仿宋" w:hAnsi="仿宋" w:eastAsia="仿宋" w:cs="仿宋"/>
          <w:sz w:val="32"/>
          <w:szCs w:val="32"/>
          <w:lang w:val="en-US" w:eastAsia="zh-CN"/>
        </w:rPr>
        <w:t>4.卡龙镇2022年安全饮水巩固提升项目</w:t>
      </w:r>
    </w:p>
    <w:p>
      <w:pPr>
        <w:adjustRightInd w:val="0"/>
        <w:snapToGrid w:val="0"/>
        <w:spacing w:line="520" w:lineRule="exact"/>
        <w:ind w:firstLine="640" w:firstLineChars="200"/>
        <w:rPr>
          <w:rFonts w:hint="default"/>
          <w:lang w:val="en-US" w:eastAsia="zh-CN"/>
        </w:rPr>
      </w:pPr>
      <w:r>
        <w:rPr>
          <w:rFonts w:hint="eastAsia" w:ascii="仿宋" w:hAnsi="仿宋" w:eastAsia="仿宋" w:cs="仿宋"/>
          <w:sz w:val="32"/>
          <w:szCs w:val="32"/>
        </w:rPr>
        <w:t>为</w:t>
      </w:r>
      <w:bookmarkStart w:id="0" w:name="lib_xm_proRationality"/>
      <w:bookmarkEnd w:id="0"/>
      <w:r>
        <w:rPr>
          <w:rFonts w:hint="eastAsia" w:ascii="仿宋" w:hAnsi="仿宋" w:eastAsia="仿宋" w:cs="仿宋"/>
          <w:sz w:val="32"/>
          <w:szCs w:val="32"/>
        </w:rPr>
        <w:t>进一步</w:t>
      </w:r>
      <w:r>
        <w:rPr>
          <w:rFonts w:hint="eastAsia" w:ascii="仿宋" w:hAnsi="仿宋" w:eastAsia="仿宋" w:cs="仿宋"/>
          <w:sz w:val="32"/>
          <w:szCs w:val="32"/>
          <w:lang w:eastAsia="zh-CN"/>
        </w:rPr>
        <w:t>巩固提升农村饮水安全质量</w:t>
      </w:r>
      <w:r>
        <w:rPr>
          <w:rFonts w:hint="eastAsia" w:ascii="仿宋" w:hAnsi="仿宋" w:eastAsia="仿宋" w:cs="仿宋"/>
          <w:sz w:val="32"/>
          <w:szCs w:val="32"/>
        </w:rPr>
        <w:t>，带动相关产业发展，丰富产业业态，进一步</w:t>
      </w:r>
      <w:r>
        <w:rPr>
          <w:rFonts w:hint="eastAsia" w:ascii="仿宋" w:hAnsi="仿宋" w:eastAsia="仿宋" w:cs="仿宋"/>
          <w:sz w:val="32"/>
          <w:szCs w:val="32"/>
          <w:lang w:eastAsia="zh-CN"/>
        </w:rPr>
        <w:t>巩固脱贫攻坚成果</w:t>
      </w:r>
      <w:r>
        <w:rPr>
          <w:rFonts w:hint="eastAsia" w:ascii="仿宋" w:hAnsi="仿宋" w:eastAsia="仿宋" w:cs="仿宋"/>
          <w:sz w:val="32"/>
          <w:szCs w:val="32"/>
        </w:rPr>
        <w:t>。在充分结合我</w:t>
      </w:r>
      <w:r>
        <w:rPr>
          <w:rFonts w:hint="eastAsia" w:ascii="仿宋" w:hAnsi="仿宋" w:eastAsia="仿宋" w:cs="仿宋"/>
          <w:sz w:val="32"/>
          <w:szCs w:val="32"/>
          <w:lang w:eastAsia="zh-CN"/>
        </w:rPr>
        <w:t>镇安全饮水</w:t>
      </w:r>
      <w:r>
        <w:rPr>
          <w:rFonts w:hint="eastAsia" w:ascii="仿宋" w:hAnsi="仿宋" w:eastAsia="仿宋" w:cs="仿宋"/>
          <w:sz w:val="32"/>
          <w:szCs w:val="32"/>
        </w:rPr>
        <w:t>现状的基础上，确定实施</w:t>
      </w:r>
      <w:r>
        <w:rPr>
          <w:rFonts w:hint="eastAsia" w:ascii="仿宋" w:hAnsi="仿宋" w:eastAsia="仿宋" w:cs="仿宋"/>
          <w:sz w:val="32"/>
          <w:szCs w:val="32"/>
          <w:lang w:eastAsia="zh-CN"/>
        </w:rPr>
        <w:t>全安饮水巩固提升项目</w:t>
      </w:r>
      <w:r>
        <w:rPr>
          <w:rFonts w:hint="eastAsia" w:ascii="仿宋" w:hAnsi="仿宋" w:eastAsia="仿宋" w:cs="仿宋"/>
          <w:sz w:val="32"/>
          <w:szCs w:val="32"/>
        </w:rPr>
        <w:t>，特立此项目。</w:t>
      </w:r>
    </w:p>
    <w:p>
      <w:pPr>
        <w:adjustRightInd w:val="0"/>
        <w:snapToGrid w:val="0"/>
        <w:spacing w:line="520" w:lineRule="exact"/>
        <w:ind w:left="638" w:leftChars="304"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5.2022年黑水县卡龙镇增减挂钩建设项目</w:t>
      </w:r>
    </w:p>
    <w:p>
      <w:pPr>
        <w:adjustRightInd w:val="0"/>
        <w:snapToGrid w:val="0"/>
        <w:spacing w:line="520" w:lineRule="exact"/>
        <w:ind w:firstLine="640" w:firstLineChars="200"/>
        <w:rPr>
          <w:rFonts w:hint="eastAsia" w:ascii="仿宋_GB2312" w:hAnsi="宋体" w:eastAsia="仿宋_GB2312"/>
          <w:kern w:val="2"/>
          <w:sz w:val="32"/>
          <w:szCs w:val="32"/>
        </w:rPr>
      </w:pPr>
      <w:r>
        <w:rPr>
          <w:rFonts w:hint="eastAsia" w:ascii="仿宋_GB2312" w:hAnsi="宋体" w:eastAsia="仿宋_GB2312"/>
          <w:sz w:val="32"/>
          <w:szCs w:val="32"/>
        </w:rPr>
        <w:t>脱贫攻坚与</w:t>
      </w:r>
      <w:r>
        <w:rPr>
          <w:rFonts w:hint="eastAsia" w:ascii="仿宋_GB2312" w:hAnsi="宋体" w:eastAsia="仿宋_GB2312"/>
          <w:sz w:val="32"/>
          <w:szCs w:val="32"/>
          <w:lang w:eastAsia="zh-CN"/>
        </w:rPr>
        <w:t>镇</w:t>
      </w:r>
      <w:r>
        <w:rPr>
          <w:rFonts w:hint="eastAsia" w:ascii="仿宋_GB2312" w:hAnsi="宋体" w:eastAsia="仿宋_GB2312"/>
          <w:sz w:val="32"/>
          <w:szCs w:val="32"/>
        </w:rPr>
        <w:t>村振兴有效衔接，响应国家</w:t>
      </w:r>
      <w:r>
        <w:rPr>
          <w:rFonts w:hint="eastAsia" w:ascii="仿宋_GB2312" w:hAnsi="宋体" w:eastAsia="仿宋_GB2312"/>
          <w:sz w:val="32"/>
          <w:szCs w:val="32"/>
          <w:lang w:eastAsia="zh-CN"/>
        </w:rPr>
        <w:t>乡</w:t>
      </w:r>
      <w:r>
        <w:rPr>
          <w:rFonts w:hint="eastAsia" w:ascii="仿宋_GB2312" w:hAnsi="宋体" w:eastAsia="仿宋_GB2312"/>
          <w:sz w:val="32"/>
          <w:szCs w:val="32"/>
        </w:rPr>
        <w:t>村振兴，立足</w:t>
      </w:r>
      <w:r>
        <w:rPr>
          <w:rFonts w:hint="eastAsia" w:ascii="仿宋_GB2312" w:hAnsi="宋体" w:eastAsia="仿宋_GB2312"/>
          <w:sz w:val="32"/>
          <w:szCs w:val="32"/>
          <w:lang w:eastAsia="zh-CN"/>
        </w:rPr>
        <w:t>卡龙镇</w:t>
      </w:r>
      <w:r>
        <w:rPr>
          <w:rFonts w:hint="eastAsia" w:ascii="仿宋_GB2312" w:hAnsi="宋体" w:eastAsia="仿宋_GB2312"/>
          <w:sz w:val="32"/>
          <w:szCs w:val="32"/>
        </w:rPr>
        <w:t>实际情况</w:t>
      </w:r>
      <w:r>
        <w:rPr>
          <w:rFonts w:hint="eastAsia" w:ascii="仿宋_GB2312" w:hAnsi="宋体" w:eastAsia="仿宋_GB2312"/>
          <w:sz w:val="32"/>
          <w:szCs w:val="32"/>
          <w:lang w:eastAsia="zh-CN"/>
        </w:rPr>
        <w:t>，</w:t>
      </w:r>
      <w:r>
        <w:rPr>
          <w:rFonts w:hint="eastAsia" w:ascii="仿宋_GB2312" w:hAnsi="仿宋_GB2312" w:eastAsia="仿宋_GB2312" w:cs="仿宋_GB2312"/>
          <w:w w:val="100"/>
          <w:sz w:val="32"/>
          <w:szCs w:val="32"/>
          <w:lang w:val="en-US" w:eastAsia="zh-CN"/>
        </w:rPr>
        <w:t>土地复垦是有效保护耕地，保持土地质量，实现耕地总量动态平衡的有效措施，也是促进土地集约化利用的重要手段之一。积极开展土地复垦，对于缓解人地矛盾，改善农业生产条件和土地生态环境具有重要的意义。</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leftChars="0" w:firstLine="640" w:firstLineChars="200"/>
        <w:textAlignment w:val="auto"/>
        <w:rPr>
          <w:rFonts w:hint="eastAsia"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主动将绩效自评公开，从自评情况来看，我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部门预算支出在保障本</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工作运转、履行职能职责上整体情况良好，预算编制比较精确、合理;为认真落实中央“八项”规定等厉行节约，反对浪费规定要求，压缩了部分三公及一般性支出，动态优化了年度预算安排，保障了在经费压缩情况下的高效运转，各项目经费的支出有力保障了办公设备购置等项目所需，提高了管理工作的规范化、信息化水平，对于各股室日常公用经费按照相关政策进行强化管理，对于办公日常运行维护费用加强审核力度，完成了年初设定的绩效目标，保障了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工作的正常运转，促进了我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的事业发展，充分发挥了财政资金的经济效益和社会效益。</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9"/>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9" w:type="dxa"/>
          </w:tcPr>
          <w:p>
            <w:pPr>
              <w:pStyle w:val="6"/>
              <w:rPr>
                <w:rFonts w:hint="eastAsia"/>
                <w:vertAlign w:val="baseline"/>
                <w:lang w:val="en-US" w:eastAsia="zh-CN"/>
              </w:rPr>
            </w:pPr>
            <w:r>
              <w:rPr>
                <w:rFonts w:hint="eastAsia"/>
                <w:vertAlign w:val="baseline"/>
                <w:lang w:val="en-US" w:eastAsia="zh-CN"/>
              </w:rPr>
              <w:t>项目名称</w:t>
            </w:r>
          </w:p>
        </w:tc>
        <w:tc>
          <w:tcPr>
            <w:tcW w:w="2213" w:type="dxa"/>
          </w:tcPr>
          <w:p>
            <w:pPr>
              <w:pStyle w:val="6"/>
              <w:rPr>
                <w:rFonts w:hint="eastAsia"/>
                <w:vertAlign w:val="baseline"/>
                <w:lang w:val="en-US" w:eastAsia="zh-CN"/>
              </w:rPr>
            </w:pPr>
            <w:r>
              <w:rPr>
                <w:rFonts w:hint="eastAsia"/>
                <w:vertAlign w:val="baseline"/>
                <w:lang w:val="en-US" w:eastAsia="zh-CN"/>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9" w:type="dxa"/>
          </w:tcPr>
          <w:p>
            <w:pPr>
              <w:pStyle w:val="6"/>
              <w:rPr>
                <w:rFonts w:hint="eastAsia"/>
                <w:vertAlign w:val="baseline"/>
                <w:lang w:val="en-US" w:eastAsia="zh-CN"/>
              </w:rPr>
            </w:pPr>
            <w:r>
              <w:rPr>
                <w:rFonts w:hint="eastAsia" w:ascii="仿宋" w:hAnsi="仿宋" w:eastAsia="仿宋" w:cs="仿宋"/>
                <w:sz w:val="32"/>
                <w:szCs w:val="32"/>
                <w:lang w:val="en-US" w:eastAsia="zh-CN"/>
              </w:rPr>
              <w:t>关心关爱下一代工作2022年</w:t>
            </w:r>
          </w:p>
        </w:tc>
        <w:tc>
          <w:tcPr>
            <w:tcW w:w="2213" w:type="dxa"/>
          </w:tcPr>
          <w:p>
            <w:pPr>
              <w:pStyle w:val="6"/>
              <w:rPr>
                <w:rFonts w:hint="default"/>
                <w:vertAlign w:val="baseline"/>
                <w:lang w:val="en-US" w:eastAsia="zh-CN"/>
              </w:rPr>
            </w:pPr>
            <w:r>
              <w:rPr>
                <w:rFonts w:hint="eastAsia"/>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9" w:type="dxa"/>
          </w:tcPr>
          <w:p>
            <w:pPr>
              <w:pStyle w:val="6"/>
              <w:rPr>
                <w:rFonts w:hint="eastAsia"/>
                <w:vertAlign w:val="baseline"/>
                <w:lang w:val="en-US" w:eastAsia="zh-CN"/>
              </w:rPr>
            </w:pPr>
            <w:r>
              <w:rPr>
                <w:rFonts w:hint="eastAsia" w:ascii="仿宋" w:hAnsi="仿宋" w:eastAsia="仿宋" w:cs="仿宋"/>
                <w:sz w:val="32"/>
                <w:szCs w:val="32"/>
                <w:lang w:val="en-US" w:eastAsia="zh-CN"/>
              </w:rPr>
              <w:t>2022年基层组织活动经费村级运行维护费</w:t>
            </w:r>
          </w:p>
        </w:tc>
        <w:tc>
          <w:tcPr>
            <w:tcW w:w="2213" w:type="dxa"/>
          </w:tcPr>
          <w:p>
            <w:pPr>
              <w:pStyle w:val="6"/>
              <w:rPr>
                <w:rFonts w:hint="default"/>
                <w:vertAlign w:val="baseline"/>
                <w:lang w:val="en-US" w:eastAsia="zh-CN"/>
              </w:rPr>
            </w:pPr>
            <w:r>
              <w:rPr>
                <w:rFonts w:hint="eastAsia"/>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9" w:type="dxa"/>
          </w:tcPr>
          <w:p>
            <w:pPr>
              <w:pStyle w:val="6"/>
              <w:rPr>
                <w:rFonts w:hint="eastAsia"/>
                <w:vertAlign w:val="baseline"/>
                <w:lang w:val="en-US" w:eastAsia="zh-CN"/>
              </w:rPr>
            </w:pPr>
            <w:r>
              <w:rPr>
                <w:rFonts w:hint="eastAsia" w:ascii="仿宋" w:hAnsi="仿宋" w:eastAsia="仿宋" w:cs="仿宋"/>
                <w:sz w:val="32"/>
                <w:szCs w:val="32"/>
                <w:lang w:val="en-US" w:eastAsia="zh-CN"/>
              </w:rPr>
              <w:t>2022年采购森林草原防灭火物资</w:t>
            </w:r>
          </w:p>
        </w:tc>
        <w:tc>
          <w:tcPr>
            <w:tcW w:w="2213" w:type="dxa"/>
          </w:tcPr>
          <w:p>
            <w:pPr>
              <w:pStyle w:val="6"/>
              <w:rPr>
                <w:rFonts w:hint="default"/>
                <w:vertAlign w:val="baseline"/>
                <w:lang w:val="en-US" w:eastAsia="zh-CN"/>
              </w:rPr>
            </w:pPr>
            <w:r>
              <w:rPr>
                <w:rFonts w:hint="eastAsia"/>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9" w:type="dxa"/>
          </w:tcPr>
          <w:p>
            <w:pPr>
              <w:pStyle w:val="6"/>
              <w:rPr>
                <w:rFonts w:hint="eastAsia"/>
                <w:vertAlign w:val="baseline"/>
                <w:lang w:val="en-US" w:eastAsia="zh-CN"/>
              </w:rPr>
            </w:pPr>
            <w:r>
              <w:rPr>
                <w:rFonts w:hint="eastAsia" w:ascii="仿宋" w:hAnsi="仿宋" w:eastAsia="仿宋" w:cs="仿宋"/>
                <w:sz w:val="32"/>
                <w:szCs w:val="32"/>
                <w:lang w:val="en-US" w:eastAsia="zh-CN"/>
              </w:rPr>
              <w:t>卡龙镇2022年安全饮水巩固提升项目</w:t>
            </w:r>
          </w:p>
        </w:tc>
        <w:tc>
          <w:tcPr>
            <w:tcW w:w="2213" w:type="dxa"/>
          </w:tcPr>
          <w:p>
            <w:pPr>
              <w:pStyle w:val="6"/>
              <w:rPr>
                <w:rFonts w:hint="default"/>
                <w:vertAlign w:val="baseline"/>
                <w:lang w:val="en-US" w:eastAsia="zh-CN"/>
              </w:rPr>
            </w:pPr>
            <w:r>
              <w:rPr>
                <w:rFonts w:hint="eastAsia"/>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9" w:type="dxa"/>
          </w:tcPr>
          <w:p>
            <w:pPr>
              <w:pStyle w:val="6"/>
              <w:rPr>
                <w:rFonts w:hint="eastAsia"/>
                <w:vertAlign w:val="baseline"/>
                <w:lang w:val="en-US" w:eastAsia="zh-CN"/>
              </w:rPr>
            </w:pPr>
            <w:r>
              <w:rPr>
                <w:rFonts w:hint="eastAsia" w:ascii="仿宋" w:hAnsi="仿宋" w:eastAsia="仿宋" w:cs="仿宋"/>
                <w:sz w:val="32"/>
                <w:szCs w:val="32"/>
                <w:lang w:val="en-US" w:eastAsia="zh-CN"/>
              </w:rPr>
              <w:t>2022年黑水县卡龙镇增减挂钩建设项目</w:t>
            </w:r>
          </w:p>
        </w:tc>
        <w:tc>
          <w:tcPr>
            <w:tcW w:w="2213" w:type="dxa"/>
          </w:tcPr>
          <w:p>
            <w:pPr>
              <w:pStyle w:val="6"/>
              <w:rPr>
                <w:rFonts w:hint="default"/>
                <w:vertAlign w:val="baseline"/>
                <w:lang w:val="en-US" w:eastAsia="zh-CN"/>
              </w:rPr>
            </w:pPr>
            <w:r>
              <w:rPr>
                <w:rFonts w:hint="eastAsia"/>
                <w:vertAlign w:val="baseline"/>
                <w:lang w:val="en-US" w:eastAsia="zh-CN"/>
              </w:rPr>
              <w:t>95</w:t>
            </w:r>
          </w:p>
        </w:tc>
      </w:tr>
    </w:tbl>
    <w:p>
      <w:pPr>
        <w:pStyle w:val="6"/>
        <w:rPr>
          <w:rFonts w:hint="eastAsia"/>
          <w:lang w:val="en-US" w:eastAsia="zh-CN"/>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adjustRightInd w:val="0"/>
        <w:snapToGrid w:val="0"/>
        <w:spacing w:line="520" w:lineRule="exact"/>
        <w:ind w:firstLine="640" w:firstLineChars="200"/>
        <w:rPr>
          <w:rFonts w:hint="eastAsia" w:ascii="仿宋" w:hAnsi="仿宋" w:eastAsia="仿宋" w:cs="仿宋"/>
          <w:sz w:val="32"/>
          <w:szCs w:val="32"/>
          <w:lang w:eastAsia="zh-CN"/>
        </w:rPr>
      </w:pPr>
      <w:r>
        <w:rPr>
          <w:rFonts w:hint="eastAsia" w:ascii="仿宋_GB2312" w:hAnsi="仿宋" w:eastAsia="仿宋_GB2312" w:cs="仿宋_GB2312"/>
          <w:sz w:val="32"/>
          <w:szCs w:val="32"/>
          <w:lang w:eastAsia="zh-CN"/>
        </w:rPr>
        <w:t>按照相关</w:t>
      </w:r>
      <w:r>
        <w:rPr>
          <w:rFonts w:hint="eastAsia" w:ascii="仿宋_GB2312" w:hAnsi="仿宋" w:eastAsia="仿宋_GB2312" w:cs="仿宋_GB2312"/>
          <w:sz w:val="32"/>
          <w:szCs w:val="32"/>
        </w:rPr>
        <w:t>政策依据和政策完善，政策和需求的吻合程度</w:t>
      </w:r>
      <w:r>
        <w:rPr>
          <w:rFonts w:hint="eastAsia" w:ascii="仿宋" w:hAnsi="仿宋" w:eastAsia="仿宋" w:cs="仿宋"/>
          <w:sz w:val="32"/>
          <w:szCs w:val="32"/>
          <w:lang w:val="en-US" w:eastAsia="zh-CN"/>
        </w:rPr>
        <w:t>100%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预算内经费和专项基金我单位按照有关法律法规和财务制度严格执行，经费组织决算及报表的审核、报送与财政部门逐一核对，确保经费预决算的严肃性、准确性。</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项目管理</w:t>
      </w:r>
    </w:p>
    <w:p>
      <w:pPr>
        <w:adjustRightInd w:val="0"/>
        <w:snapToGrid w:val="0"/>
        <w:spacing w:line="520" w:lineRule="exact"/>
        <w:ind w:firstLine="640" w:firstLineChars="200"/>
        <w:rPr>
          <w:rFonts w:hint="eastAsia" w:ascii="仿宋_GB2312" w:hAnsi="仿宋" w:eastAsia="仿宋_GB2312" w:cs="仿宋_GB2312"/>
          <w:sz w:val="32"/>
          <w:szCs w:val="32"/>
          <w:lang w:eastAsia="zh-CN"/>
        </w:rPr>
      </w:pPr>
      <w:r>
        <w:rPr>
          <w:rFonts w:hint="eastAsia" w:ascii="仿宋" w:hAnsi="仿宋" w:eastAsia="仿宋" w:cs="仿宋"/>
          <w:sz w:val="32"/>
          <w:szCs w:val="32"/>
          <w:lang w:eastAsia="zh-CN"/>
        </w:rPr>
        <w:t>卡龙镇</w:t>
      </w:r>
      <w:r>
        <w:rPr>
          <w:rFonts w:hint="eastAsia" w:ascii="仿宋" w:hAnsi="仿宋" w:eastAsia="仿宋" w:cs="仿宋"/>
          <w:sz w:val="32"/>
          <w:szCs w:val="32"/>
          <w:lang w:val="en-US" w:eastAsia="zh-CN"/>
        </w:rPr>
        <w:t>2022年项目</w:t>
      </w:r>
      <w:r>
        <w:rPr>
          <w:rFonts w:hint="eastAsia" w:ascii="仿宋_GB2312" w:hAnsi="仿宋" w:eastAsia="仿宋_GB2312" w:cs="仿宋_GB2312"/>
          <w:sz w:val="32"/>
          <w:szCs w:val="32"/>
        </w:rPr>
        <w:t>资金分配管理科学合理</w:t>
      </w:r>
      <w:r>
        <w:rPr>
          <w:rFonts w:hint="eastAsia" w:ascii="仿宋_GB2312" w:hAnsi="仿宋" w:eastAsia="仿宋_GB2312" w:cs="仿宋_GB2312"/>
          <w:sz w:val="32"/>
          <w:szCs w:val="32"/>
          <w:lang w:eastAsia="zh-CN"/>
        </w:rPr>
        <w:t>，各项目均按照相关文件要求实施。</w:t>
      </w:r>
    </w:p>
    <w:p>
      <w:pPr>
        <w:numPr>
          <w:ilvl w:val="0"/>
          <w:numId w:val="0"/>
        </w:numPr>
        <w:spacing w:line="580" w:lineRule="exact"/>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绩效评价项目6个，包括：1.关心关爱下一代工作，支出1.88万元；2.基层组织活动经费村级运行维护费，支出27.89万元；3.采购森林草原防灭火物资，支出12.78万元；4.安全饮水巩固提升项目，支出35.2万元；5.2022年黑水县卡龙镇增减挂钩建设项目，支出239.77万元。   </w:t>
      </w:r>
    </w:p>
    <w:p>
      <w:pPr>
        <w:adjustRightInd w:val="0"/>
        <w:snapToGrid w:val="0"/>
        <w:spacing w:line="520" w:lineRule="exact"/>
        <w:ind w:firstLine="640" w:firstLineChars="200"/>
        <w:rPr>
          <w:rFonts w:hint="eastAsia" w:eastAsia="仿宋_GB2312"/>
          <w:lang w:eastAsia="zh-CN"/>
        </w:rPr>
      </w:pPr>
      <w:r>
        <w:rPr>
          <w:rFonts w:hint="eastAsia" w:ascii="仿宋" w:hAnsi="仿宋" w:eastAsia="仿宋" w:cs="仿宋"/>
          <w:sz w:val="32"/>
          <w:szCs w:val="32"/>
          <w:lang w:val="en-US" w:eastAsia="zh-CN"/>
        </w:rPr>
        <w:t>资金申报后在规定的时间内下发给我们单位，本单位也在最短的时间内进行了支出。该6项项目均</w:t>
      </w:r>
      <w:r>
        <w:rPr>
          <w:rFonts w:hint="eastAsia" w:ascii="仿宋" w:hAnsi="仿宋" w:eastAsia="仿宋" w:cs="仿宋"/>
          <w:sz w:val="32"/>
          <w:szCs w:val="32"/>
        </w:rPr>
        <w:t>符合资金管理办法等相关规定</w:t>
      </w:r>
      <w:r>
        <w:rPr>
          <w:rFonts w:hint="eastAsia" w:ascii="仿宋" w:hAnsi="仿宋" w:eastAsia="仿宋" w:cs="仿宋"/>
          <w:sz w:val="32"/>
          <w:szCs w:val="32"/>
          <w:lang w:eastAsia="zh-CN"/>
        </w:rPr>
        <w:t>，</w:t>
      </w:r>
      <w:r>
        <w:rPr>
          <w:rFonts w:hint="eastAsia" w:ascii="仿宋" w:hAnsi="仿宋" w:eastAsia="仿宋" w:cs="仿宋"/>
          <w:sz w:val="32"/>
          <w:szCs w:val="32"/>
        </w:rPr>
        <w:t>资金</w:t>
      </w:r>
      <w:r>
        <w:rPr>
          <w:rFonts w:hint="eastAsia" w:ascii="仿宋" w:hAnsi="仿宋" w:eastAsia="仿宋" w:cs="仿宋"/>
          <w:sz w:val="32"/>
          <w:szCs w:val="32"/>
          <w:lang w:eastAsia="zh-CN"/>
        </w:rPr>
        <w:t>支出</w:t>
      </w:r>
      <w:r>
        <w:rPr>
          <w:rFonts w:hint="eastAsia" w:ascii="仿宋" w:hAnsi="仿宋" w:eastAsia="仿宋" w:cs="仿宋"/>
          <w:sz w:val="32"/>
          <w:szCs w:val="32"/>
        </w:rPr>
        <w:t>与预算相符</w:t>
      </w:r>
      <w:r>
        <w:rPr>
          <w:rFonts w:hint="eastAsia" w:ascii="仿宋" w:hAnsi="仿宋" w:eastAsia="仿宋" w:cs="仿宋"/>
          <w:sz w:val="32"/>
          <w:szCs w:val="32"/>
          <w:lang w:eastAsia="zh-CN"/>
        </w:rPr>
        <w:t>。</w:t>
      </w:r>
      <w:r>
        <w:rPr>
          <w:rFonts w:hint="eastAsia" w:ascii="仿宋_GB2312" w:hAnsi="宋体" w:eastAsia="仿宋_GB2312"/>
          <w:sz w:val="32"/>
          <w:szCs w:val="32"/>
        </w:rPr>
        <w:t>资金来源渠道合法合规，评估内容包括政策或项目具有公共性，属于公共财政支持范围，筹资渠道符合法律法规规定，筹资结构合理，资金来源渠道明确，各渠道资金每年到位、条件具备可落实性</w:t>
      </w:r>
      <w:r>
        <w:rPr>
          <w:rFonts w:hint="eastAsia" w:ascii="仿宋_GB2312" w:hAnsi="宋体" w:eastAsia="仿宋_GB2312"/>
          <w:sz w:val="32"/>
          <w:szCs w:val="32"/>
          <w:lang w:eastAsia="zh-CN"/>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绩效评价项目5个，包括：1.关心关爱下一代工作，支出1.88万元；2.基层组织活动经费村级运行维护费，支出27.89万元；3.采购森林草原防灭火物资，支出12.78万元；4.安全饮水巩固提升项目，支出35.2万元；5.2022年黑水县卡龙镇增减挂钩建设项目，支出239.77万元。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 w:hAnsi="仿宋" w:eastAsia="仿宋" w:cs="仿宋"/>
          <w:sz w:val="32"/>
          <w:szCs w:val="32"/>
          <w:lang w:val="en-US" w:eastAsia="zh-CN"/>
        </w:rPr>
        <w:t>6个</w:t>
      </w:r>
      <w:r>
        <w:rPr>
          <w:rFonts w:hint="eastAsia" w:ascii="仿宋" w:hAnsi="仿宋" w:eastAsia="仿宋" w:cs="仿宋"/>
          <w:sz w:val="32"/>
          <w:szCs w:val="32"/>
          <w:lang w:eastAsia="zh-CN"/>
        </w:rPr>
        <w:t>项目已按照相关计划及时在规定的时间内完成，完成质量良好，达到了预期目标。</w:t>
      </w:r>
      <w:r>
        <w:rPr>
          <w:rFonts w:hint="eastAsia" w:ascii="仿宋" w:hAnsi="Calibri" w:eastAsia="仿宋" w:cs="仿宋"/>
          <w:kern w:val="2"/>
          <w:sz w:val="32"/>
          <w:szCs w:val="32"/>
          <w:lang w:val="en-US" w:eastAsia="zh-CN" w:bidi="ar-SA"/>
        </w:rPr>
        <w:t>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部门预算支出在保障本</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工作运转、履行职能职责上整体情况良好，整体上完成了年初设定的绩效目标，保障了我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工作的正常运转，促进了我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的事业发展，充分发挥了财政资金的经济效益和社会效益。</w:t>
      </w:r>
      <w:r>
        <w:rPr>
          <w:rFonts w:hint="eastAsia" w:ascii="仿宋_GB2312" w:hAnsi="仿宋_GB2312" w:eastAsia="仿宋_GB2312" w:cs="仿宋_GB2312"/>
          <w:b w:val="0"/>
          <w:bCs w:val="0"/>
          <w:sz w:val="32"/>
          <w:szCs w:val="32"/>
        </w:rPr>
        <w:t>各类资金计划及截止评价时点实际到位</w:t>
      </w:r>
      <w:r>
        <w:rPr>
          <w:rFonts w:hint="eastAsia" w:ascii="仿宋_GB2312" w:hAnsi="仿宋_GB2312" w:eastAsia="仿宋_GB2312" w:cs="仿宋_GB2312"/>
          <w:b w:val="0"/>
          <w:bCs w:val="0"/>
          <w:sz w:val="32"/>
          <w:szCs w:val="32"/>
          <w:lang w:eastAsia="zh-CN"/>
        </w:rPr>
        <w:t>及时，</w:t>
      </w:r>
      <w:r>
        <w:rPr>
          <w:rFonts w:hint="eastAsia" w:ascii="仿宋_GB2312" w:hAnsi="仿宋_GB2312" w:eastAsia="仿宋_GB2312" w:cs="仿宋_GB2312"/>
          <w:b w:val="0"/>
          <w:bCs w:val="0"/>
          <w:sz w:val="32"/>
          <w:szCs w:val="32"/>
        </w:rPr>
        <w:t>资金到位情况与资金计划</w:t>
      </w:r>
      <w:r>
        <w:rPr>
          <w:rFonts w:hint="eastAsia" w:ascii="仿宋_GB2312" w:hAnsi="仿宋_GB2312" w:eastAsia="仿宋_GB2312" w:cs="仿宋_GB2312"/>
          <w:b w:val="0"/>
          <w:bCs w:val="0"/>
          <w:sz w:val="32"/>
          <w:szCs w:val="32"/>
          <w:lang w:eastAsia="zh-CN"/>
        </w:rPr>
        <w:t>基本一致。</w:t>
      </w:r>
      <w:r>
        <w:rPr>
          <w:rFonts w:hint="eastAsia" w:ascii="仿宋_GB2312" w:hAnsi="仿宋_GB2312" w:eastAsia="仿宋_GB2312" w:cs="仿宋_GB2312"/>
          <w:b w:val="0"/>
          <w:bCs w:val="0"/>
          <w:sz w:val="32"/>
          <w:szCs w:val="32"/>
        </w:rPr>
        <w:t>资金到位率</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、到位及时。</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 w:hAnsi="仿宋" w:eastAsia="仿宋" w:cs="仿宋"/>
          <w:sz w:val="32"/>
          <w:szCs w:val="32"/>
          <w:lang w:eastAsia="zh-CN"/>
        </w:rPr>
        <w:t>保障了村民的相关权益，生活环境更加舒适、优越，提高了村民的生活质量；</w:t>
      </w:r>
      <w:r>
        <w:rPr>
          <w:rFonts w:hint="eastAsia" w:ascii="仿宋_GB2312" w:hAnsi="仿宋_GB2312" w:eastAsia="仿宋_GB2312" w:cs="仿宋_GB2312"/>
          <w:sz w:val="32"/>
          <w:szCs w:val="32"/>
        </w:rPr>
        <w:t>通过森林草原防灭火物资的装备，能够防患于未然，有效防治森林草原火灾的发生及蔓延</w:t>
      </w:r>
      <w:r>
        <w:rPr>
          <w:rFonts w:hint="eastAsia" w:ascii="仿宋_GB2312" w:hAnsi="仿宋_GB2312" w:eastAsia="仿宋_GB2312" w:cs="仿宋_GB2312"/>
          <w:sz w:val="32"/>
          <w:szCs w:val="32"/>
          <w:lang w:eastAsia="zh-CN"/>
        </w:rPr>
        <w:t>等。</w:t>
      </w:r>
      <w:r>
        <w:rPr>
          <w:rFonts w:hint="eastAsia" w:ascii="仿宋_GB2312" w:hAnsi="宋体" w:eastAsia="仿宋_GB2312"/>
          <w:sz w:val="32"/>
          <w:szCs w:val="32"/>
        </w:rPr>
        <w:t>具有现实需求，具有明显的经济、社会、环境或可持续性效益。促进农</w:t>
      </w:r>
      <w:r>
        <w:rPr>
          <w:rFonts w:hint="eastAsia" w:ascii="仿宋_GB2312" w:hAnsi="仿宋_GB2312" w:eastAsia="仿宋_GB2312" w:cs="仿宋_GB2312"/>
          <w:b w:val="0"/>
          <w:bCs w:val="0"/>
          <w:sz w:val="32"/>
          <w:szCs w:val="32"/>
        </w:rPr>
        <w:t>村产业发展，群众增收致富</w:t>
      </w:r>
      <w:r>
        <w:rPr>
          <w:rFonts w:hint="eastAsia" w:ascii="仿宋_GB2312" w:hAnsi="仿宋_GB2312" w:eastAsia="仿宋_GB2312" w:cs="仿宋_GB2312"/>
          <w:b w:val="0"/>
          <w:bCs w:val="0"/>
          <w:sz w:val="32"/>
          <w:szCs w:val="32"/>
          <w:lang w:eastAsia="zh-CN"/>
        </w:rPr>
        <w:t>等。</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b w:val="0"/>
          <w:bCs w:val="0"/>
          <w:sz w:val="32"/>
          <w:szCs w:val="32"/>
        </w:rPr>
        <w:t>存在主要问题</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snapToGrid/>
        <w:ind w:left="0" w:leftChars="0"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仿宋" w:eastAsia="仿宋_GB2312" w:cs="仿宋_GB2312"/>
          <w:sz w:val="32"/>
          <w:szCs w:val="32"/>
        </w:rPr>
        <w:t>相关措施建议</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F9BCE0"/>
    <w:multiLevelType w:val="multilevel"/>
    <w:tmpl w:val="2FF9BCE0"/>
    <w:lvl w:ilvl="0" w:tentative="0">
      <w:start w:val="1"/>
      <w:numFmt w:val="chineseCounting"/>
      <w:suff w:val="nothing"/>
      <w:lvlText w:val="第%1章 "/>
      <w:lvlJc w:val="left"/>
      <w:pPr>
        <w:ind w:left="432" w:hanging="432"/>
      </w:pPr>
      <w:rPr>
        <w:rFonts w:hint="eastAsia"/>
      </w:rPr>
    </w:lvl>
    <w:lvl w:ilvl="1" w:tentative="0">
      <w:start w:val="1"/>
      <w:numFmt w:val="decimal"/>
      <w:isLgl/>
      <w:suff w:val="space"/>
      <w:lvlText w:val="%1.%2"/>
      <w:lvlJc w:val="left"/>
      <w:pPr>
        <w:tabs>
          <w:tab w:val="left" w:pos="0"/>
        </w:tabs>
        <w:ind w:left="575" w:hanging="575"/>
      </w:pPr>
      <w:rPr>
        <w:rFonts w:hint="eastAsia" w:ascii="宋体" w:hAnsi="宋体" w:eastAsia="宋体" w:cs="宋体"/>
      </w:rPr>
    </w:lvl>
    <w:lvl w:ilvl="2" w:tentative="0">
      <w:start w:val="1"/>
      <w:numFmt w:val="decimal"/>
      <w:pStyle w:val="5"/>
      <w:isLgl/>
      <w:suff w:val="space"/>
      <w:lvlText w:val="%1.%2.%3"/>
      <w:lvlJc w:val="left"/>
      <w:pPr>
        <w:tabs>
          <w:tab w:val="left" w:pos="420"/>
        </w:tabs>
        <w:ind w:left="0" w:firstLine="567"/>
      </w:pPr>
      <w:rPr>
        <w:rFonts w:hint="eastAsia" w:ascii="宋体" w:hAnsi="宋体" w:eastAsia="宋体" w:cs="宋体"/>
      </w:rPr>
    </w:lvl>
    <w:lvl w:ilvl="3" w:tentative="0">
      <w:start w:val="1"/>
      <w:numFmt w:val="decimal"/>
      <w:isLgl/>
      <w:suff w:val="nothing"/>
      <w:lvlText w:val="%1.%2.%3.%4"/>
      <w:lvlJc w:val="left"/>
      <w:pPr>
        <w:tabs>
          <w:tab w:val="left" w:pos="0"/>
        </w:tabs>
        <w:ind w:left="864" w:hanging="306"/>
      </w:pPr>
      <w:rPr>
        <w:rFonts w:hint="eastAsia" w:ascii="宋体" w:hAnsi="宋体" w:eastAsia="宋体" w:cs="宋体"/>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5FC8F519"/>
    <w:multiLevelType w:val="singleLevel"/>
    <w:tmpl w:val="5FC8F51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iYWVlYThmMzNiZTc4MzdkMDRjNzUwNjZlZTY2YzkifQ=="/>
  </w:docVars>
  <w:rsids>
    <w:rsidRoot w:val="004C22EC"/>
    <w:rsid w:val="004C22EC"/>
    <w:rsid w:val="007B38C6"/>
    <w:rsid w:val="101D5048"/>
    <w:rsid w:val="1B4A3EC4"/>
    <w:rsid w:val="24811E1C"/>
    <w:rsid w:val="2ACA72CE"/>
    <w:rsid w:val="32CA5C84"/>
    <w:rsid w:val="3A257982"/>
    <w:rsid w:val="3FFB1251"/>
    <w:rsid w:val="426E35E7"/>
    <w:rsid w:val="4A0B0DD8"/>
    <w:rsid w:val="542E2E2F"/>
    <w:rsid w:val="57B166CC"/>
    <w:rsid w:val="5AD94E40"/>
    <w:rsid w:val="63F55DFB"/>
    <w:rsid w:val="66AF456D"/>
    <w:rsid w:val="68B177FA"/>
    <w:rsid w:val="69DF4F0D"/>
    <w:rsid w:val="6DFD4FDE"/>
    <w:rsid w:val="6FD37001"/>
    <w:rsid w:val="729D1336"/>
    <w:rsid w:val="765C2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numPr>
        <w:ilvl w:val="2"/>
        <w:numId w:val="1"/>
      </w:numPr>
      <w:tabs>
        <w:tab w:val="left" w:pos="-141"/>
        <w:tab w:val="left" w:pos="0"/>
        <w:tab w:val="clear" w:pos="420"/>
      </w:tabs>
      <w:spacing w:line="360" w:lineRule="auto"/>
      <w:ind w:left="0" w:firstLine="567" w:firstLineChars="0"/>
      <w:outlineLvl w:val="2"/>
    </w:pPr>
    <w:rPr>
      <w:rFonts w:ascii="楷体" w:hAnsi="楷体"/>
      <w:b/>
      <w:bCs/>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20"/>
    </w:pPr>
  </w:style>
  <w:style w:type="paragraph" w:styleId="3">
    <w:name w:val="Body Text First Indent"/>
    <w:basedOn w:val="2"/>
    <w:qFormat/>
    <w:uiPriority w:val="0"/>
    <w:pPr>
      <w:ind w:firstLine="420" w:firstLineChars="100"/>
    </w:pPr>
  </w:style>
  <w:style w:type="paragraph" w:styleId="6">
    <w:name w:val="toa heading"/>
    <w:basedOn w:val="1"/>
    <w:next w:val="1"/>
    <w:qFormat/>
    <w:uiPriority w:val="0"/>
    <w:pPr>
      <w:spacing w:before="120"/>
    </w:pPr>
    <w:rPr>
      <w:rFonts w:ascii="Cambria" w:hAnsi="Cambria" w:eastAsia="宋体" w:cs="Times New Roman"/>
      <w:sz w:val="24"/>
      <w:lang w:bidi="ar-SA"/>
    </w:rPr>
  </w:style>
  <w:style w:type="paragraph" w:styleId="7">
    <w:name w:val="footer"/>
    <w:basedOn w:val="1"/>
    <w:link w:val="14"/>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0"/>
    <w:pPr>
      <w:spacing w:before="100" w:beforeAutospacing="1" w:after="100" w:afterAutospacing="1"/>
      <w:jc w:val="left"/>
    </w:pPr>
    <w:rPr>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8"/>
    <w:semiHidden/>
    <w:qFormat/>
    <w:uiPriority w:val="99"/>
    <w:rPr>
      <w:sz w:val="18"/>
      <w:szCs w:val="18"/>
    </w:rPr>
  </w:style>
  <w:style w:type="character" w:customStyle="1" w:styleId="14">
    <w:name w:val="页脚 Char"/>
    <w:basedOn w:val="12"/>
    <w:link w:val="7"/>
    <w:semiHidden/>
    <w:qFormat/>
    <w:uiPriority w:val="99"/>
    <w:rPr>
      <w:sz w:val="18"/>
      <w:szCs w:val="18"/>
    </w:rPr>
  </w:style>
  <w:style w:type="character" w:customStyle="1" w:styleId="15">
    <w:name w:val="标题 1 Char"/>
    <w:basedOn w:val="12"/>
    <w:link w:val="4"/>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5</Pages>
  <Words>2304</Words>
  <Characters>2437</Characters>
  <Lines>2</Lines>
  <Paragraphs>1</Paragraphs>
  <TotalTime>6</TotalTime>
  <ScaleCrop>false</ScaleCrop>
  <LinksUpToDate>false</LinksUpToDate>
  <CharactersWithSpaces>2442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腾龍文印</cp:lastModifiedBy>
  <cp:lastPrinted>2023-09-08T02:49:14Z</cp:lastPrinted>
  <dcterms:modified xsi:type="dcterms:W3CDTF">2023-09-08T02:52:06Z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62236C851EDF471996FE53550D8FAC7D_12</vt:lpwstr>
  </property>
</Properties>
</file>