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卡龙镇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部门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卡龙镇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黑水县卡龙镇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治安、经济发展、教育、文化、卫生、计划生育，环境、国土、安全生产等管理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黑水县卡龙镇人民政府无下属二级核算单位。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卡龙镇</w:t>
      </w:r>
      <w:r>
        <w:rPr>
          <w:rFonts w:hint="eastAsia" w:ascii="仿宋_GB2312" w:hAnsi="仿宋_GB2312" w:eastAsia="仿宋_GB2312" w:cs="仿宋_GB2312"/>
          <w:sz w:val="32"/>
          <w:szCs w:val="32"/>
        </w:rPr>
        <w:t>总编制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名，其中：行政编制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名，工勤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名。2022年12月在册人数：在职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名，其中：行政人员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名，其他事业人员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名，行政工勤2名。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  <w:bookmarkStart w:id="1" w:name="_GoBack"/>
      <w:bookmarkEnd w:id="1"/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512.15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51.10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6.71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32.12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1002.82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742.07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177.93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万元；部门支出预算总额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1002.82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1104.06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512.15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51.10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6.71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32.12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512.15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51.10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6.71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32.12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工作的开展提供了前有力的保障，使我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TAyNTNiN2RjZTVmYzdkNmJkZjc0ZTg5ZTc3YWIifQ=="/>
  </w:docVars>
  <w:rsids>
    <w:rsidRoot w:val="00491B22"/>
    <w:rsid w:val="00291808"/>
    <w:rsid w:val="00491B22"/>
    <w:rsid w:val="0052390C"/>
    <w:rsid w:val="068903CF"/>
    <w:rsid w:val="1BB83469"/>
    <w:rsid w:val="34EB1F43"/>
    <w:rsid w:val="36435EC2"/>
    <w:rsid w:val="3C3E49B7"/>
    <w:rsid w:val="43483734"/>
    <w:rsid w:val="47D079AD"/>
    <w:rsid w:val="5A767788"/>
    <w:rsid w:val="60D032A5"/>
    <w:rsid w:val="631E772A"/>
    <w:rsid w:val="6F210B75"/>
    <w:rsid w:val="72A84D17"/>
    <w:rsid w:val="7C0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1326</Words>
  <Characters>1534</Characters>
  <Lines>2</Lines>
  <Paragraphs>1</Paragraphs>
  <TotalTime>1</TotalTime>
  <ScaleCrop>false</ScaleCrop>
  <LinksUpToDate>false</LinksUpToDate>
  <CharactersWithSpaces>1538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2023-08-31T06:28:00Z</cp:lastPrinted>
  <dcterms:modified xsi:type="dcterms:W3CDTF">2023-09-06T01:40:36Z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2CE1097D750040529BE169F436506DA0_13</vt:lpwstr>
  </property>
</Properties>
</file>