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spacing w:after="0" w:line="240" w:lineRule="auto"/>
        <w:ind w:left="0" w:leftChars="0" w:firstLine="0" w:firstLineChars="0"/>
        <w:rPr>
          <w:rFonts w:hint="eastAsia" w:ascii="仿宋" w:eastAsia="仿宋_GB2312"/>
          <w:b/>
          <w:color w:val="FF0000"/>
          <w:spacing w:val="-24"/>
          <w:w w:val="66"/>
          <w:sz w:val="144"/>
          <w:szCs w:val="144"/>
          <w:lang w:eastAsia="zh-CN"/>
        </w:rPr>
      </w:pPr>
      <w:r>
        <w:rPr>
          <w:rFonts w:hint="eastAsia" w:ascii="新宋体" w:hAnsi="Calibri" w:eastAsia="新宋体"/>
          <w:b/>
          <w:color w:val="FF0000"/>
          <w:spacing w:val="-23"/>
          <w:w w:val="50"/>
          <w:sz w:val="144"/>
          <w:szCs w:val="144"/>
        </w:rPr>
        <w:drawing>
          <wp:anchor distT="0" distB="0" distL="114300" distR="114300" simplePos="0" relativeHeight="251660288" behindDoc="1" locked="0" layoutInCell="1" allowOverlap="1">
            <wp:simplePos x="0" y="0"/>
            <wp:positionH relativeFrom="column">
              <wp:posOffset>-158750</wp:posOffset>
            </wp:positionH>
            <wp:positionV relativeFrom="paragraph">
              <wp:posOffset>281940</wp:posOffset>
            </wp:positionV>
            <wp:extent cx="5615305" cy="1311275"/>
            <wp:effectExtent l="0" t="0" r="4445" b="3175"/>
            <wp:wrapTight wrapText="bothSides">
              <wp:wrapPolygon>
                <wp:start x="0" y="0"/>
                <wp:lineTo x="0" y="21338"/>
                <wp:lineTo x="21544" y="21338"/>
                <wp:lineTo x="21544" y="0"/>
                <wp:lineTo x="0" y="0"/>
              </wp:wrapPolygon>
            </wp:wrapTight>
            <wp:docPr id="2" name="图片 2" descr="卡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卡龙"/>
                    <pic:cNvPicPr>
                      <a:picLocks noChangeAspect="1"/>
                    </pic:cNvPicPr>
                  </pic:nvPicPr>
                  <pic:blipFill>
                    <a:blip r:embed="rId7" cstate="print"/>
                    <a:stretch>
                      <a:fillRect/>
                    </a:stretch>
                  </pic:blipFill>
                  <pic:spPr>
                    <a:xfrm>
                      <a:off x="0" y="0"/>
                      <a:ext cx="5615305" cy="1311275"/>
                    </a:xfrm>
                    <a:prstGeom prst="rect">
                      <a:avLst/>
                    </a:prstGeom>
                    <a:noFill/>
                    <a:ln>
                      <a:noFill/>
                    </a:ln>
                  </pic:spPr>
                </pic:pic>
              </a:graphicData>
            </a:graphic>
          </wp:anchor>
        </w:drawing>
      </w:r>
      <w:r>
        <w:rPr>
          <w:rFonts w:hint="eastAsia" w:ascii="仿宋_GB2312" w:hAnsi="仿宋_GB2312" w:eastAsia="仿宋_GB2312" w:cs="仿宋_GB2312"/>
        </w:rPr>
        <w:t xml:space="preserve"> 黑卡府〔202</w:t>
      </w:r>
      <w:r>
        <w:rPr>
          <w:rFonts w:hint="eastAsia" w:ascii="仿宋_GB2312" w:hAnsi="仿宋_GB2312" w:eastAsia="仿宋_GB2312" w:cs="仿宋_GB2312"/>
          <w:lang w:val="en-US" w:eastAsia="zh-CN"/>
        </w:rPr>
        <w:t>5</w:t>
      </w:r>
      <w:r>
        <w:rPr>
          <w:rFonts w:hint="eastAsia" w:ascii="仿宋_GB2312" w:hAnsi="仿宋_GB2312" w:eastAsia="仿宋_GB2312" w:cs="仿宋_GB2312"/>
        </w:rPr>
        <w:t>〕</w:t>
      </w:r>
      <w:r>
        <w:rPr>
          <w:rFonts w:hint="eastAsia" w:ascii="仿宋_GB2312" w:hAnsi="仿宋_GB2312" w:eastAsia="仿宋_GB2312" w:cs="仿宋_GB2312"/>
          <w:lang w:val="en-US" w:eastAsia="zh-CN"/>
        </w:rPr>
        <w:t>10</w:t>
      </w:r>
      <w:r>
        <w:rPr>
          <w:rFonts w:hint="eastAsia" w:ascii="仿宋_GB2312" w:hAnsi="仿宋_GB2312" w:eastAsia="仿宋_GB2312" w:cs="仿宋_GB2312"/>
        </w:rPr>
        <w:t>号                   签发人：</w:t>
      </w:r>
      <w:r>
        <w:rPr>
          <w:rFonts w:hint="eastAsia" w:ascii="方正楷体_GB2312" w:hAnsi="方正楷体_GB2312" w:eastAsia="方正楷体_GB2312" w:cs="方正楷体_GB2312"/>
          <w:lang w:val="en-US" w:eastAsia="zh-CN"/>
        </w:rPr>
        <w:t>吴永刚</w:t>
      </w:r>
    </w:p>
    <w:tbl>
      <w:tblPr>
        <w:tblStyle w:val="16"/>
        <w:tblpPr w:leftFromText="180" w:rightFromText="180" w:vertAnchor="text" w:horzAnchor="margin" w:tblpXSpec="center" w:tblpY="56"/>
        <w:tblW w:w="0" w:type="auto"/>
        <w:tblInd w:w="0" w:type="dxa"/>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36"/>
      </w:tblGrid>
      <w:tr>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trPr>
        <w:tc>
          <w:tcPr>
            <w:tcW w:w="8736" w:type="dxa"/>
          </w:tcPr>
          <w:p>
            <w:pPr>
              <w:tabs>
                <w:tab w:val="left" w:pos="7020"/>
              </w:tabs>
              <w:ind w:firstLine="131"/>
              <w:rPr>
                <w:rFonts w:ascii="仿宋" w:eastAsia="仿宋"/>
                <w:w w:val="66"/>
                <w:sz w:val="10"/>
                <w:szCs w:val="10"/>
              </w:rPr>
            </w:pPr>
          </w:p>
          <w:p>
            <w:pPr>
              <w:tabs>
                <w:tab w:val="left" w:pos="7020"/>
              </w:tabs>
              <w:ind w:firstLine="131"/>
              <w:rPr>
                <w:rFonts w:ascii="仿宋" w:eastAsia="仿宋"/>
                <w:w w:val="66"/>
                <w:sz w:val="10"/>
                <w:szCs w:val="10"/>
              </w:rPr>
            </w:pPr>
          </w:p>
          <w:p>
            <w:pPr>
              <w:tabs>
                <w:tab w:val="left" w:pos="7020"/>
              </w:tabs>
              <w:ind w:firstLine="131"/>
              <w:rPr>
                <w:rFonts w:ascii="仿宋" w:eastAsia="仿宋"/>
                <w:w w:val="66"/>
                <w:sz w:val="10"/>
                <w:szCs w:val="10"/>
              </w:rPr>
            </w:pPr>
          </w:p>
        </w:tc>
      </w:tr>
    </w:tbl>
    <w:p>
      <w:pPr>
        <w:spacing w:line="560" w:lineRule="exact"/>
        <w:ind w:left="0" w:firstLine="0" w:firstLineChars="0"/>
        <w:jc w:val="center"/>
        <w:rPr>
          <w:rFonts w:hint="eastAsia" w:ascii="方正小标宋_GBK" w:eastAsia="方正小标宋_GBK" w:cs="方正小标宋_GBK"/>
          <w:sz w:val="44"/>
          <w:szCs w:val="44"/>
          <w:lang w:val="en-US" w:eastAsia="zh-CN"/>
        </w:rPr>
      </w:pPr>
      <w:r>
        <w:rPr>
          <w:rFonts w:hint="eastAsia" w:ascii="方正小标宋_GBK" w:eastAsia="方正小标宋_GBK" w:cs="方正小标宋_GBK"/>
          <w:sz w:val="44"/>
          <w:szCs w:val="44"/>
        </w:rPr>
        <w:t>黑水县卡龙镇人民政府</w:t>
      </w:r>
      <w:r>
        <w:rPr>
          <w:rFonts w:hint="eastAsia" w:ascii="方正小标宋_GBK" w:eastAsia="方正小标宋_GBK" w:cs="方正小标宋_GBK"/>
          <w:sz w:val="44"/>
          <w:szCs w:val="44"/>
          <w:lang w:val="en-US" w:eastAsia="zh-CN"/>
        </w:rPr>
        <w:t>2024年</w:t>
      </w:r>
    </w:p>
    <w:p>
      <w:pPr>
        <w:spacing w:line="560" w:lineRule="exact"/>
        <w:ind w:left="0" w:firstLine="0" w:firstLineChars="0"/>
        <w:jc w:val="center"/>
        <w:rPr>
          <w:rFonts w:hint="eastAsia" w:ascii="方正小标宋_GBK" w:eastAsia="方正小标宋_GBK" w:cs="方正小标宋_GBK"/>
          <w:sz w:val="44"/>
          <w:szCs w:val="44"/>
        </w:rPr>
      </w:pPr>
      <w:r>
        <w:rPr>
          <w:rFonts w:hint="eastAsia" w:ascii="方正小标宋_GBK" w:eastAsia="方正小标宋_GBK" w:cs="方正小标宋_GBK"/>
          <w:sz w:val="44"/>
          <w:szCs w:val="44"/>
          <w:lang w:val="en-US" w:eastAsia="zh-CN"/>
        </w:rPr>
        <w:t>关于</w:t>
      </w:r>
      <w:r>
        <w:rPr>
          <w:rFonts w:hint="eastAsia" w:ascii="方正小标宋_GBK" w:eastAsia="方正小标宋_GBK" w:cs="方正小标宋_GBK"/>
          <w:sz w:val="44"/>
          <w:szCs w:val="44"/>
        </w:rPr>
        <w:t>黑水县卡龙镇才盖村新型农村集体经济</w:t>
      </w:r>
      <w:r>
        <w:rPr>
          <w:rFonts w:hint="eastAsia" w:ascii="方正小标宋_GBK" w:eastAsia="方正小标宋_GBK" w:cs="方正小标宋_GBK"/>
          <w:sz w:val="44"/>
          <w:szCs w:val="44"/>
          <w:lang w:val="en-US" w:eastAsia="zh-CN"/>
        </w:rPr>
        <w:t>项目的</w:t>
      </w:r>
      <w:r>
        <w:rPr>
          <w:rFonts w:hint="eastAsia" w:ascii="方正小标宋_GBK" w:eastAsia="方正小标宋_GBK" w:cs="方正小标宋_GBK"/>
          <w:sz w:val="44"/>
          <w:szCs w:val="44"/>
        </w:rPr>
        <w:t>自评报告</w:t>
      </w:r>
    </w:p>
    <w:p>
      <w:pPr>
        <w:pStyle w:val="20"/>
        <w:rPr>
          <w:rFonts w:hint="eastAsia"/>
        </w:rPr>
      </w:pPr>
    </w:p>
    <w:p>
      <w:pPr>
        <w:pStyle w:val="2"/>
        <w:bidi w:val="0"/>
        <w:rPr>
          <w:rFonts w:ascii="黑体" w:eastAsia="黑体"/>
          <w:lang w:val="zh-CN"/>
        </w:rPr>
      </w:pPr>
      <w:r>
        <w:rPr>
          <w:rFonts w:hint="eastAsia" w:ascii="黑体" w:eastAsia="黑体"/>
        </w:rPr>
        <w:t>一、</w:t>
      </w:r>
      <w:r>
        <w:rPr>
          <w:rFonts w:hint="eastAsia" w:ascii="黑体" w:eastAsia="黑体"/>
          <w:lang w:val="zh-CN"/>
        </w:rPr>
        <w:t>项目概况</w:t>
      </w:r>
    </w:p>
    <w:p>
      <w:pPr>
        <w:pStyle w:val="3"/>
        <w:bidi w:val="0"/>
        <w:rPr>
          <w:rFonts w:hint="eastAsia" w:ascii="楷体_GB2312" w:hAnsi="楷体_GB2312" w:eastAsia="楷体_GB2312" w:cs="楷体_GB2312"/>
          <w:lang w:val="zh-CN"/>
        </w:rPr>
      </w:pPr>
      <w:r>
        <w:rPr>
          <w:rFonts w:hint="eastAsia" w:ascii="楷体_GB2312" w:hAnsi="楷体_GB2312" w:eastAsia="楷体_GB2312" w:cs="楷体_GB2312"/>
          <w:lang w:val="zh-CN"/>
        </w:rPr>
        <w:t>（一）设立背景及基本情况</w:t>
      </w:r>
    </w:p>
    <w:p>
      <w:pPr>
        <w:pStyle w:val="3"/>
        <w:bidi w:val="0"/>
        <w:rPr>
          <w:rFonts w:hint="eastAsia" w:ascii="仿宋_GB2312" w:hAnsi="仿宋_GB2312" w:eastAsia="仿宋_GB2312" w:cs="仿宋_GB2312"/>
        </w:rPr>
      </w:pPr>
      <w:r>
        <w:rPr>
          <w:rFonts w:hint="eastAsia" w:ascii="仿宋_GB2312" w:hAnsi="仿宋_GB2312" w:eastAsia="仿宋_GB2312" w:cs="仿宋_GB2312"/>
        </w:rPr>
        <w:t>1.项目设立原因及背景</w:t>
      </w:r>
    </w:p>
    <w:p>
      <w:pPr>
        <w:ind w:firstLine="640" w:firstLineChars="200"/>
        <w:rPr>
          <w:rFonts w:hint="eastAsia" w:ascii="仿宋_GB2312" w:eastAsia="仿宋_GB2312"/>
          <w:sz w:val="32"/>
          <w:szCs w:val="32"/>
        </w:rPr>
      </w:pPr>
      <w:r>
        <w:rPr>
          <w:rFonts w:hint="eastAsia" w:ascii="仿宋_GB2312" w:eastAsia="仿宋_GB2312" w:cs="仿宋_GB2312"/>
          <w:color w:val="000000"/>
          <w:sz w:val="32"/>
          <w:szCs w:val="32"/>
        </w:rPr>
        <w:t>我镇根据中共黑水县委农村工作领导小组关于</w:t>
      </w:r>
      <w:bookmarkStart w:id="1" w:name="_GoBack"/>
      <w:bookmarkEnd w:id="1"/>
      <w:r>
        <w:rPr>
          <w:rFonts w:hint="eastAsia" w:ascii="仿宋_GB2312" w:eastAsia="仿宋_GB2312" w:cs="仿宋_GB2312"/>
          <w:color w:val="000000"/>
          <w:sz w:val="32"/>
          <w:szCs w:val="32"/>
        </w:rPr>
        <w:t>同意2024年财政衔接推进乡村振兴（巩固拓展脱贫攻坚成果和乡村振兴任务）年度项目实施计划安排，计划实施卡龙镇新型农村集体经济。</w:t>
      </w:r>
    </w:p>
    <w:p>
      <w:pPr>
        <w:pStyle w:val="4"/>
        <w:bidi w:val="0"/>
        <w:rPr>
          <w:rFonts w:hint="eastAsia" w:ascii="仿宋_GB2312" w:hAnsi="仿宋_GB2312" w:eastAsia="仿宋_GB2312" w:cs="仿宋_GB2312"/>
        </w:rPr>
      </w:pPr>
      <w:r>
        <w:rPr>
          <w:rFonts w:hint="eastAsia" w:ascii="仿宋_GB2312" w:hAnsi="仿宋_GB2312" w:eastAsia="仿宋_GB2312" w:cs="仿宋_GB2312"/>
        </w:rPr>
        <w:t>2.项目立项、资金申报的依据</w:t>
      </w:r>
    </w:p>
    <w:p>
      <w:pPr>
        <w:ind w:firstLine="640" w:firstLineChars="200"/>
        <w:jc w:val="left"/>
        <w:rPr>
          <w:rFonts w:hint="eastAsia"/>
        </w:rPr>
      </w:pPr>
      <w:r>
        <w:rPr>
          <w:rFonts w:hint="eastAsia" w:ascii="仿宋_GB2312" w:eastAsia="仿宋_GB2312" w:cs="仿宋_GB2312"/>
          <w:sz w:val="32"/>
          <w:szCs w:val="32"/>
        </w:rPr>
        <w:t>黑水县卡龙镇下辖的才盖村，地处黑水县县西北部，距离县城65公里，海拔2950米。才盖村位于川西旅游线、藏羌文化走廊、大冰川大草原生态旅游线及红原旅游经济圈内卡龙沟域旅游带上，为中国传统村落，作为川西旅游村，基础配套设施落后。在此背景下，为促进经济产业发展和社会保障，维护群众利益，改善农民生活质量与水平，提出卡龙镇新型农村集体经济建设十分必要和迫切。</w:t>
      </w:r>
      <w:r>
        <w:rPr>
          <w:rFonts w:hint="eastAsia"/>
        </w:rPr>
        <w:t xml:space="preserve">   </w:t>
      </w:r>
    </w:p>
    <w:p>
      <w:pPr>
        <w:pStyle w:val="4"/>
        <w:bidi w:val="0"/>
        <w:rPr>
          <w:rFonts w:hint="eastAsia" w:ascii="仿宋_GB2312" w:hAnsi="仿宋_GB2312" w:eastAsia="仿宋_GB2312" w:cs="仿宋_GB2312"/>
        </w:rPr>
      </w:pPr>
      <w:r>
        <w:rPr>
          <w:rFonts w:hint="eastAsia" w:ascii="仿宋_GB2312" w:hAnsi="仿宋_GB2312" w:eastAsia="仿宋_GB2312" w:cs="仿宋_GB2312"/>
        </w:rPr>
        <w:t>3.项目主要内容</w:t>
      </w:r>
    </w:p>
    <w:p>
      <w:pPr>
        <w:snapToGrid w:val="0"/>
        <w:spacing w:line="560" w:lineRule="exact"/>
        <w:ind w:firstLine="640" w:firstLineChars="200"/>
        <w:rPr>
          <w:rFonts w:hint="eastAsia" w:ascii="仿宋_GB2312" w:hAnsi="仿宋_GB2312" w:eastAsia="方正仿宋_GB2312"/>
          <w:lang w:eastAsia="zh-CN"/>
        </w:rPr>
      </w:pPr>
      <w:r>
        <w:rPr>
          <w:rFonts w:hint="eastAsia" w:ascii="仿宋_GB2312" w:hAnsi="仿宋_GB2312"/>
        </w:rPr>
        <w:t>项目内容：购置相关设施设备进行全方位打造主题餐厅1处</w:t>
      </w:r>
      <w:r>
        <w:rPr>
          <w:rFonts w:hint="eastAsia" w:ascii="仿宋_GB2312" w:hAnsi="仿宋_GB2312"/>
          <w:lang w:eastAsia="zh-CN"/>
        </w:rPr>
        <w:t>、</w:t>
      </w:r>
      <w:r>
        <w:rPr>
          <w:rFonts w:hint="eastAsia" w:ascii="仿宋_GB2312" w:hAnsi="仿宋_GB2312"/>
          <w:lang w:val="en-US" w:eastAsia="zh-CN"/>
        </w:rPr>
        <w:t>提升</w:t>
      </w:r>
      <w:r>
        <w:rPr>
          <w:rFonts w:hint="eastAsia" w:ascii="仿宋_GB2312" w:hAnsi="仿宋_GB2312"/>
        </w:rPr>
        <w:t>改造茶楼1处</w:t>
      </w:r>
      <w:r>
        <w:rPr>
          <w:rFonts w:hint="eastAsia" w:ascii="仿宋_GB2312" w:hAnsi="仿宋_GB2312"/>
          <w:lang w:eastAsia="zh-CN"/>
        </w:rPr>
        <w:t>、</w:t>
      </w:r>
      <w:r>
        <w:rPr>
          <w:rFonts w:hint="eastAsia" w:ascii="仿宋_GB2312" w:hAnsi="仿宋_GB2312"/>
        </w:rPr>
        <w:t>改造提升农产品展销区1处</w:t>
      </w:r>
      <w:r>
        <w:rPr>
          <w:rFonts w:hint="eastAsia" w:ascii="仿宋_GB2312" w:hAnsi="仿宋_GB2312"/>
          <w:lang w:eastAsia="zh-CN"/>
        </w:rPr>
        <w:t>、</w:t>
      </w:r>
      <w:r>
        <w:rPr>
          <w:rFonts w:hint="eastAsia" w:ascii="仿宋_GB2312" w:hAnsi="仿宋_GB2312"/>
        </w:rPr>
        <w:t>规范餐饮接待</w:t>
      </w:r>
      <w:r>
        <w:rPr>
          <w:rFonts w:hint="eastAsia" w:ascii="仿宋_GB2312" w:hAnsi="仿宋_GB2312"/>
          <w:lang w:eastAsia="zh-CN"/>
        </w:rPr>
        <w:t>。</w:t>
      </w:r>
    </w:p>
    <w:p>
      <w:pPr>
        <w:pStyle w:val="4"/>
        <w:bidi w:val="0"/>
        <w:rPr>
          <w:rFonts w:hint="eastAsia" w:ascii="仿宋_GB2312" w:hAnsi="仿宋_GB2312" w:eastAsia="仿宋_GB2312" w:cs="仿宋_GB2312"/>
        </w:rPr>
      </w:pPr>
      <w:r>
        <w:rPr>
          <w:rFonts w:hint="eastAsia" w:ascii="仿宋_GB2312" w:hAnsi="仿宋_GB2312" w:eastAsia="仿宋_GB2312" w:cs="仿宋_GB2312"/>
        </w:rPr>
        <w:t>4.主管部门职能</w:t>
      </w:r>
    </w:p>
    <w:p>
      <w:pPr>
        <w:bidi w:val="0"/>
        <w:rPr>
          <w:rFonts w:hint="eastAsia"/>
        </w:rPr>
      </w:pPr>
      <w:r>
        <w:t>我</w:t>
      </w:r>
      <w:r>
        <w:rPr>
          <w:rFonts w:hint="eastAsia"/>
          <w:lang w:val="en-US" w:eastAsia="zh-CN"/>
        </w:rPr>
        <w:t>镇</w:t>
      </w:r>
      <w:r>
        <w:t>承担专项资金绩效管理的主体责任，主要负责提出专项资金分配方案，制定项目管理制度，组织项目评审和实施，开展项目验收、绩效评价和监督检查等工作。</w:t>
      </w:r>
    </w:p>
    <w:p>
      <w:pPr>
        <w:pStyle w:val="3"/>
        <w:bidi w:val="0"/>
        <w:rPr>
          <w:rFonts w:ascii="楷体_GB2312" w:eastAsia="楷体_GB2312"/>
          <w:b/>
          <w:lang w:val="zh-CN"/>
        </w:rPr>
      </w:pPr>
      <w:r>
        <w:rPr>
          <w:rFonts w:hint="eastAsia" w:ascii="楷体_GB2312" w:eastAsia="楷体_GB2312"/>
          <w:b/>
          <w:lang w:val="zh-CN"/>
        </w:rPr>
        <w:t>（二）</w:t>
      </w:r>
      <w:r>
        <w:rPr>
          <w:rFonts w:ascii="楷体_GB2312" w:eastAsia="楷体_GB2312"/>
          <w:b/>
        </w:rPr>
        <w:t>实施目的及支持方向</w:t>
      </w:r>
    </w:p>
    <w:p>
      <w:pPr>
        <w:pStyle w:val="4"/>
        <w:bidi w:val="0"/>
        <w:rPr>
          <w:rFonts w:hint="eastAsia" w:ascii="仿宋_GB2312" w:hAnsi="仿宋_GB2312" w:eastAsia="仿宋_GB2312" w:cs="仿宋_GB2312"/>
        </w:rPr>
      </w:pPr>
      <w:r>
        <w:rPr>
          <w:rFonts w:hint="eastAsia" w:ascii="仿宋_GB2312" w:hAnsi="仿宋_GB2312" w:eastAsia="仿宋_GB2312" w:cs="仿宋_GB2312"/>
        </w:rPr>
        <w:t>1.项目资金管理办法制定情况</w:t>
      </w:r>
    </w:p>
    <w:p>
      <w:pPr>
        <w:bidi w:val="0"/>
      </w:pPr>
      <w:r>
        <w:t>我</w:t>
      </w:r>
      <w:r>
        <w:rPr>
          <w:rFonts w:hint="eastAsia"/>
          <w:lang w:val="en-US" w:eastAsia="zh-CN"/>
        </w:rPr>
        <w:t>镇</w:t>
      </w:r>
      <w:r>
        <w:t>结合实际制定</w:t>
      </w:r>
      <w:r>
        <w:rPr>
          <w:rFonts w:hint="eastAsia"/>
        </w:rPr>
        <w:t>和完善</w:t>
      </w:r>
      <w:r>
        <w:t>了项目</w:t>
      </w:r>
      <w:r>
        <w:rPr>
          <w:rFonts w:hint="eastAsia"/>
        </w:rPr>
        <w:t>资金</w:t>
      </w:r>
      <w:r>
        <w:t>管理办法，项目管理办法有效执行。</w:t>
      </w:r>
    </w:p>
    <w:p>
      <w:pPr>
        <w:pStyle w:val="4"/>
        <w:bidi w:val="0"/>
        <w:rPr>
          <w:rFonts w:hint="eastAsia" w:ascii="仿宋_GB2312" w:hAnsi="仿宋_GB2312" w:eastAsia="仿宋_GB2312" w:cs="仿宋_GB2312"/>
        </w:rPr>
      </w:pPr>
      <w:r>
        <w:rPr>
          <w:rFonts w:hint="eastAsia" w:ascii="仿宋_GB2312" w:hAnsi="仿宋_GB2312" w:eastAsia="仿宋_GB2312" w:cs="仿宋_GB2312"/>
        </w:rPr>
        <w:t>2.项目实施目的和主要工作任务</w:t>
      </w:r>
    </w:p>
    <w:p>
      <w:pPr>
        <w:snapToGrid w:val="0"/>
        <w:spacing w:line="560" w:lineRule="exact"/>
        <w:ind w:firstLine="640" w:firstLineChars="200"/>
        <w:rPr>
          <w:rFonts w:hint="eastAsia" w:ascii="仿宋_GB2312" w:hAnsi="仿宋_GB2312" w:eastAsia="方正仿宋_GB2312"/>
          <w:lang w:eastAsia="zh-CN"/>
        </w:rPr>
      </w:pPr>
      <w:r>
        <w:rPr>
          <w:rFonts w:hint="eastAsia"/>
        </w:rPr>
        <w:t>为促进经济产业发展和社会保障，维护群众利益，改善农民生活质量与水平，提出卡龙镇新型农村集体经济建设十分必要和迫切。项目总投</w:t>
      </w:r>
      <w:r>
        <w:rPr>
          <w:rFonts w:hint="eastAsia"/>
          <w:lang w:val="en-US" w:eastAsia="zh-CN"/>
        </w:rPr>
        <w:t>115.63</w:t>
      </w:r>
      <w:r>
        <w:rPr>
          <w:rFonts w:hint="eastAsia"/>
        </w:rPr>
        <w:t>万元，资金来源为2024年度财政衔接推进乡村振兴补助资金。</w:t>
      </w:r>
      <w:r>
        <w:rPr>
          <w:rFonts w:hint="eastAsia" w:ascii="仿宋_GB2312" w:hAnsi="仿宋_GB2312"/>
        </w:rPr>
        <w:t>购置相关设施设备进行全方位打造主题餐厅1处</w:t>
      </w:r>
      <w:r>
        <w:rPr>
          <w:rFonts w:hint="eastAsia" w:ascii="仿宋_GB2312" w:hAnsi="仿宋_GB2312"/>
          <w:lang w:eastAsia="zh-CN"/>
        </w:rPr>
        <w:t>、</w:t>
      </w:r>
      <w:r>
        <w:rPr>
          <w:rFonts w:hint="eastAsia" w:ascii="仿宋_GB2312" w:hAnsi="仿宋_GB2312"/>
          <w:lang w:val="en-US" w:eastAsia="zh-CN"/>
        </w:rPr>
        <w:t>提升</w:t>
      </w:r>
      <w:r>
        <w:rPr>
          <w:rFonts w:hint="eastAsia" w:ascii="仿宋_GB2312" w:hAnsi="仿宋_GB2312"/>
        </w:rPr>
        <w:t>改造茶楼1处</w:t>
      </w:r>
      <w:r>
        <w:rPr>
          <w:rFonts w:hint="eastAsia" w:ascii="仿宋_GB2312" w:hAnsi="仿宋_GB2312"/>
          <w:lang w:eastAsia="zh-CN"/>
        </w:rPr>
        <w:t>、</w:t>
      </w:r>
      <w:r>
        <w:rPr>
          <w:rFonts w:hint="eastAsia" w:ascii="仿宋_GB2312" w:hAnsi="仿宋_GB2312"/>
        </w:rPr>
        <w:t>改造提升农产品展销区1处</w:t>
      </w:r>
      <w:r>
        <w:rPr>
          <w:rFonts w:hint="eastAsia" w:ascii="仿宋_GB2312" w:hAnsi="仿宋_GB2312"/>
          <w:lang w:eastAsia="zh-CN"/>
        </w:rPr>
        <w:t>、</w:t>
      </w:r>
      <w:r>
        <w:rPr>
          <w:rFonts w:hint="eastAsia" w:ascii="仿宋_GB2312" w:hAnsi="仿宋_GB2312"/>
        </w:rPr>
        <w:t>规范餐饮接待</w:t>
      </w:r>
      <w:r>
        <w:rPr>
          <w:rFonts w:hint="eastAsia" w:ascii="仿宋_GB2312" w:hAnsi="仿宋_GB2312"/>
          <w:lang w:eastAsia="zh-CN"/>
        </w:rPr>
        <w:t>。</w:t>
      </w:r>
    </w:p>
    <w:p>
      <w:pPr>
        <w:pStyle w:val="4"/>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3.项目支持方向</w:t>
      </w:r>
    </w:p>
    <w:p>
      <w:pPr>
        <w:ind w:firstLine="640" w:firstLineChars="200"/>
        <w:rPr>
          <w:rFonts w:hint="eastAsia" w:ascii="仿宋_GB2312" w:eastAsia="仿宋_GB2312" w:cs="仿宋_GB2312"/>
          <w:sz w:val="32"/>
          <w:szCs w:val="32"/>
        </w:rPr>
      </w:pPr>
      <w:r>
        <w:rPr>
          <w:rFonts w:hint="eastAsia" w:ascii="仿宋_GB2312" w:eastAsia="仿宋_GB2312" w:cs="仿宋_GB2312"/>
          <w:sz w:val="32"/>
          <w:szCs w:val="32"/>
        </w:rPr>
        <w:t>本项目总投资</w:t>
      </w:r>
      <w:r>
        <w:rPr>
          <w:rFonts w:hint="eastAsia" w:ascii="仿宋" w:eastAsia="仿宋" w:cs="仿宋"/>
          <w:spacing w:val="4"/>
          <w:sz w:val="32"/>
          <w:szCs w:val="32"/>
          <w:lang w:val="en-US" w:eastAsia="zh-CN"/>
        </w:rPr>
        <w:t>115.63</w:t>
      </w:r>
      <w:r>
        <w:rPr>
          <w:rFonts w:hint="eastAsia" w:ascii="仿宋_GB2312" w:eastAsia="仿宋_GB2312" w:cs="仿宋_GB2312"/>
          <w:sz w:val="32"/>
          <w:szCs w:val="32"/>
        </w:rPr>
        <w:t>万元，资金来源为2024年度财政衔接推进乡村振兴补助资金。本项目根据经批准的总概算和工期，合理安排投资计划，阶段计划投资的安排要与总体规划要求相适应，保证按期完工，严格执行基本建设财务、管理的各项制度，保证资金筹措到位、控制建设成本，确保资金使用效益。</w:t>
      </w:r>
    </w:p>
    <w:p>
      <w:pPr>
        <w:pStyle w:val="3"/>
        <w:bidi w:val="0"/>
        <w:rPr>
          <w:rFonts w:hint="eastAsia" w:ascii="仿宋_GB2312" w:hAnsi="仿宋_GB2312" w:cs="仿宋_GB2312"/>
          <w:kern w:val="0"/>
          <w:shd w:val="clear" w:color="auto" w:fill="FFFFFF"/>
          <w:lang w:val="zh-CN"/>
        </w:rPr>
      </w:pPr>
      <w:r>
        <w:rPr>
          <w:rFonts w:hint="eastAsia" w:ascii="楷体_GB2312" w:eastAsia="楷体_GB2312"/>
          <w:b/>
          <w:lang w:val="zh-CN"/>
        </w:rPr>
        <w:t>（三）</w:t>
      </w:r>
      <w:r>
        <w:rPr>
          <w:rFonts w:ascii="楷体_GB2312" w:eastAsia="楷体_GB2312"/>
          <w:b/>
        </w:rPr>
        <w:t>预算安排及分配管理</w:t>
      </w:r>
    </w:p>
    <w:p>
      <w:pPr>
        <w:pStyle w:val="4"/>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1.项目预算安排情况</w:t>
      </w:r>
    </w:p>
    <w:p>
      <w:pPr>
        <w:bidi w:val="0"/>
        <w:rPr>
          <w:rFonts w:hint="eastAsia"/>
        </w:rPr>
      </w:pPr>
      <w:r>
        <w:rPr>
          <w:rFonts w:hint="eastAsia"/>
        </w:rPr>
        <w:t>预算申报项目资金金额为</w:t>
      </w:r>
      <w:r>
        <w:rPr>
          <w:rFonts w:hint="eastAsia"/>
          <w:lang w:val="en-US" w:eastAsia="zh-CN"/>
        </w:rPr>
        <w:t>115.63</w:t>
      </w:r>
      <w:r>
        <w:rPr>
          <w:rFonts w:hint="eastAsia"/>
        </w:rPr>
        <w:t>万元，批复金额为</w:t>
      </w:r>
      <w:r>
        <w:rPr>
          <w:rFonts w:hint="eastAsia"/>
          <w:lang w:val="en-US" w:eastAsia="zh-CN"/>
        </w:rPr>
        <w:t>115.63</w:t>
      </w:r>
      <w:r>
        <w:rPr>
          <w:rFonts w:hint="eastAsia"/>
        </w:rPr>
        <w:t>万元，实际使用金额</w:t>
      </w:r>
      <w:r>
        <w:rPr>
          <w:rFonts w:hint="eastAsia"/>
          <w:lang w:val="en-US" w:eastAsia="zh-CN"/>
        </w:rPr>
        <w:t>115.63</w:t>
      </w:r>
      <w:r>
        <w:rPr>
          <w:rFonts w:hint="eastAsia"/>
        </w:rPr>
        <w:t>万元，项目资金符合资金管理办法等相关规定。资金按批复金额在项目实施前全部到位，与资金计划相契合，资金到位率、到位及时性均为100%，保障项目能够如期开展。</w:t>
      </w:r>
    </w:p>
    <w:p>
      <w:pPr>
        <w:pStyle w:val="4"/>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2.项目资金分配原则及考虑因素</w:t>
      </w:r>
    </w:p>
    <w:p>
      <w:pPr>
        <w:bidi w:val="0"/>
        <w:rPr>
          <w:rFonts w:hint="eastAsia"/>
        </w:rPr>
      </w:pPr>
      <w:r>
        <w:rPr>
          <w:rFonts w:hint="eastAsia"/>
        </w:rPr>
        <w:t>项目</w:t>
      </w:r>
      <w:r>
        <w:t>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pPr>
        <w:pStyle w:val="4"/>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3.项目资金分配情况</w:t>
      </w:r>
    </w:p>
    <w:p>
      <w:pPr>
        <w:bidi w:val="0"/>
        <w:rPr>
          <w:rFonts w:hint="eastAsia"/>
        </w:rPr>
      </w:pPr>
      <w:r>
        <w:rPr>
          <w:rFonts w:hint="eastAsia"/>
        </w:rPr>
        <w:t>项目总预算资金</w:t>
      </w:r>
      <w:r>
        <w:rPr>
          <w:rFonts w:hint="eastAsia"/>
          <w:lang w:val="en-US" w:eastAsia="zh-CN"/>
        </w:rPr>
        <w:t>115.63</w:t>
      </w:r>
      <w:r>
        <w:rPr>
          <w:rFonts w:hint="eastAsia"/>
        </w:rPr>
        <w:t>万元，预算资金分配充分，资金分配额度合理，与项目单位实际相适应。目前项目资金已全部支出，支付范围为工程项目设计费、预付款、进度款、测绘费、咨询费与预算相符。</w:t>
      </w:r>
    </w:p>
    <w:p>
      <w:pPr>
        <w:pStyle w:val="3"/>
        <w:bidi w:val="0"/>
        <w:rPr>
          <w:rFonts w:hint="eastAsia" w:ascii="楷体_GB2312" w:hAnsi="楷体_GB2312" w:eastAsia="楷体_GB2312" w:cs="楷体_GB2312"/>
          <w:lang w:val="zh-CN"/>
        </w:rPr>
      </w:pPr>
      <w:r>
        <w:rPr>
          <w:rFonts w:hint="eastAsia" w:ascii="楷体_GB2312" w:hAnsi="楷体_GB2312" w:eastAsia="楷体_GB2312" w:cs="楷体_GB2312"/>
          <w:lang w:val="zh-CN"/>
        </w:rPr>
        <w:t>（四）项目绩效目标设置</w:t>
      </w:r>
    </w:p>
    <w:p>
      <w:pPr>
        <w:bidi w:val="0"/>
        <w:rPr>
          <w:rFonts w:hint="eastAsia"/>
        </w:rPr>
      </w:pPr>
      <w:r>
        <w:rPr>
          <w:rFonts w:hint="eastAsia"/>
        </w:rPr>
        <w:t>促进才盖村经济产业发展和社会保障，维护群众利益，改善农民生活质量与水平。</w:t>
      </w:r>
    </w:p>
    <w:p>
      <w:pPr>
        <w:pStyle w:val="2"/>
        <w:bidi w:val="0"/>
        <w:rPr>
          <w:rFonts w:hint="eastAsia"/>
        </w:rPr>
      </w:pPr>
      <w:r>
        <w:rPr>
          <w:rFonts w:hint="eastAsia"/>
        </w:rPr>
        <w:t>二、评价实施</w:t>
      </w:r>
    </w:p>
    <w:p>
      <w:pPr>
        <w:pStyle w:val="4"/>
        <w:bidi w:val="0"/>
        <w:rPr>
          <w:rFonts w:hint="eastAsia" w:ascii="楷体_GB2312" w:hAnsi="楷体_GB2312" w:eastAsia="楷体_GB2312" w:cs="楷体_GB2312"/>
          <w:lang w:val="en-US" w:eastAsia="zh-CN"/>
        </w:rPr>
      </w:pPr>
      <w:r>
        <w:rPr>
          <w:rFonts w:hint="eastAsia" w:ascii="楷体_GB2312" w:hAnsi="楷体_GB2312" w:eastAsia="楷体_GB2312" w:cs="楷体_GB2312"/>
          <w:lang w:val="zh-CN" w:eastAsia="zh-CN"/>
        </w:rPr>
        <w:t>（一）评价目的</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ascii="Times New Roman" w:hAnsi="Times New Roman" w:eastAsia="仿宋_GB2312" w:cs="Times New Roman"/>
          <w:szCs w:val="32"/>
        </w:rPr>
      </w:pPr>
      <w:r>
        <w:rPr>
          <w:rFonts w:hint="eastAsia" w:ascii="仿宋_GB2312" w:eastAsia="仿宋_GB2312" w:cs="仿宋_GB2312"/>
          <w:sz w:val="32"/>
          <w:szCs w:val="32"/>
          <w:lang w:eastAsia="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_GB2312" w:eastAsia="仿宋_GB2312" w:cs="仿宋_GB2312"/>
          <w:sz w:val="32"/>
          <w:szCs w:val="32"/>
          <w:lang w:val="en-US" w:eastAsia="zh-CN"/>
        </w:rPr>
        <w:t>，黑水县财政局印发《黑水县财政局关于开展 2025年县级部门绩效自评工作的通知》（黑财监绩〔2025〕30号），</w:t>
      </w:r>
      <w:r>
        <w:rPr>
          <w:rFonts w:hint="eastAsia" w:ascii="仿宋_GB2312" w:eastAsia="仿宋_GB2312" w:cs="仿宋_GB2312"/>
          <w:sz w:val="32"/>
          <w:szCs w:val="32"/>
          <w:lang w:eastAsia="zh-CN"/>
        </w:rPr>
        <w:t>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pStyle w:val="3"/>
        <w:bidi w:val="0"/>
        <w:rPr>
          <w:rFonts w:hint="eastAsia"/>
        </w:rPr>
      </w:pPr>
      <w:r>
        <w:rPr>
          <w:rFonts w:hint="eastAsia" w:ascii="楷体_GB2312" w:eastAsia="楷体_GB2312"/>
          <w:b/>
          <w:lang w:val="zh-CN"/>
        </w:rPr>
        <w:t>（二）预设问题及评价重点</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zh-CN" w:eastAsia="zh-CN"/>
        </w:rPr>
      </w:pPr>
      <w:r>
        <w:rPr>
          <w:rFonts w:hint="eastAsia" w:ascii="仿宋_GB2312" w:eastAsia="仿宋_GB2312" w:cs="仿宋_GB2312"/>
          <w:sz w:val="32"/>
          <w:szCs w:val="32"/>
          <w:lang w:val="en-US" w:eastAsia="zh-CN"/>
        </w:rPr>
        <w:t>本次评价主要针对该项目的规划编制的内容完整性和项目实施工作的质量问题，结合该项目资金的使用情况来完整的体现。</w:t>
      </w:r>
    </w:p>
    <w:p>
      <w:pPr>
        <w:pStyle w:val="3"/>
        <w:bidi w:val="0"/>
        <w:rPr>
          <w:rFonts w:hint="eastAsia" w:ascii="楷体_GB2312" w:eastAsia="楷体_GB2312"/>
          <w:b/>
          <w:lang w:val="zh-CN"/>
        </w:rPr>
      </w:pPr>
      <w:r>
        <w:rPr>
          <w:rFonts w:hint="eastAsia" w:ascii="楷体_GB2312" w:eastAsia="楷体_GB2312"/>
          <w:b/>
          <w:lang w:val="zh-CN"/>
        </w:rPr>
        <w:t>（三）评价选点</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卡龙镇2024年卡龙镇才盖村新型农村集体经济项目主要开展工作地点为黑水县卡龙镇，本次绩效评价主体为黑水县卡龙镇人民政府，项目不涉及其他单位。</w:t>
      </w:r>
    </w:p>
    <w:p>
      <w:pPr>
        <w:pStyle w:val="3"/>
        <w:bidi w:val="0"/>
        <w:rPr>
          <w:rFonts w:hint="eastAsia" w:ascii="楷体_GB2312" w:eastAsia="楷体_GB2312"/>
          <w:b/>
          <w:lang w:val="zh-CN"/>
        </w:rPr>
      </w:pPr>
      <w:r>
        <w:rPr>
          <w:rFonts w:hint="eastAsia" w:ascii="楷体_GB2312" w:eastAsia="楷体_GB2312"/>
          <w:b/>
          <w:lang w:val="zh-CN"/>
        </w:rPr>
        <w:t>（四）评价方法</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采用先进的绩效评价方法和科学的数据分析是取得正确客观评价结论的重要保障，评价组从采取以下几个方法对项目实施评价，通过定量和定性分析得出评价结论。</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1.比较分析法。是指通过对绩效目标与实施效果、历史与当期情况、不同类支出的比较，综合分析绩效目标实现程度。</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2.因素分析法。是指通过综合分析影响绩效目标实现、实施效果的内外因素，评价绩效目标实现程度。</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3.随机访谈法。针对部分项目负责人及实施主体进行了询问和访谈，如项目实施情况的必要性、可行性和满意度等进行随机访谈。</w:t>
      </w:r>
    </w:p>
    <w:p>
      <w:pPr>
        <w:pStyle w:val="3"/>
        <w:bidi w:val="0"/>
        <w:rPr>
          <w:rFonts w:hint="eastAsia" w:ascii="楷体_GB2312" w:eastAsia="楷体_GB2312"/>
          <w:b/>
          <w:lang w:val="zh-CN"/>
        </w:rPr>
      </w:pPr>
      <w:r>
        <w:rPr>
          <w:rFonts w:hint="eastAsia" w:ascii="楷体_GB2312" w:eastAsia="楷体_GB2312"/>
          <w:b/>
          <w:lang w:val="zh-CN"/>
        </w:rPr>
        <w:t>（五）评价组织</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1.领导小组职责：</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（1）研究和决定同级政府公共事业管理绩效评价中的重大问题。</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（2）组织协调绩效评价工作，确保评价的顺利进行。</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（3）对各单位的工作目标、绩效考核结果和等次、奖惩方案进行审核，并报同级党委和政府审定。</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2.办公室职责：</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（1）提出全镇政府公共事业管理绩效评价的工作方案，并负责具体组织实施。</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（2）综合评价信息，提出评价结果等次认定方案及奖惩方案等。</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（3）负责绩效评价的日常工作，包括宣传、沟通、协调等。</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（4）根据评价结果撰写绩效评价报告，并递交给领导小组。</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3.具体执行人员职责：</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（1）组长：审批绩效自评方案，监督、检查、核实绩效自评结果。</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（2）副组长：审核修改拟定的绩效自评方案，并提交考评工作组会议讨论通过；监督、部署、确认绩效自评过程及反馈意见的处理。</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pStyle w:val="2"/>
        <w:bidi w:val="0"/>
        <w:rPr>
          <w:rFonts w:ascii="仿宋_GB2312" w:hAnsi="仿宋_GB2312"/>
          <w:lang w:val="zh-CN"/>
        </w:rPr>
      </w:pPr>
      <w:r>
        <w:rPr>
          <w:rFonts w:hint="eastAsia" w:ascii="黑体" w:eastAsia="黑体"/>
        </w:rPr>
        <w:t>三、绩效分析</w:t>
      </w:r>
      <w:r>
        <w:rPr>
          <w:rFonts w:hint="eastAsia" w:ascii="仿宋_GB2312" w:hAnsi="仿宋_GB2312"/>
          <w:lang w:val="zh-CN"/>
        </w:rPr>
        <w:tab/>
      </w:r>
    </w:p>
    <w:p>
      <w:pPr>
        <w:pStyle w:val="3"/>
        <w:bidi w:val="0"/>
        <w:rPr>
          <w:rFonts w:hint="eastAsia" w:ascii="楷体_GB2312" w:eastAsia="楷体_GB2312"/>
          <w:b/>
        </w:rPr>
      </w:pPr>
      <w:r>
        <w:rPr>
          <w:rFonts w:hint="eastAsia" w:ascii="楷体_GB2312" w:eastAsia="楷体_GB2312"/>
          <w:b/>
          <w:lang w:val="zh-CN"/>
        </w:rPr>
        <w:t>（一）</w:t>
      </w:r>
      <w:r>
        <w:rPr>
          <w:rFonts w:hint="eastAsia" w:ascii="楷体_GB2312" w:eastAsia="楷体_GB2312"/>
          <w:b/>
        </w:rPr>
        <w:t>通用指标</w:t>
      </w:r>
      <w:r>
        <w:rPr>
          <w:rFonts w:eastAsia="楷体_GB2312"/>
          <w:b/>
          <w:bCs/>
          <w:color w:val="000000"/>
          <w:kern w:val="0"/>
          <w:shd w:val="clear" w:color="auto" w:fill="FFFFFF"/>
          <w:lang w:val="zh-CN"/>
        </w:rPr>
        <w:t>绩效分析</w:t>
      </w:r>
    </w:p>
    <w:p>
      <w:pPr>
        <w:pStyle w:val="4"/>
        <w:bidi w:val="0"/>
        <w:rPr>
          <w:rFonts w:hint="eastAsia"/>
        </w:rPr>
      </w:pPr>
      <w:r>
        <w:rPr>
          <w:rFonts w:hint="eastAsia"/>
        </w:rPr>
        <w:t>1.项目决策</w:t>
      </w:r>
    </w:p>
    <w:p>
      <w:pPr>
        <w:bidi w:val="0"/>
        <w:rPr>
          <w:rFonts w:hint="eastAsia" w:ascii="仿宋_GB2312" w:hAnsi="仿宋_GB2312" w:eastAsia="仿宋_GB2312" w:cs="仿宋_GB2312"/>
        </w:rPr>
      </w:pPr>
      <w:r>
        <w:rPr>
          <w:rFonts w:hint="eastAsia" w:ascii="仿宋_GB2312" w:hAnsi="仿宋_GB2312" w:eastAsia="仿宋_GB2312" w:cs="仿宋_GB2312"/>
        </w:rPr>
        <w:t>（1）决策程序</w:t>
      </w:r>
    </w:p>
    <w:p>
      <w:pPr>
        <w:bidi w:val="0"/>
        <w:rPr>
          <w:rFonts w:hint="eastAsia" w:ascii="仿宋_GB2312" w:hAnsi="仿宋_GB2312" w:eastAsia="仿宋_GB2312" w:cs="仿宋_GB2312"/>
        </w:rPr>
      </w:pPr>
      <w:r>
        <w:rPr>
          <w:rFonts w:hint="eastAsia" w:ascii="仿宋_GB2312" w:hAnsi="仿宋_GB2312" w:eastAsia="仿宋_GB2312" w:cs="仿宋_GB2312"/>
        </w:rPr>
        <w:t>项目设立、调整延续等方面符合资金管理基本规范和决策程序要求，该项指标得分6分。</w:t>
      </w:r>
    </w:p>
    <w:p>
      <w:pPr>
        <w:bidi w:val="0"/>
        <w:rPr>
          <w:rFonts w:hint="eastAsia" w:ascii="仿宋_GB2312" w:hAnsi="仿宋_GB2312" w:eastAsia="仿宋_GB2312" w:cs="仿宋_GB2312"/>
        </w:rPr>
      </w:pPr>
      <w:r>
        <w:rPr>
          <w:rFonts w:hint="eastAsia" w:ascii="仿宋_GB2312" w:hAnsi="仿宋_GB2312" w:eastAsia="仿宋_GB2312" w:cs="仿宋_GB2312"/>
        </w:rPr>
        <w:t>（2）规划论证</w:t>
      </w:r>
    </w:p>
    <w:p>
      <w:pPr>
        <w:bidi w:val="0"/>
        <w:rPr>
          <w:rFonts w:hint="eastAsia" w:ascii="仿宋_GB2312" w:hAnsi="仿宋_GB2312" w:eastAsia="仿宋_GB2312" w:cs="仿宋_GB2312"/>
        </w:rPr>
      </w:pPr>
      <w:r>
        <w:rPr>
          <w:rFonts w:hint="eastAsia" w:ascii="仿宋_GB2312" w:hAnsi="仿宋_GB2312" w:eastAsia="仿宋_GB2312" w:cs="仿宋_GB2312"/>
        </w:rPr>
        <w:t>项目规划符合中央、省委省政府有关决策部署安排，项目充分评估论证了立项必要性、前瞻性、合理性和可行性。项目总体绩效目标设置合理性的偏离度≤15%，绩效目标科学合理、规范完整、量化细化、预算匹配，该项指标得分</w:t>
      </w:r>
      <w:r>
        <w:rPr>
          <w:rFonts w:hint="eastAsia" w:ascii="仿宋_GB2312" w:hAnsi="仿宋_GB2312" w:eastAsia="仿宋_GB2312" w:cs="仿宋_GB2312"/>
          <w:lang w:val="en-US" w:eastAsia="zh-CN"/>
        </w:rPr>
        <w:t>5</w:t>
      </w:r>
      <w:r>
        <w:rPr>
          <w:rFonts w:hint="eastAsia" w:ascii="仿宋_GB2312" w:hAnsi="仿宋_GB2312" w:eastAsia="仿宋_GB2312" w:cs="仿宋_GB2312"/>
        </w:rPr>
        <w:t>分。</w:t>
      </w:r>
    </w:p>
    <w:p>
      <w:pPr>
        <w:bidi w:val="0"/>
        <w:rPr>
          <w:rFonts w:hint="eastAsia" w:ascii="仿宋_GB2312" w:hAnsi="仿宋_GB2312" w:eastAsia="仿宋_GB2312" w:cs="仿宋_GB2312"/>
        </w:rPr>
      </w:pPr>
      <w:r>
        <w:rPr>
          <w:rFonts w:hint="eastAsia" w:ascii="仿宋_GB2312" w:hAnsi="仿宋_GB2312" w:eastAsia="仿宋_GB2312" w:cs="仿宋_GB2312"/>
        </w:rPr>
        <w:t>（3）资金投向</w:t>
      </w:r>
    </w:p>
    <w:p>
      <w:pPr>
        <w:bidi w:val="0"/>
        <w:rPr>
          <w:rFonts w:hint="eastAsia" w:ascii="仿宋_GB2312" w:hAnsi="仿宋_GB2312" w:eastAsia="仿宋_GB2312" w:cs="仿宋_GB2312"/>
        </w:rPr>
      </w:pPr>
      <w:r>
        <w:rPr>
          <w:rFonts w:hint="eastAsia" w:ascii="仿宋_GB2312" w:hAnsi="仿宋_GB2312" w:eastAsia="仿宋_GB2312" w:cs="仿宋_GB231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pPr>
        <w:pStyle w:val="4"/>
        <w:bidi w:val="0"/>
        <w:rPr>
          <w:rFonts w:hint="eastAsia"/>
        </w:rPr>
      </w:pPr>
      <w:r>
        <w:rPr>
          <w:rFonts w:hint="eastAsia"/>
        </w:rPr>
        <w:t>2.项目管理</w:t>
      </w:r>
    </w:p>
    <w:p>
      <w:pPr>
        <w:bidi w:val="0"/>
        <w:rPr>
          <w:rFonts w:hint="eastAsia" w:ascii="仿宋_GB2312" w:hAnsi="仿宋_GB2312" w:eastAsia="仿宋_GB2312" w:cs="仿宋_GB2312"/>
        </w:rPr>
      </w:pPr>
      <w:r>
        <w:rPr>
          <w:rFonts w:hint="eastAsia" w:ascii="仿宋_GB2312" w:hAnsi="仿宋_GB2312" w:eastAsia="仿宋_GB2312" w:cs="仿宋_GB2312"/>
        </w:rPr>
        <w:t>（1）制度办法</w:t>
      </w:r>
    </w:p>
    <w:p>
      <w:pPr>
        <w:bidi w:val="0"/>
        <w:rPr>
          <w:rFonts w:hint="eastAsia" w:ascii="仿宋_GB2312" w:hAnsi="仿宋_GB2312" w:eastAsia="仿宋_GB2312" w:cs="仿宋_GB2312"/>
        </w:rPr>
      </w:pPr>
      <w:r>
        <w:rPr>
          <w:rFonts w:hint="eastAsia" w:ascii="仿宋_GB2312" w:hAnsi="仿宋_GB2312" w:eastAsia="仿宋_GB2312" w:cs="仿宋_GB2312"/>
        </w:rPr>
        <w:t>该项目资金管理办法等管理制度体系健全完善，不存在管理制度缺失、管理办法过期情况，该项指标得分2分</w:t>
      </w:r>
    </w:p>
    <w:p>
      <w:pPr>
        <w:bidi w:val="0"/>
        <w:rPr>
          <w:rFonts w:hint="eastAsia" w:ascii="仿宋_GB2312" w:hAnsi="仿宋_GB2312" w:eastAsia="仿宋_GB2312" w:cs="仿宋_GB2312"/>
        </w:rPr>
      </w:pPr>
      <w:r>
        <w:rPr>
          <w:rFonts w:hint="eastAsia" w:ascii="仿宋_GB2312" w:hAnsi="仿宋_GB2312" w:eastAsia="仿宋_GB2312" w:cs="仿宋_GB2312"/>
        </w:rPr>
        <w:t>（2）分配管理</w:t>
      </w:r>
    </w:p>
    <w:p>
      <w:pPr>
        <w:bidi w:val="0"/>
        <w:rPr>
          <w:rFonts w:hint="eastAsia" w:ascii="仿宋_GB2312" w:hAnsi="仿宋_GB2312" w:eastAsia="仿宋_GB2312" w:cs="仿宋_GB2312"/>
        </w:rPr>
      </w:pPr>
      <w:r>
        <w:rPr>
          <w:rFonts w:hint="eastAsia" w:ascii="仿宋_GB2312" w:hAnsi="仿宋_GB2312" w:eastAsia="仿宋_GB2312" w:cs="仿宋_GB2312"/>
        </w:rPr>
        <w:t>资金分配因素选取充分考虑了相关工作开展实际和需求，资金分配因素的权重设置有效突出了项目实施重点，资金区域分布结果公平合理，建设了项目储备库，实行了入库项目动态管理，明确了项目申报审核程序，按规定程序履行了项目审批，资金分配依据充分合理，资金分配严格按管理办法执行，决策程序符合管理要求，及时高效，该项指标得分10分。</w:t>
      </w:r>
    </w:p>
    <w:p>
      <w:pPr>
        <w:bidi w:val="0"/>
        <w:rPr>
          <w:rFonts w:hint="eastAsia" w:ascii="仿宋_GB2312" w:hAnsi="仿宋_GB2312" w:eastAsia="仿宋_GB2312" w:cs="仿宋_GB2312"/>
        </w:rPr>
      </w:pPr>
      <w:r>
        <w:rPr>
          <w:rFonts w:hint="eastAsia" w:ascii="仿宋_GB2312" w:hAnsi="仿宋_GB2312" w:eastAsia="仿宋_GB2312" w:cs="仿宋_GB2312"/>
        </w:rPr>
        <w:t>（3）绩效监管</w:t>
      </w:r>
    </w:p>
    <w:p>
      <w:pPr>
        <w:bidi w:val="0"/>
        <w:rPr>
          <w:rFonts w:hint="eastAsia" w:ascii="仿宋_GB2312" w:hAnsi="仿宋_GB2312" w:eastAsia="仿宋_GB2312" w:cs="仿宋_GB2312"/>
        </w:rPr>
      </w:pPr>
      <w:r>
        <w:rPr>
          <w:rFonts w:hint="eastAsia" w:ascii="仿宋_GB2312" w:hAnsi="仿宋_GB2312" w:eastAsia="仿宋_GB2312" w:cs="仿宋_GB2312"/>
        </w:rPr>
        <w:t>项目按中省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pPr>
        <w:pStyle w:val="4"/>
        <w:bidi w:val="0"/>
      </w:pPr>
      <w:r>
        <w:rPr>
          <w:rFonts w:hint="eastAsia"/>
        </w:rPr>
        <w:t>3.项目实施</w:t>
      </w:r>
    </w:p>
    <w:p>
      <w:pPr>
        <w:bidi w:val="0"/>
        <w:rPr>
          <w:rFonts w:hint="eastAsia" w:ascii="仿宋_GB2312" w:hAnsi="仿宋_GB2312" w:eastAsia="仿宋_GB2312" w:cs="仿宋_GB2312"/>
        </w:rPr>
      </w:pPr>
      <w:r>
        <w:rPr>
          <w:rFonts w:hint="eastAsia" w:ascii="仿宋_GB2312" w:hAnsi="仿宋_GB2312" w:eastAsia="仿宋_GB2312" w:cs="仿宋_GB2312"/>
        </w:rPr>
        <w:t>（1）预算执行</w:t>
      </w:r>
    </w:p>
    <w:p>
      <w:pPr>
        <w:bidi w:val="0"/>
        <w:rPr>
          <w:rFonts w:hint="eastAsia" w:ascii="仿宋_GB2312" w:hAnsi="仿宋_GB2312" w:eastAsia="仿宋_GB2312" w:cs="仿宋_GB2312"/>
        </w:rPr>
      </w:pPr>
      <w:r>
        <w:rPr>
          <w:rFonts w:hint="eastAsia" w:ascii="仿宋_GB2312" w:hAnsi="仿宋_GB2312" w:eastAsia="仿宋_GB2312" w:cs="仿宋_GB2312"/>
        </w:rPr>
        <w:t>财政资金已按照要求拨付完毕，拨付率100%，该项指标得分=财政资金拨付率×100%×6=6分。</w:t>
      </w:r>
    </w:p>
    <w:p>
      <w:pPr>
        <w:bidi w:val="0"/>
        <w:rPr>
          <w:rFonts w:hint="eastAsia" w:ascii="仿宋_GB2312" w:hAnsi="仿宋_GB2312" w:eastAsia="仿宋_GB2312" w:cs="仿宋_GB2312"/>
        </w:rPr>
      </w:pPr>
      <w:r>
        <w:rPr>
          <w:rFonts w:hint="eastAsia" w:ascii="仿宋_GB2312" w:hAnsi="仿宋_GB2312" w:eastAsia="仿宋_GB2312" w:cs="仿宋_GB2312"/>
        </w:rPr>
        <w:t>（2）资金使用</w:t>
      </w:r>
    </w:p>
    <w:p>
      <w:pPr>
        <w:bidi w:val="0"/>
      </w:pPr>
      <w:r>
        <w:rPr>
          <w:rFonts w:hint="eastAsia" w:ascii="仿宋_GB2312" w:hAnsi="仿宋_GB2312" w:eastAsia="仿宋_GB2312" w:cs="仿宋_GB231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pPr>
        <w:pStyle w:val="4"/>
        <w:bidi w:val="0"/>
        <w:rPr>
          <w:rFonts w:hint="eastAsia"/>
        </w:rPr>
      </w:pPr>
      <w:r>
        <w:rPr>
          <w:rFonts w:hint="eastAsia"/>
        </w:rPr>
        <w:t>4.项目结果</w:t>
      </w:r>
    </w:p>
    <w:p>
      <w:pPr>
        <w:bidi w:val="0"/>
        <w:rPr>
          <w:rFonts w:hint="eastAsia" w:ascii="仿宋_GB2312" w:hAnsi="仿宋_GB2312" w:eastAsia="仿宋_GB2312" w:cs="仿宋_GB2312"/>
        </w:rPr>
      </w:pPr>
      <w:r>
        <w:rPr>
          <w:rFonts w:hint="eastAsia" w:ascii="仿宋_GB2312" w:hAnsi="仿宋_GB2312" w:eastAsia="仿宋_GB2312" w:cs="仿宋_GB2312"/>
        </w:rPr>
        <w:t>（1）目标完成</w:t>
      </w:r>
    </w:p>
    <w:p>
      <w:pPr>
        <w:bidi w:val="0"/>
        <w:rPr>
          <w:rFonts w:hint="eastAsia" w:ascii="仿宋_GB2312" w:hAnsi="仿宋_GB2312" w:eastAsia="仿宋_GB2312" w:cs="仿宋_GB2312"/>
        </w:rPr>
      </w:pPr>
      <w:r>
        <w:rPr>
          <w:rFonts w:hint="eastAsia" w:ascii="仿宋_GB2312" w:hAnsi="仿宋_GB2312" w:eastAsia="仿宋_GB2312" w:cs="仿宋_GB2312"/>
        </w:rPr>
        <w:t>项目完成预期目标，实施结果与绩效目标相匹配，该项指标得分6分。</w:t>
      </w:r>
    </w:p>
    <w:p>
      <w:pPr>
        <w:bidi w:val="0"/>
        <w:rPr>
          <w:rFonts w:hint="eastAsia" w:ascii="仿宋_GB2312" w:hAnsi="仿宋_GB2312" w:eastAsia="仿宋_GB2312" w:cs="仿宋_GB2312"/>
        </w:rPr>
      </w:pPr>
      <w:r>
        <w:rPr>
          <w:rFonts w:hint="eastAsia" w:ascii="仿宋_GB2312" w:hAnsi="仿宋_GB2312" w:eastAsia="仿宋_GB2312" w:cs="仿宋_GB2312"/>
        </w:rPr>
        <w:t>（2）完成时效</w:t>
      </w:r>
    </w:p>
    <w:p>
      <w:pPr>
        <w:bidi w:val="0"/>
        <w:rPr>
          <w:rFonts w:hint="eastAsia" w:ascii="仿宋_GB2312" w:hAnsi="仿宋_GB2312" w:eastAsia="仿宋_GB2312" w:cs="仿宋_GB2312"/>
        </w:rPr>
      </w:pPr>
      <w:r>
        <w:rPr>
          <w:rFonts w:hint="eastAsia" w:ascii="仿宋_GB2312" w:hAnsi="仿宋_GB2312" w:eastAsia="仿宋_GB2312" w:cs="仿宋_GB2312"/>
        </w:rPr>
        <w:t>项目实际完成时间与计划完成时间相符，该项指标得分3分。</w:t>
      </w:r>
    </w:p>
    <w:p>
      <w:pPr>
        <w:pStyle w:val="3"/>
        <w:bidi w:val="0"/>
        <w:rPr>
          <w:rFonts w:hint="eastAsia" w:ascii="楷体_GB2312" w:eastAsia="楷体_GB2312" w:cs="楷体_GB2312"/>
          <w:lang w:val="zh-CN"/>
        </w:rPr>
      </w:pPr>
      <w:r>
        <w:rPr>
          <w:rFonts w:hint="eastAsia" w:ascii="楷体_GB2312" w:eastAsia="楷体_GB2312"/>
          <w:b/>
          <w:lang w:val="zh-CN"/>
        </w:rPr>
        <w:t>（二）</w:t>
      </w:r>
      <w:r>
        <w:rPr>
          <w:rFonts w:hint="eastAsia" w:ascii="楷体_GB2312" w:eastAsia="楷体_GB2312"/>
          <w:b/>
        </w:rPr>
        <w:t>专用指标</w:t>
      </w:r>
      <w:r>
        <w:rPr>
          <w:rFonts w:eastAsia="楷体_GB2312"/>
          <w:b/>
          <w:bCs/>
          <w:color w:val="000000"/>
          <w:kern w:val="0"/>
          <w:shd w:val="clear" w:color="auto" w:fill="FFFFFF"/>
          <w:lang w:val="zh-CN"/>
        </w:rPr>
        <w:t>绩效分析</w:t>
      </w:r>
    </w:p>
    <w:p>
      <w:pPr>
        <w:bidi w:val="0"/>
        <w:rPr>
          <w:rFonts w:hint="eastAsia" w:ascii="仿宋_GB2312" w:hAnsi="仿宋_GB2312" w:eastAsia="仿宋_GB2312" w:cs="仿宋_GB2312"/>
        </w:rPr>
      </w:pPr>
      <w:r>
        <w:rPr>
          <w:rFonts w:hint="eastAsia"/>
        </w:rPr>
        <w:t>（</w:t>
      </w:r>
      <w:r>
        <w:rPr>
          <w:rFonts w:hint="eastAsia" w:ascii="仿宋_GB2312" w:hAnsi="仿宋_GB2312" w:eastAsia="仿宋_GB2312" w:cs="仿宋_GB2312"/>
        </w:rPr>
        <w:t>1）基础设施建成项目</w:t>
      </w:r>
    </w:p>
    <w:p>
      <w:pPr>
        <w:bidi w:val="0"/>
        <w:rPr>
          <w:rFonts w:hint="eastAsia" w:ascii="仿宋_GB2312" w:hAnsi="仿宋_GB2312" w:eastAsia="仿宋_GB2312" w:cs="仿宋_GB2312"/>
          <w:lang w:eastAsia="zh-CN"/>
        </w:rPr>
      </w:pPr>
      <w:r>
        <w:rPr>
          <w:rFonts w:hint="eastAsia" w:ascii="仿宋_GB2312" w:hAnsi="仿宋_GB2312" w:eastAsia="仿宋_GB2312" w:cs="仿宋_GB2312"/>
        </w:rPr>
        <w:t>项目验收及时合格</w:t>
      </w:r>
      <w:r>
        <w:rPr>
          <w:rFonts w:hint="eastAsia" w:ascii="仿宋_GB2312" w:hAnsi="仿宋_GB2312" w:eastAsia="仿宋_GB2312" w:cs="仿宋_GB2312"/>
          <w:lang w:eastAsia="zh-CN"/>
        </w:rPr>
        <w:t>，</w:t>
      </w:r>
      <w:r>
        <w:rPr>
          <w:rFonts w:hint="eastAsia" w:ascii="仿宋_GB2312" w:hAnsi="仿宋_GB2312" w:eastAsia="仿宋_GB2312" w:cs="仿宋_GB2312"/>
        </w:rPr>
        <w:t>经济社会功能</w:t>
      </w:r>
      <w:r>
        <w:rPr>
          <w:rFonts w:hint="eastAsia" w:ascii="仿宋_GB2312" w:hAnsi="仿宋_GB2312" w:eastAsia="仿宋_GB2312" w:cs="仿宋_GB2312"/>
          <w:lang w:val="en-US" w:eastAsia="zh-CN"/>
        </w:rPr>
        <w:t>已</w:t>
      </w:r>
      <w:r>
        <w:rPr>
          <w:rFonts w:hint="eastAsia" w:ascii="仿宋_GB2312" w:hAnsi="仿宋_GB2312" w:eastAsia="仿宋_GB2312" w:cs="仿宋_GB2312"/>
        </w:rPr>
        <w:t>实现</w:t>
      </w:r>
      <w:r>
        <w:rPr>
          <w:rFonts w:hint="eastAsia" w:ascii="仿宋_GB2312" w:hAnsi="仿宋_GB2312" w:eastAsia="仿宋_GB2312" w:cs="仿宋_GB2312"/>
          <w:lang w:eastAsia="zh-CN"/>
        </w:rPr>
        <w:t>，</w:t>
      </w:r>
      <w:r>
        <w:rPr>
          <w:rFonts w:hint="eastAsia" w:ascii="仿宋_GB2312" w:hAnsi="仿宋_GB2312" w:eastAsia="仿宋_GB2312" w:cs="仿宋_GB2312"/>
        </w:rPr>
        <w:t>后续维护</w:t>
      </w:r>
      <w:r>
        <w:rPr>
          <w:rFonts w:hint="eastAsia" w:ascii="仿宋_GB2312" w:hAnsi="仿宋_GB2312" w:eastAsia="仿宋_GB2312" w:cs="仿宋_GB2312"/>
          <w:lang w:val="en-US" w:eastAsia="zh-CN"/>
        </w:rPr>
        <w:t>已</w:t>
      </w:r>
      <w:r>
        <w:rPr>
          <w:rFonts w:hint="eastAsia" w:ascii="仿宋_GB2312" w:hAnsi="仿宋_GB2312" w:eastAsia="仿宋_GB2312" w:cs="仿宋_GB2312"/>
        </w:rPr>
        <w:t>实现</w:t>
      </w:r>
      <w:r>
        <w:rPr>
          <w:rFonts w:hint="eastAsia" w:ascii="仿宋_GB2312" w:hAnsi="仿宋_GB2312" w:eastAsia="仿宋_GB2312" w:cs="仿宋_GB2312"/>
          <w:lang w:eastAsia="zh-CN"/>
        </w:rPr>
        <w:t>。</w:t>
      </w:r>
      <w:r>
        <w:rPr>
          <w:rFonts w:hint="eastAsia" w:ascii="仿宋_GB2312" w:hAnsi="仿宋_GB2312" w:eastAsia="仿宋_GB2312" w:cs="仿宋_GB2312"/>
        </w:rPr>
        <w:t>该项指标得分</w:t>
      </w:r>
      <w:r>
        <w:rPr>
          <w:rFonts w:hint="eastAsia" w:ascii="仿宋_GB2312" w:hAnsi="仿宋_GB2312" w:eastAsia="仿宋_GB2312" w:cs="仿宋_GB2312"/>
          <w:lang w:val="en-US" w:eastAsia="zh-CN"/>
        </w:rPr>
        <w:t>28</w:t>
      </w:r>
      <w:r>
        <w:rPr>
          <w:rFonts w:hint="eastAsia" w:ascii="仿宋_GB2312" w:hAnsi="仿宋_GB2312" w:eastAsia="仿宋_GB2312" w:cs="仿宋_GB2312"/>
        </w:rPr>
        <w:t>分</w:t>
      </w:r>
    </w:p>
    <w:p>
      <w:pPr>
        <w:pStyle w:val="3"/>
        <w:bidi w:val="0"/>
        <w:rPr>
          <w:rFonts w:hint="eastAsia"/>
          <w:color w:val="000000"/>
        </w:rPr>
      </w:pPr>
      <w:r>
        <w:rPr>
          <w:rFonts w:hint="eastAsia" w:ascii="楷体_GB2312" w:eastAsia="楷体_GB2312"/>
          <w:b/>
          <w:color w:val="000000"/>
          <w:lang w:val="zh-CN"/>
        </w:rPr>
        <w:t>（三）</w:t>
      </w:r>
      <w:r>
        <w:rPr>
          <w:rFonts w:hint="eastAsia" w:ascii="楷体_GB2312" w:eastAsia="楷体_GB2312"/>
          <w:b/>
          <w:color w:val="000000"/>
        </w:rPr>
        <w:t>个性指标</w:t>
      </w:r>
      <w:r>
        <w:rPr>
          <w:rFonts w:eastAsia="楷体_GB2312"/>
          <w:b/>
          <w:bCs/>
          <w:color w:val="000000"/>
          <w:kern w:val="0"/>
          <w:shd w:val="clear" w:color="auto" w:fill="FFFFFF"/>
          <w:lang w:val="zh-CN"/>
        </w:rPr>
        <w:t>绩效分析</w:t>
      </w:r>
    </w:p>
    <w:p>
      <w:pPr>
        <w:bidi w:val="0"/>
        <w:rPr>
          <w:rFonts w:hint="eastAsia" w:ascii="仿宋_GB2312" w:hAnsi="仿宋_GB2312" w:eastAsia="仿宋_GB2312" w:cs="仿宋_GB2312"/>
        </w:rPr>
      </w:pPr>
      <w:r>
        <w:rPr>
          <w:rFonts w:hint="eastAsia" w:ascii="仿宋_GB2312" w:hAnsi="仿宋_GB2312" w:eastAsia="仿宋_GB2312" w:cs="仿宋_GB2312"/>
        </w:rPr>
        <w:t>项目已如期建成，当地群众满意度较高，该项目成本预算控制合理。该项指标得分16分。</w:t>
      </w:r>
    </w:p>
    <w:p>
      <w:pPr>
        <w:pStyle w:val="2"/>
        <w:bidi w:val="0"/>
        <w:rPr>
          <w:rFonts w:hint="eastAsia"/>
          <w:lang w:eastAsia="zh-CN"/>
        </w:rPr>
      </w:pPr>
      <w:r>
        <w:rPr>
          <w:rFonts w:hint="eastAsia"/>
          <w:lang w:eastAsia="zh-CN"/>
        </w:rPr>
        <w:t>四、评价结论</w:t>
      </w:r>
    </w:p>
    <w:p>
      <w:pPr>
        <w:bidi w:val="0"/>
        <w:rPr>
          <w:rFonts w:hint="eastAsia" w:ascii="仿宋_GB2312" w:hAnsi="仿宋_GB2312" w:eastAsia="仿宋_GB2312" w:cs="仿宋_GB2312"/>
        </w:rPr>
      </w:pPr>
      <w:r>
        <w:rPr>
          <w:rFonts w:hint="eastAsia" w:ascii="仿宋_GB2312" w:hAnsi="仿宋_GB2312" w:eastAsia="仿宋_GB2312" w:cs="仿宋_GB2312"/>
        </w:rPr>
        <w:t>我</w:t>
      </w:r>
      <w:r>
        <w:rPr>
          <w:rFonts w:hint="eastAsia" w:ascii="仿宋_GB2312" w:hAnsi="仿宋_GB2312" w:eastAsia="仿宋_GB2312" w:cs="仿宋_GB2312"/>
          <w:lang w:val="en-US" w:eastAsia="zh-CN"/>
        </w:rPr>
        <w:t>镇</w:t>
      </w:r>
      <w:r>
        <w:rPr>
          <w:rFonts w:hint="eastAsia" w:ascii="仿宋_GB2312" w:hAnsi="仿宋_GB2312" w:eastAsia="仿宋_GB2312" w:cs="仿宋_GB2312"/>
        </w:rPr>
        <w:t>严格按照绩效自评工作要求，秉承客观公正、实事求是的原则开展了卡龙镇202</w:t>
      </w:r>
      <w:r>
        <w:rPr>
          <w:rFonts w:hint="eastAsia" w:ascii="仿宋_GB2312" w:hAnsi="仿宋_GB2312" w:eastAsia="仿宋_GB2312" w:cs="仿宋_GB2312"/>
          <w:lang w:val="en-US" w:eastAsia="zh-CN"/>
        </w:rPr>
        <w:t>4</w:t>
      </w:r>
      <w:r>
        <w:rPr>
          <w:rFonts w:hint="eastAsia" w:ascii="仿宋_GB2312" w:hAnsi="仿宋_GB2312" w:eastAsia="仿宋_GB2312" w:cs="仿宋_GB2312"/>
        </w:rPr>
        <w:t>年黑水县卡龙镇才盖村新型农村集体经济项目支出绩效自评工作，经对各类指标进行评分和汇总分析，卡龙镇202</w:t>
      </w:r>
      <w:r>
        <w:rPr>
          <w:rFonts w:hint="eastAsia" w:ascii="仿宋_GB2312" w:hAnsi="仿宋_GB2312" w:eastAsia="仿宋_GB2312" w:cs="仿宋_GB2312"/>
          <w:lang w:val="en-US" w:eastAsia="zh-CN"/>
        </w:rPr>
        <w:t>4</w:t>
      </w:r>
      <w:r>
        <w:rPr>
          <w:rFonts w:hint="eastAsia" w:ascii="仿宋_GB2312" w:hAnsi="仿宋_GB2312" w:eastAsia="仿宋_GB2312" w:cs="仿宋_GB2312"/>
        </w:rPr>
        <w:t>年黑水县卡龙镇才盖村新型农村集体经济项目支出绩效评价综合得分9</w:t>
      </w:r>
      <w:r>
        <w:rPr>
          <w:rFonts w:hint="eastAsia" w:ascii="仿宋_GB2312" w:hAnsi="仿宋_GB2312" w:eastAsia="仿宋_GB2312" w:cs="仿宋_GB2312"/>
          <w:lang w:val="en-US" w:eastAsia="zh-CN"/>
        </w:rPr>
        <w:t>6</w:t>
      </w:r>
      <w:r>
        <w:rPr>
          <w:rFonts w:hint="eastAsia" w:ascii="仿宋_GB2312" w:hAnsi="仿宋_GB2312" w:eastAsia="仿宋_GB2312" w:cs="仿宋_GB2312"/>
        </w:rPr>
        <w:t>分。评价结果显示，卡龙镇202</w:t>
      </w:r>
      <w:r>
        <w:rPr>
          <w:rFonts w:hint="eastAsia" w:ascii="仿宋_GB2312" w:hAnsi="仿宋_GB2312" w:eastAsia="仿宋_GB2312" w:cs="仿宋_GB2312"/>
          <w:lang w:val="en-US" w:eastAsia="zh-CN"/>
        </w:rPr>
        <w:t>4</w:t>
      </w:r>
      <w:r>
        <w:rPr>
          <w:rFonts w:hint="eastAsia" w:ascii="仿宋_GB2312" w:hAnsi="仿宋_GB2312" w:eastAsia="仿宋_GB2312" w:cs="仿宋_GB2312"/>
        </w:rPr>
        <w:t>年黑水县卡龙镇卡龙镇才盖村新型农村集体经济项目按照相关规定进行使用和管理，程序较为规范，项目支出使用效益达到预期。</w:t>
      </w:r>
    </w:p>
    <w:p>
      <w:pPr>
        <w:pStyle w:val="2"/>
        <w:numPr>
          <w:ilvl w:val="0"/>
          <w:numId w:val="0"/>
        </w:numPr>
        <w:tabs>
          <w:tab w:val="left" w:pos="0"/>
        </w:tabs>
        <w:bidi w:val="0"/>
        <w:ind w:leftChars="0" w:firstLine="640" w:firstLineChars="200"/>
        <w:rPr>
          <w:rFonts w:hint="eastAsia"/>
          <w:lang w:eastAsia="zh-CN"/>
        </w:rPr>
      </w:pPr>
      <w:r>
        <w:rPr>
          <w:rFonts w:hint="eastAsia"/>
          <w:lang w:eastAsia="zh-CN"/>
        </w:rPr>
        <w:t>五、存在主要问题</w:t>
      </w:r>
    </w:p>
    <w:p>
      <w:pPr>
        <w:bidi w:val="0"/>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无</w:t>
      </w:r>
    </w:p>
    <w:p>
      <w:pPr>
        <w:pStyle w:val="2"/>
        <w:bidi w:val="0"/>
        <w:rPr>
          <w:rFonts w:hint="eastAsia"/>
          <w:lang w:val="zh-CN" w:eastAsia="zh-CN"/>
        </w:rPr>
      </w:pPr>
      <w:r>
        <w:rPr>
          <w:rFonts w:hint="eastAsia"/>
          <w:lang w:val="zh-CN" w:eastAsia="zh-CN"/>
        </w:rPr>
        <w:t>六、改进建议</w:t>
      </w:r>
    </w:p>
    <w:p>
      <w:pPr>
        <w:pStyle w:val="2"/>
        <w:numPr>
          <w:ilvl w:val="0"/>
          <w:numId w:val="0"/>
        </w:numPr>
        <w:tabs>
          <w:tab w:val="left" w:pos="0"/>
        </w:tabs>
        <w:bidi w:val="0"/>
        <w:ind w:leftChars="0" w:firstLine="640" w:firstLineChars="200"/>
        <w:rPr>
          <w:rFonts w:hint="eastAsia"/>
          <w:lang w:eastAsia="zh-CN"/>
        </w:rPr>
      </w:pPr>
      <w:bookmarkStart w:id="0" w:name="_Hlk110546638"/>
      <w:r>
        <w:rPr>
          <w:rFonts w:hint="eastAsia" w:ascii="仿宋_GB2312" w:hAnsi="仿宋_GB2312" w:eastAsia="仿宋_GB2312" w:cs="仿宋_GB2312"/>
          <w:kern w:val="2"/>
          <w:sz w:val="32"/>
          <w:szCs w:val="32"/>
          <w:lang w:val="en-US" w:eastAsia="zh-CN" w:bidi="ar-SA"/>
        </w:rPr>
        <w:t xml:space="preserve">无 </w:t>
      </w:r>
      <w:r>
        <w:rPr>
          <w:rFonts w:hint="eastAsia"/>
          <w:lang w:eastAsia="zh-CN"/>
        </w:rPr>
        <w:t xml:space="preserve"> </w:t>
      </w:r>
    </w:p>
    <w:bookmarkEnd w:id="0"/>
    <w:p>
      <w:pPr>
        <w:snapToGrid w:val="0"/>
        <w:spacing w:line="578" w:lineRule="exact"/>
        <w:ind w:left="0" w:leftChars="0" w:firstLine="0" w:firstLineChars="0"/>
        <w:rPr>
          <w:rFonts w:hint="eastAsia"/>
          <w:color w:val="000000"/>
          <w:kern w:val="0"/>
          <w:shd w:val="clear" w:color="auto" w:fill="FFFFFF"/>
          <w:lang w:val="zh-CN"/>
        </w:rPr>
      </w:pPr>
    </w:p>
    <w:p>
      <w:pPr>
        <w:snapToGrid w:val="0"/>
        <w:spacing w:line="578" w:lineRule="exact"/>
        <w:ind w:firstLine="640" w:firstLineChars="200"/>
        <w:rPr>
          <w:rFonts w:hint="eastAsia"/>
          <w:color w:val="000000"/>
          <w:kern w:val="0"/>
          <w:shd w:val="clear" w:color="auto" w:fill="FFFFFF"/>
          <w:lang w:val="zh-CN"/>
        </w:rPr>
      </w:pPr>
    </w:p>
    <w:p>
      <w:pPr>
        <w:keepNext w:val="0"/>
        <w:keepLines w:val="0"/>
        <w:pageBreakBefore w:val="0"/>
        <w:widowControl w:val="0"/>
        <w:kinsoku/>
        <w:wordWrap/>
        <w:overflowPunct/>
        <w:topLinePunct w:val="0"/>
        <w:autoSpaceDE/>
        <w:autoSpaceDN/>
        <w:bidi w:val="0"/>
        <w:adjustRightInd w:val="0"/>
        <w:snapToGrid w:val="0"/>
        <w:spacing w:line="576" w:lineRule="exact"/>
        <w:ind w:left="0" w:firstLine="640" w:firstLineChars="200"/>
        <w:jc w:val="both"/>
        <w:textAlignment w:val="auto"/>
        <w:rPr>
          <w:rFonts w:ascii="仿宋_GB2312" w:eastAsia="仿宋_GB2312" w:cs="仿宋_GB2312"/>
          <w:bCs/>
          <w:sz w:val="32"/>
          <w:szCs w:val="32"/>
          <w:lang w:val="en-US" w:eastAsia="zh-CN"/>
        </w:rPr>
      </w:pPr>
      <w:r>
        <w:rPr>
          <w:rFonts w:ascii="仿宋_GB2312" w:eastAsia="仿宋_GB2312" w:cs="仿宋_GB2312"/>
          <w:bCs/>
          <w:sz w:val="32"/>
          <w:szCs w:val="32"/>
          <w:highlight w:val="none"/>
          <w:lang w:val="zh-CN"/>
        </w:rPr>
        <w:t>附表：</w:t>
      </w:r>
      <w:r>
        <w:rPr>
          <w:rFonts w:ascii="仿宋_GB2312" w:eastAsia="仿宋_GB2312" w:cs="仿宋_GB2312"/>
          <w:bCs/>
          <w:sz w:val="32"/>
          <w:szCs w:val="32"/>
          <w:lang w:val="en-US" w:eastAsia="zh-CN"/>
        </w:rPr>
        <w:t>1.</w:t>
      </w:r>
      <w:r>
        <w:rPr>
          <w:rFonts w:hint="eastAsia" w:ascii="仿宋_GB2312" w:eastAsia="仿宋_GB2312" w:cs="仿宋_GB2312"/>
          <w:bCs/>
          <w:sz w:val="32"/>
          <w:szCs w:val="32"/>
          <w:lang w:val="en-US" w:eastAsia="zh-CN"/>
        </w:rPr>
        <w:t>专项</w:t>
      </w:r>
      <w:r>
        <w:rPr>
          <w:rFonts w:ascii="仿宋_GB2312" w:eastAsia="仿宋_GB2312" w:cs="仿宋_GB2312"/>
          <w:bCs/>
          <w:sz w:val="32"/>
          <w:szCs w:val="32"/>
          <w:lang w:val="en-US" w:eastAsia="zh-CN"/>
        </w:rPr>
        <w:t>预算绩效自评打分表</w:t>
      </w:r>
    </w:p>
    <w:p>
      <w:pPr>
        <w:keepNext w:val="0"/>
        <w:keepLines w:val="0"/>
        <w:pageBreakBefore w:val="0"/>
        <w:widowControl w:val="0"/>
        <w:kinsoku/>
        <w:wordWrap/>
        <w:overflowPunct/>
        <w:topLinePunct w:val="0"/>
        <w:autoSpaceDE/>
        <w:autoSpaceDN/>
        <w:bidi w:val="0"/>
        <w:adjustRightInd w:val="0"/>
        <w:snapToGrid w:val="0"/>
        <w:spacing w:line="576" w:lineRule="exact"/>
        <w:ind w:left="0" w:firstLine="1600" w:firstLineChars="500"/>
        <w:jc w:val="both"/>
        <w:textAlignment w:val="auto"/>
        <w:rPr>
          <w:rFonts w:ascii="仿宋_GB2312" w:eastAsia="仿宋_GB2312" w:cs="仿宋_GB2312"/>
          <w:bCs/>
          <w:sz w:val="32"/>
          <w:szCs w:val="32"/>
          <w:lang w:val="en-US" w:eastAsia="zh-CN"/>
        </w:rPr>
      </w:pPr>
      <w:r>
        <w:rPr>
          <w:rFonts w:ascii="仿宋_GB2312" w:eastAsia="仿宋_GB2312" w:cs="仿宋_GB2312"/>
          <w:bCs/>
          <w:sz w:val="32"/>
          <w:szCs w:val="32"/>
          <w:lang w:val="en-US" w:eastAsia="zh-CN"/>
        </w:rPr>
        <w:t>2.专项预算绩效自评实地踏勘点位清单表</w:t>
      </w:r>
    </w:p>
    <w:p>
      <w:pPr>
        <w:keepNext w:val="0"/>
        <w:keepLines w:val="0"/>
        <w:pageBreakBefore w:val="0"/>
        <w:widowControl w:val="0"/>
        <w:kinsoku/>
        <w:wordWrap/>
        <w:overflowPunct/>
        <w:topLinePunct w:val="0"/>
        <w:autoSpaceDE/>
        <w:autoSpaceDN/>
        <w:bidi w:val="0"/>
        <w:adjustRightInd w:val="0"/>
        <w:snapToGrid w:val="0"/>
        <w:spacing w:line="576" w:lineRule="exact"/>
        <w:ind w:left="0" w:firstLine="1600" w:firstLineChars="500"/>
        <w:jc w:val="both"/>
        <w:textAlignment w:val="auto"/>
        <w:rPr>
          <w:rFonts w:hint="eastAsia" w:ascii="仿宋_GB2312" w:eastAsia="仿宋_GB2312" w:cs="仿宋_GB2312"/>
          <w:sz w:val="32"/>
          <w:szCs w:val="32"/>
          <w:lang w:val="en-US" w:eastAsia="zh-CN" w:bidi="ar-SA"/>
        </w:rPr>
      </w:pPr>
      <w:r>
        <w:rPr>
          <w:rFonts w:hint="eastAsia" w:ascii="仿宋_GB2312" w:eastAsia="仿宋_GB2312" w:cs="仿宋_GB2312"/>
          <w:bCs/>
          <w:sz w:val="32"/>
          <w:szCs w:val="32"/>
          <w:lang w:val="en-US" w:eastAsia="zh-CN"/>
        </w:rPr>
        <w:t>3.</w:t>
      </w:r>
      <w:r>
        <w:rPr>
          <w:rFonts w:ascii="仿宋_GB2312" w:eastAsia="仿宋_GB2312" w:cs="仿宋_GB2312"/>
          <w:bCs/>
          <w:sz w:val="32"/>
          <w:szCs w:val="32"/>
          <w:lang w:val="en-US" w:eastAsia="zh-CN"/>
        </w:rPr>
        <w:t>专项预算项目绩效目标完成情况自评表</w:t>
      </w:r>
    </w:p>
    <w:p>
      <w:pPr>
        <w:rPr>
          <w:rFonts w:hint="eastAsia" w:ascii="仿宋_GB2312" w:eastAsia="仿宋_GB2312" w:cs="仿宋_GB2312"/>
          <w:sz w:val="32"/>
          <w:szCs w:val="32"/>
          <w:lang w:val="en-US" w:eastAsia="zh-CN" w:bidi="ar-SA"/>
        </w:rPr>
      </w:pPr>
    </w:p>
    <w:p>
      <w:pPr>
        <w:rPr>
          <w:rFonts w:hint="eastAsia" w:ascii="仿宋_GB2312" w:eastAsia="仿宋_GB2312" w:cs="仿宋_GB2312"/>
          <w:sz w:val="32"/>
          <w:szCs w:val="32"/>
          <w:lang w:val="en-US" w:eastAsia="zh-CN" w:bidi="ar-SA"/>
        </w:rPr>
      </w:pPr>
    </w:p>
    <w:p>
      <w:pPr>
        <w:rPr>
          <w:rFonts w:ascii="仿宋_GB2312" w:eastAsia="仿宋_GB2312" w:cs="仿宋_GB2312"/>
          <w:sz w:val="32"/>
          <w:szCs w:val="32"/>
          <w:lang w:val="en-US" w:eastAsia="zh-CN" w:bidi="ar-SA"/>
        </w:rPr>
      </w:pPr>
    </w:p>
    <w:p>
      <w:pPr>
        <w:keepNext w:val="0"/>
        <w:keepLines w:val="0"/>
        <w:pageBreakBefore w:val="0"/>
        <w:widowControl w:val="0"/>
        <w:kinsoku/>
        <w:wordWrap w:val="0"/>
        <w:overflowPunct/>
        <w:topLinePunct w:val="0"/>
        <w:autoSpaceDE/>
        <w:autoSpaceDN/>
        <w:bidi w:val="0"/>
        <w:adjustRightInd/>
        <w:snapToGrid/>
        <w:spacing w:beforeAutospacing="0" w:afterAutospacing="0" w:line="560" w:lineRule="exact"/>
        <w:jc w:val="right"/>
        <w:textAlignment w:val="auto"/>
        <w:rPr>
          <w:rFonts w:ascii="仿宋_GB2312" w:eastAsia="仿宋_GB2312" w:cs="仿宋_GB2312"/>
          <w:sz w:val="32"/>
          <w:szCs w:val="32"/>
          <w:lang w:val="en-US" w:eastAsia="zh-CN"/>
        </w:rPr>
      </w:pPr>
      <w:r>
        <w:rPr>
          <w:rFonts w:hint="eastAsia" w:ascii="仿宋_GB2312" w:eastAsia="仿宋_GB2312" w:cs="仿宋_GB2312"/>
          <w:sz w:val="32"/>
          <w:szCs w:val="32"/>
          <w:lang w:val="en-US" w:eastAsia="zh-CN"/>
        </w:rPr>
        <w:t xml:space="preserve">  </w:t>
      </w:r>
      <w:r>
        <w:rPr>
          <w:rFonts w:hint="eastAsia" w:ascii="仿宋_GB2312" w:eastAsia="仿宋_GB2312" w:cs="仿宋_GB2312"/>
          <w:sz w:val="32"/>
          <w:szCs w:val="32"/>
        </w:rPr>
        <w:t>黑水县</w:t>
      </w:r>
      <w:r>
        <w:rPr>
          <w:rFonts w:hint="eastAsia" w:ascii="仿宋_GB2312" w:eastAsia="仿宋_GB2312" w:cs="仿宋_GB2312"/>
          <w:sz w:val="32"/>
          <w:szCs w:val="32"/>
          <w:lang w:val="en-US" w:eastAsia="zh-CN"/>
        </w:rPr>
        <w:t xml:space="preserve">卡龙镇人民政府        </w:t>
      </w:r>
    </w:p>
    <w:p>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880" w:firstLineChars="200"/>
        <w:textAlignment w:val="auto"/>
        <w:rPr>
          <w:rFonts w:hint="eastAsia" w:ascii="仿宋_GB2312" w:eastAsia="仿宋_GB2312" w:cs="仿宋_GB2312"/>
          <w:sz w:val="32"/>
          <w:szCs w:val="32"/>
          <w:lang w:val="en-US" w:eastAsia="zh-CN"/>
        </w:rPr>
      </w:pPr>
      <w:r>
        <w:rPr>
          <w:rFonts w:hint="eastAsia" w:ascii="方正小标宋_GBK" w:eastAsia="方正小标宋_GBK" w:cs="方正小标宋_GBK"/>
          <w:sz w:val="44"/>
          <w:szCs w:val="44"/>
          <w:lang w:val="en-US" w:eastAsia="zh-CN"/>
        </w:rPr>
        <w:t xml:space="preserve">        </w:t>
      </w:r>
      <w:r>
        <w:rPr>
          <w:rFonts w:hint="eastAsia" w:ascii="仿宋_GB2312" w:eastAsia="仿宋_GB2312" w:cs="仿宋_GB2312"/>
          <w:sz w:val="32"/>
          <w:szCs w:val="32"/>
          <w:lang w:val="en-US" w:eastAsia="zh-CN"/>
        </w:rPr>
        <w:t xml:space="preserve"> </w:t>
      </w:r>
      <w:r>
        <w:rPr>
          <w:rFonts w:hint="eastAsia" w:cs="仿宋_GB2312"/>
          <w:sz w:val="32"/>
          <w:szCs w:val="32"/>
          <w:lang w:val="en-US" w:eastAsia="zh-CN"/>
        </w:rPr>
        <w:t xml:space="preserve">         </w:t>
      </w:r>
      <w:r>
        <w:rPr>
          <w:rFonts w:ascii="Times New Roman" w:hAnsi="Times New Roman" w:cs="Times New Roman"/>
          <w:sz w:val="32"/>
          <w:szCs w:val="32"/>
          <w:lang w:val="en-US" w:eastAsia="zh-CN"/>
        </w:rPr>
        <w:t xml:space="preserve">  </w:t>
      </w:r>
      <w:r>
        <w:rPr>
          <w:rFonts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lang w:val="en-US" w:eastAsia="zh-CN"/>
        </w:rPr>
        <w:t>年</w:t>
      </w:r>
      <w:r>
        <w:rPr>
          <w:rFonts w:hint="eastAsia" w:ascii="Times New Roman" w:hAnsi="Times New Roman" w:cs="Times New Roman"/>
          <w:sz w:val="32"/>
          <w:szCs w:val="32"/>
          <w:lang w:val="en-US" w:eastAsia="zh-CN"/>
        </w:rPr>
        <w:t>4</w:t>
      </w:r>
      <w:r>
        <w:rPr>
          <w:rFonts w:ascii="Times New Roman" w:hAnsi="Times New Roman" w:eastAsia="仿宋_GB2312" w:cs="Times New Roman"/>
          <w:sz w:val="32"/>
          <w:szCs w:val="32"/>
          <w:lang w:val="en-US" w:eastAsia="zh-CN"/>
        </w:rPr>
        <w:t>月</w:t>
      </w:r>
      <w:r>
        <w:rPr>
          <w:rFonts w:hint="eastAsia" w:ascii="Times New Roman" w:hAnsi="Times New Roman" w:cs="Times New Roman"/>
          <w:sz w:val="32"/>
          <w:szCs w:val="32"/>
          <w:lang w:val="en-US" w:eastAsia="zh-CN"/>
        </w:rPr>
        <w:t>28</w:t>
      </w:r>
      <w:r>
        <w:rPr>
          <w:rFonts w:ascii="Times New Roman" w:hAnsi="Times New Roman" w:eastAsia="仿宋_GB2312" w:cs="Times New Roman"/>
          <w:sz w:val="32"/>
          <w:szCs w:val="32"/>
          <w:lang w:val="en-US" w:eastAsia="zh-CN"/>
        </w:rPr>
        <w:t xml:space="preserve">日 </w:t>
      </w:r>
    </w:p>
    <w:p>
      <w:pPr>
        <w:ind w:left="0" w:firstLine="0" w:firstLineChars="0"/>
        <w:rPr>
          <w:lang w:val="en-US" w:eastAsia="zh-CN"/>
        </w:rPr>
      </w:pPr>
    </w:p>
    <w:p>
      <w:pPr>
        <w:ind w:left="0" w:firstLine="0" w:firstLineChars="0"/>
        <w:rPr>
          <w:lang w:val="en-US" w:eastAsia="zh-CN"/>
        </w:rPr>
      </w:pPr>
    </w:p>
    <w:p>
      <w:pPr>
        <w:ind w:left="0" w:firstLine="0" w:firstLineChars="0"/>
        <w:rPr>
          <w:lang w:val="en-US" w:eastAsia="zh-CN"/>
        </w:rPr>
      </w:pPr>
    </w:p>
    <w:p>
      <w:pPr>
        <w:ind w:left="0" w:firstLine="0" w:firstLineChars="0"/>
        <w:rPr>
          <w:rFonts w:hint="eastAsia"/>
          <w:lang w:val="en-US" w:eastAsia="zh-CN"/>
        </w:rPr>
      </w:pPr>
    </w:p>
    <w:tbl>
      <w:tblPr>
        <w:tblStyle w:val="16"/>
        <w:tblpPr w:leftFromText="180" w:rightFromText="180" w:vertAnchor="text" w:horzAnchor="page" w:tblpX="1852" w:tblpY="70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522" w:type="dxa"/>
            <w:tcBorders>
              <w:top w:val="single" w:color="auto" w:sz="4" w:space="0"/>
              <w:left w:val="nil"/>
              <w:bottom w:val="single" w:color="auto" w:sz="4" w:space="0"/>
              <w:right w:val="nil"/>
            </w:tcBorders>
            <w:noWrap/>
          </w:tcPr>
          <w:p>
            <w:pPr>
              <w:keepNext w:val="0"/>
              <w:keepLines w:val="0"/>
              <w:pageBreakBefore w:val="0"/>
              <w:widowControl w:val="0"/>
              <w:kinsoku/>
              <w:wordWrap/>
              <w:overflowPunct/>
              <w:topLinePunct w:val="0"/>
              <w:autoSpaceDE/>
              <w:autoSpaceDN/>
              <w:bidi w:val="0"/>
              <w:adjustRightInd/>
              <w:snapToGrid/>
              <w:spacing w:line="560" w:lineRule="exact"/>
              <w:ind w:left="0" w:firstLine="0" w:firstLineChars="0"/>
              <w:jc w:val="left"/>
              <w:textAlignment w:val="auto"/>
              <w:rPr>
                <w:rFonts w:hint="eastAsia" w:ascii="仿宋_GB2312" w:eastAsia="仿宋_GB2312" w:cs="仿宋_GB2312"/>
                <w:color w:val="000000"/>
                <w:sz w:val="32"/>
                <w:szCs w:val="32"/>
                <w:lang w:val="en-US" w:eastAsia="zh-CN" w:bidi="ar-SA"/>
              </w:rPr>
            </w:pPr>
            <w:r>
              <w:rPr>
                <w:rFonts w:hint="eastAsia" w:ascii="仿宋_GB2312" w:eastAsia="仿宋_GB2312" w:cs="仿宋_GB2312"/>
                <w:color w:val="000000"/>
                <w:sz w:val="32"/>
                <w:szCs w:val="32"/>
                <w:lang w:val="en-US" w:eastAsia="zh-CN" w:bidi="ar-SA"/>
              </w:rPr>
              <w:t xml:space="preserve">卡龙镇人民政府　               </w:t>
            </w:r>
            <w:r>
              <w:rPr>
                <w:rFonts w:ascii="Times New Roman" w:hAnsi="Times New Roman" w:eastAsia="仿宋_GB2312" w:cs="Times New Roman"/>
                <w:color w:val="000000"/>
                <w:sz w:val="32"/>
                <w:szCs w:val="32"/>
                <w:lang w:val="en-US" w:eastAsia="zh-CN" w:bidi="ar-SA"/>
              </w:rPr>
              <w:t xml:space="preserve"> 202</w:t>
            </w:r>
            <w:r>
              <w:rPr>
                <w:rFonts w:hint="eastAsia" w:ascii="Times New Roman" w:hAnsi="Times New Roman" w:eastAsia="仿宋_GB2312" w:cs="Times New Roman"/>
                <w:color w:val="000000"/>
                <w:sz w:val="32"/>
                <w:szCs w:val="32"/>
                <w:lang w:val="en-US" w:eastAsia="zh-CN" w:bidi="ar-SA"/>
              </w:rPr>
              <w:t>5</w:t>
            </w:r>
            <w:r>
              <w:rPr>
                <w:rFonts w:ascii="Times New Roman" w:hAnsi="Times New Roman" w:eastAsia="仿宋_GB2312" w:cs="Times New Roman"/>
                <w:color w:val="000000"/>
                <w:sz w:val="32"/>
                <w:szCs w:val="32"/>
                <w:lang w:val="en-US" w:eastAsia="zh-CN" w:bidi="ar-SA"/>
              </w:rPr>
              <w:t>年</w:t>
            </w:r>
            <w:r>
              <w:rPr>
                <w:rFonts w:hint="eastAsia" w:ascii="Times New Roman" w:hAnsi="Times New Roman" w:eastAsia="仿宋_GB2312" w:cs="Times New Roman"/>
                <w:color w:val="000000"/>
                <w:sz w:val="32"/>
                <w:szCs w:val="32"/>
                <w:lang w:val="en-US" w:eastAsia="zh-CN" w:bidi="ar-SA"/>
              </w:rPr>
              <w:t>4</w:t>
            </w:r>
            <w:r>
              <w:rPr>
                <w:rFonts w:ascii="Times New Roman" w:hAnsi="Times New Roman" w:eastAsia="仿宋_GB2312" w:cs="Times New Roman"/>
                <w:color w:val="000000"/>
                <w:sz w:val="32"/>
                <w:szCs w:val="32"/>
                <w:lang w:val="en-US" w:eastAsia="zh-CN" w:bidi="ar-SA"/>
              </w:rPr>
              <w:t>月</w:t>
            </w:r>
            <w:r>
              <w:rPr>
                <w:rFonts w:hint="eastAsia" w:ascii="Times New Roman" w:hAnsi="Times New Roman" w:eastAsia="仿宋_GB2312" w:cs="Times New Roman"/>
                <w:color w:val="000000"/>
                <w:sz w:val="32"/>
                <w:szCs w:val="32"/>
                <w:lang w:val="en-US" w:eastAsia="zh-CN" w:bidi="ar-SA"/>
              </w:rPr>
              <w:t>28</w:t>
            </w:r>
            <w:r>
              <w:rPr>
                <w:rFonts w:ascii="Times New Roman" w:hAnsi="Times New Roman" w:eastAsia="仿宋_GB2312" w:cs="Times New Roman"/>
                <w:color w:val="000000"/>
                <w:sz w:val="32"/>
                <w:szCs w:val="32"/>
                <w:lang w:val="en-US" w:eastAsia="zh-CN" w:bidi="ar-SA"/>
              </w:rPr>
              <w:t>日印</w:t>
            </w:r>
          </w:p>
        </w:tc>
      </w:tr>
    </w:tbl>
    <w:p>
      <w:pPr>
        <w:keepNext w:val="0"/>
        <w:keepLines w:val="0"/>
        <w:pageBreakBefore w:val="0"/>
        <w:widowControl w:val="0"/>
        <w:kinsoku/>
        <w:wordWrap/>
        <w:overflowPunct/>
        <w:topLinePunct w:val="0"/>
        <w:autoSpaceDE/>
        <w:autoSpaceDN/>
        <w:bidi w:val="0"/>
        <w:adjustRightInd/>
        <w:snapToGrid/>
        <w:spacing w:line="560" w:lineRule="exact"/>
        <w:ind w:left="0" w:firstLine="320" w:firstLineChars="100"/>
        <w:jc w:val="both"/>
        <w:textAlignment w:val="auto"/>
        <w:rPr>
          <w:rFonts w:ascii="Times New Roman" w:hAnsi="Times New Roman" w:eastAsia="黑体" w:cs="Times New Roman"/>
          <w:b w:val="0"/>
          <w:bCs w:val="0"/>
          <w:color w:val="auto"/>
          <w:kern w:val="0"/>
          <w:sz w:val="32"/>
          <w:szCs w:val="32"/>
          <w:highlight w:val="none"/>
          <w:u w:val="none"/>
          <w:shd w:val="clear" w:color="auto" w:fill="FFFFFF"/>
          <w:lang w:val="zh-CN" w:eastAsia="zh-CN"/>
        </w:rPr>
      </w:pPr>
      <w:r>
        <w:rPr>
          <w:rFonts w:hint="eastAsia" w:ascii="黑体" w:eastAsia="黑体" w:cs="黑体"/>
          <w:sz w:val="32"/>
          <w:szCs w:val="32"/>
          <w:lang w:val="en-US" w:eastAsia="zh-CN" w:bidi="ar-SA"/>
        </w:rPr>
        <w:t>信息公开选项：</w:t>
      </w:r>
      <w:r>
        <w:rPr>
          <w:rFonts w:hint="eastAsia" w:ascii="方正小标宋_GBK" w:eastAsia="方正小标宋_GBK" w:cs="方正小标宋_GBK"/>
          <w:sz w:val="32"/>
          <w:szCs w:val="32"/>
          <w:lang w:val="en-US" w:eastAsia="zh-CN" w:bidi="ar-SA"/>
        </w:rPr>
        <w:t>依申请公开</w:t>
      </w:r>
    </w:p>
    <w:p>
      <w:pPr>
        <w:keepNext w:val="0"/>
        <w:keepLines w:val="0"/>
        <w:pageBreakBefore w:val="0"/>
        <w:widowControl w:val="0"/>
        <w:kinsoku/>
        <w:wordWrap/>
        <w:overflowPunct/>
        <w:topLinePunct w:val="0"/>
        <w:autoSpaceDE/>
        <w:autoSpaceDN/>
        <w:bidi w:val="0"/>
        <w:adjustRightInd/>
        <w:snapToGrid w:val="0"/>
        <w:spacing w:line="578" w:lineRule="exact"/>
        <w:textAlignment w:val="auto"/>
        <w:outlineLvl w:val="9"/>
        <w:rPr>
          <w:rFonts w:ascii="Times New Roman" w:hAnsi="Times New Roman" w:eastAsia="黑体" w:cs="Times New Roman"/>
          <w:b w:val="0"/>
          <w:bCs w:val="0"/>
          <w:color w:val="auto"/>
          <w:kern w:val="0"/>
          <w:sz w:val="32"/>
          <w:szCs w:val="32"/>
          <w:highlight w:val="none"/>
          <w:u w:val="none"/>
          <w:shd w:val="clear" w:color="auto" w:fill="FFFFFF"/>
          <w:lang w:val="en-US" w:eastAsia="zh-CN"/>
        </w:rPr>
      </w:pPr>
      <w:r>
        <w:rPr>
          <w:rFonts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6"/>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指标解释</w:t>
            </w:r>
          </w:p>
        </w:tc>
        <w:tc>
          <w:tcPr>
            <w:tcW w:w="732" w:type="dxa"/>
            <w:vMerge w:val="restart"/>
            <w:tcBorders>
              <w:top w:val="single" w:color="000000" w:sz="4" w:space="0"/>
              <w:left w:val="single" w:color="000000" w:sz="4" w:space="0"/>
              <w:bottom w:val="nil"/>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自评得分</w:t>
            </w:r>
          </w:p>
        </w:tc>
        <w:tc>
          <w:tcPr>
            <w:tcW w:w="468" w:type="dxa"/>
            <w:vMerge w:val="restart"/>
            <w:tcBorders>
              <w:top w:val="single" w:color="000000" w:sz="4" w:space="0"/>
              <w:left w:val="single" w:color="000000" w:sz="4" w:space="0"/>
              <w:bottom w:val="nil"/>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二级指标</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三级指标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w:t>
            </w:r>
            <w:r>
              <w:rPr>
                <w:rFonts w:hint="eastAsia" w:ascii="黑体" w:eastAsia="黑体" w:cs="黑体"/>
                <w:i w:val="0"/>
                <w:color w:val="000000"/>
                <w:kern w:val="0"/>
                <w:sz w:val="24"/>
                <w:szCs w:val="24"/>
                <w:u w:val="none"/>
                <w:lang w:val="en-US" w:eastAsia="zh-CN"/>
              </w:rPr>
              <w:br w:type="textWrapping"/>
            </w:r>
            <w:r>
              <w:rPr>
                <w:rFonts w:hint="eastAsia" w:ascii="黑体" w:eastAsia="黑体" w:cs="黑体"/>
                <w:i w:val="0"/>
                <w:color w:val="000000"/>
                <w:kern w:val="0"/>
                <w:sz w:val="24"/>
                <w:szCs w:val="24"/>
                <w:u w:val="none"/>
                <w:lang w:val="en-US" w:eastAsia="zh-CN"/>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32" w:type="dxa"/>
            <w:vMerge w:val="continue"/>
            <w:tcBorders>
              <w:top w:val="nil"/>
              <w:left w:val="single" w:color="000000" w:sz="4" w:space="0"/>
              <w:bottom w:val="single" w:color="000000" w:sz="4" w:space="0"/>
              <w:right w:val="single" w:color="000000" w:sz="4" w:space="0"/>
            </w:tcBorders>
            <w:noWrap/>
            <w:vAlign w:val="center"/>
          </w:tcPr>
          <w:p/>
        </w:tc>
        <w:tc>
          <w:tcPr>
            <w:tcW w:w="468" w:type="dxa"/>
            <w:vMerge w:val="continue"/>
            <w:tcBorders>
              <w:top w:val="nil"/>
              <w:left w:val="single" w:color="000000" w:sz="4" w:space="0"/>
              <w:bottom w:val="single" w:color="000000" w:sz="4" w:space="0"/>
              <w:right w:val="single" w:color="000000" w:sz="4" w:space="0"/>
            </w:tcBorders>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通用指标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项目决策</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决策程序</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firstLine="0" w:firstLineChars="0"/>
              <w:jc w:val="both"/>
              <w:textAlignment w:val="center"/>
              <w:rPr>
                <w:rFonts w:hint="eastAsia" w:ascii="宋体" w:eastAsia="宋体" w:cs="宋体"/>
                <w:i w:val="0"/>
                <w:color w:val="000000"/>
                <w:kern w:val="0"/>
                <w:sz w:val="24"/>
                <w:szCs w:val="24"/>
                <w:u w:val="none"/>
                <w:lang w:val="en-US" w:eastAsia="zh-CN"/>
              </w:rPr>
            </w:pPr>
            <w:r>
              <w:rPr>
                <w:rFonts w:ascii="东文宋体" w:eastAsia="东文宋体" w:cs="东文宋体"/>
                <w:i w:val="0"/>
                <w:iCs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规划论证</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资金投向</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制度办法</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2</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2</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分配管理</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绩效监管</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项目实施</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预算执行</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资金使用</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项目结果</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目标完成</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完成时效</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专用指标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产业发展</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符合性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成长性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经济性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民生保障</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区域均衡性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对象精准性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标准合理性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群众满意度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基础</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设施</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在建</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工程进度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资金拨付</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建成</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项目验收</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功能实现</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9</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后续管护</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9</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专用指标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行政运转</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用途合规性</w:t>
            </w:r>
          </w:p>
        </w:tc>
        <w:tc>
          <w:tcPr>
            <w:tcW w:w="696"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程序合规性</w:t>
            </w:r>
          </w:p>
        </w:tc>
        <w:tc>
          <w:tcPr>
            <w:tcW w:w="696"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标准合规性</w:t>
            </w:r>
          </w:p>
        </w:tc>
        <w:tc>
          <w:tcPr>
            <w:tcW w:w="696"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个性指标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（16分）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满意度指标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8</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按根据实际满意度与满意度标准值的比率计算指标得分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成本指标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8</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不合理       较合理      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扣分项</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被评价</w:t>
            </w:r>
            <w:r>
              <w:rPr>
                <w:rFonts w:hint="eastAsia" w:ascii="宋体" w:eastAsia="宋体" w:cs="宋体"/>
                <w:i w:val="0"/>
                <w:color w:val="000000"/>
                <w:kern w:val="0"/>
                <w:sz w:val="24"/>
                <w:szCs w:val="24"/>
                <w:u w:val="none"/>
                <w:lang w:val="en-US" w:eastAsia="zh-CN"/>
              </w:rPr>
              <w:br w:type="textWrapping"/>
            </w:r>
            <w:r>
              <w:rPr>
                <w:rFonts w:hint="eastAsia" w:ascii="宋体" w:eastAsia="宋体" w:cs="宋体"/>
                <w:i w:val="0"/>
                <w:color w:val="000000"/>
                <w:kern w:val="0"/>
                <w:sz w:val="24"/>
                <w:szCs w:val="24"/>
                <w:u w:val="none"/>
                <w:lang w:val="en-US" w:eastAsia="zh-CN"/>
              </w:rPr>
              <w:t>部门配合度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bl>
    <w:p>
      <w:pPr>
        <w:keepNext w:val="0"/>
        <w:keepLines w:val="0"/>
        <w:pageBreakBefore w:val="0"/>
        <w:widowControl w:val="0"/>
        <w:kinsoku/>
        <w:wordWrap/>
        <w:overflowPunct/>
        <w:topLinePunct w:val="0"/>
        <w:autoSpaceDE/>
        <w:autoSpaceDN/>
        <w:bidi w:val="0"/>
        <w:spacing w:line="578" w:lineRule="exact"/>
        <w:jc w:val="both"/>
        <w:textAlignment w:val="auto"/>
        <w:rPr>
          <w:lang w:val="en-US" w:eastAsia="zh-CN"/>
        </w:rPr>
      </w:pPr>
      <w:r>
        <w:rPr>
          <w:rFonts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hAnsi="Times New Roman" w:eastAsia="方正小标宋_GBK" w:cs="Times New Roman"/>
          <w:b w:val="0"/>
          <w:bCs w:val="0"/>
          <w:color w:val="auto"/>
          <w:sz w:val="40"/>
          <w:szCs w:val="40"/>
          <w:highlight w:val="none"/>
          <w:u w:val="none"/>
          <w:lang w:val="en-US" w:eastAsia="zh-CN"/>
        </w:rPr>
      </w:pPr>
      <w:r>
        <w:rPr>
          <w:rFonts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tbl>
      <w:tblPr>
        <w:tblStyle w:val="16"/>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458"/>
        <w:gridCol w:w="1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val="en-US" w:eastAsia="zh-CN"/>
              </w:rPr>
            </w:pPr>
            <w:r>
              <w:rPr>
                <w:rFonts w:ascii="Times New Roman" w:hAnsi="Times New Roman" w:eastAsia="黑体" w:cs="Times New Roman"/>
                <w:b w:val="0"/>
                <w:bCs w:val="0"/>
                <w:color w:val="auto"/>
                <w:sz w:val="24"/>
                <w:szCs w:val="24"/>
                <w:highlight w:val="none"/>
                <w:u w:val="none"/>
                <w:vertAlign w:val="baseline"/>
                <w:lang w:val="en-US" w:eastAsia="zh-CN"/>
              </w:rPr>
              <w:t>序号</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eastAsia="zh-CN"/>
              </w:rPr>
            </w:pPr>
            <w:r>
              <w:rPr>
                <w:rFonts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val="en-US" w:eastAsia="zh-CN"/>
              </w:rPr>
            </w:pPr>
            <w:r>
              <w:rPr>
                <w:rFonts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1</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卡龙镇人民政府</w:t>
            </w: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2</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3</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4</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5</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6</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7</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8</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val="en-US" w:eastAsia="zh-CN"/>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9</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10</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11</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12</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13</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14</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15</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16</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17</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18</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19</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r>
              <w:rPr>
                <w:rFonts w:hint="eastAsia" w:cs="Times New Roman"/>
                <w:color w:val="auto"/>
                <w:sz w:val="24"/>
                <w:szCs w:val="24"/>
                <w:highlight w:val="none"/>
                <w:u w:val="none"/>
                <w:vertAlign w:val="baseline"/>
                <w:lang w:eastAsia="zh-CN"/>
              </w:rPr>
              <w:t>……</w:t>
            </w: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20</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eastAsia="zh-CN"/>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firstLine="0" w:firstLineChars="0"/>
        <w:jc w:val="center"/>
        <w:textAlignment w:val="auto"/>
        <w:rPr>
          <w:rFonts w:ascii="Times New Roman" w:hAnsi="Times New Roman" w:eastAsia="宋体" w:cs="Times New Roman"/>
          <w:b w:val="0"/>
          <w:bCs w:val="0"/>
          <w:color w:val="auto"/>
          <w:sz w:val="21"/>
          <w:szCs w:val="21"/>
          <w:highlight w:val="none"/>
          <w:u w:val="none"/>
          <w:vertAlign w:val="baseline"/>
          <w:lang w:val="en-US" w:eastAsia="zh-CN"/>
        </w:rPr>
      </w:pPr>
      <w:r>
        <w:rPr>
          <w:rFonts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ascii="Times New Roman" w:hAnsi="Times New Roman" w:eastAsia="宋体" w:cs="Times New Roman"/>
          <w:b w:val="0"/>
          <w:bCs w:val="0"/>
          <w:color w:val="auto"/>
          <w:sz w:val="21"/>
          <w:szCs w:val="21"/>
          <w:highlight w:val="none"/>
          <w:u w:val="none"/>
          <w:vertAlign w:val="baseline"/>
          <w:lang w:val="en-US" w:eastAsia="zh-CN"/>
        </w:rPr>
        <w:t>等。</w:t>
      </w:r>
    </w:p>
    <w:p>
      <w:pPr>
        <w:rPr>
          <w:rFonts w:ascii="Times New Roman" w:hAnsi="Times New Roman" w:eastAsia="黑体"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9"/>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3</w:t>
      </w:r>
    </w:p>
    <w:tbl>
      <w:tblPr>
        <w:tblStyle w:val="16"/>
        <w:tblW w:w="10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321"/>
        <w:gridCol w:w="1009"/>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2" w:type="dxa"/>
            <w:gridSpan w:val="9"/>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ascii="黑体" w:eastAsia="黑体" w:cs="黑体"/>
                <w:i w:val="0"/>
                <w:color w:val="000000"/>
                <w:sz w:val="30"/>
                <w:szCs w:val="30"/>
                <w:u w:val="none"/>
              </w:rPr>
            </w:pPr>
            <w:r>
              <w:rPr>
                <w:rFonts w:hint="eastAsia" w:ascii="方正小标宋_GBK" w:eastAsia="方正小标宋_GBK" w:cs="方正小标宋_GBK"/>
                <w:i w:val="0"/>
                <w:color w:val="000000"/>
                <w:kern w:val="0"/>
                <w:sz w:val="40"/>
                <w:szCs w:val="40"/>
                <w:u w:val="none"/>
                <w:lang w:val="en-US" w:eastAsia="zh-CN"/>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ascii="宋体" w:hAnsi="宋体" w:cs="宋体"/>
                <w:color w:val="000000"/>
                <w:kern w:val="0"/>
                <w:sz w:val="24"/>
                <w:szCs w:val="24"/>
                <w:lang w:val="en-US" w:eastAsia="zh-CN" w:bidi="ar-SA"/>
              </w:rPr>
            </w:pPr>
            <w:r>
              <w:rPr>
                <w:rFonts w:hint="eastAsia" w:ascii="宋体" w:hAnsi="宋体" w:cs="宋体"/>
                <w:color w:val="000000"/>
                <w:kern w:val="0"/>
                <w:sz w:val="24"/>
                <w:szCs w:val="24"/>
                <w:lang w:eastAsia="zh-CN" w:bidi="ar-SA"/>
              </w:rPr>
              <w:t>卡龙镇才盖村新型农村集体经济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hAnsi="宋体" w:cs="宋体"/>
                <w:color w:val="000000"/>
                <w:kern w:val="0"/>
                <w:sz w:val="24"/>
                <w:szCs w:val="24"/>
                <w:lang w:eastAsia="zh-CN" w:bidi="ar-SA"/>
              </w:rPr>
            </w:pPr>
            <w:r>
              <w:rPr>
                <w:rFonts w:hint="eastAsia" w:ascii="宋体" w:hAnsi="宋体" w:cs="宋体"/>
                <w:color w:val="000000"/>
                <w:kern w:val="0"/>
                <w:sz w:val="24"/>
                <w:szCs w:val="24"/>
                <w:lang w:eastAsia="zh-CN" w:bidi="ar-SA"/>
              </w:rPr>
              <w:t>黑水县</w:t>
            </w:r>
            <w:r>
              <w:rPr>
                <w:rFonts w:hint="eastAsia" w:ascii="宋体" w:hAnsi="宋体" w:cs="宋体"/>
                <w:color w:val="000000"/>
                <w:kern w:val="0"/>
                <w:sz w:val="24"/>
                <w:szCs w:val="24"/>
                <w:lang w:val="en-US" w:eastAsia="zh-CN" w:bidi="ar-SA"/>
              </w:rPr>
              <w:t>卡龙镇</w:t>
            </w:r>
            <w:r>
              <w:rPr>
                <w:rFonts w:hint="eastAsia" w:ascii="宋体" w:hAnsi="宋体" w:cs="宋体"/>
                <w:color w:val="000000"/>
                <w:kern w:val="0"/>
                <w:sz w:val="24"/>
                <w:szCs w:val="24"/>
                <w:lang w:eastAsia="zh-CN" w:bidi="ar-SA"/>
              </w:rPr>
              <w:t>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hAnsi="宋体" w:cs="宋体"/>
                <w:color w:val="000000"/>
                <w:kern w:val="0"/>
                <w:sz w:val="24"/>
                <w:szCs w:val="24"/>
                <w:lang w:eastAsia="zh-CN" w:bidi="ar-SA"/>
              </w:rPr>
            </w:pPr>
            <w:r>
              <w:rPr>
                <w:rFonts w:hint="eastAsia" w:ascii="宋体" w:hAnsi="宋体" w:cs="宋体"/>
                <w:color w:val="000000"/>
                <w:kern w:val="0"/>
                <w:sz w:val="24"/>
                <w:szCs w:val="24"/>
                <w:lang w:eastAsia="zh-CN" w:bidi="ar-SA"/>
              </w:rPr>
              <w:t>一次性项目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5"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 概况</w:t>
            </w: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r>
              <w:rPr>
                <w:rFonts w:ascii="宋体" w:eastAsia="宋体" w:cs="宋体"/>
                <w:i w:val="0"/>
                <w:color w:val="000000"/>
                <w:sz w:val="24"/>
                <w:szCs w:val="24"/>
                <w:u w:val="none"/>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val="en-US" w:eastAsia="zh-CN"/>
              </w:rPr>
              <w:t>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left"/>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Wingdings 2" w:hAnsi="Wingdings 2" w:eastAsia="Wingdings 2" w:cs="Wingdings 2"/>
                <w:i w:val="0"/>
                <w:color w:val="000000"/>
                <w:sz w:val="24"/>
                <w:szCs w:val="24"/>
                <w:u w:val="none"/>
              </w:rPr>
            </w:pPr>
            <w:r>
              <w:rPr>
                <w:rFonts w:ascii="宋体" w:eastAsia="宋体" w:cs="宋体"/>
                <w:i w:val="0"/>
                <w:color w:val="000000"/>
                <w:kern w:val="0"/>
                <w:sz w:val="24"/>
                <w:szCs w:val="24"/>
                <w:u w:val="none"/>
                <w:lang w:val="en-US" w:eastAsia="zh-CN"/>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仿宋_GB2312" w:eastAsia="仿宋_GB2312" w:cs="仿宋_GB2312"/>
                <w:i w:val="0"/>
                <w:color w:val="000000"/>
                <w:sz w:val="30"/>
                <w:szCs w:val="30"/>
                <w:u w:val="none"/>
              </w:rPr>
            </w:pPr>
            <w:r>
              <w:rPr>
                <w:rFonts w:hint="eastAsia" w:ascii="宋体" w:hAnsi="宋体" w:cs="宋体"/>
                <w:color w:val="000000"/>
                <w:kern w:val="0"/>
                <w:sz w:val="24"/>
                <w:szCs w:val="24"/>
                <w:lang w:eastAsia="zh-CN" w:bidi="ar-SA"/>
              </w:rPr>
              <w:t xml:space="preserve">黑水县卡龙镇下辖的才盖村，地处黑水县县西北部，距离县城65公里，海拔2950米。才盖村位于川西旅游线、藏羌文化走廊、大冰川大草原生态旅游线及红原旅游经济圈内卡龙沟域旅游带上，为中国传统村落，作为川西旅游村，基础配套设施落后。在此背景下，为促进经济产业发展和社会保障，维护群众利益，改善农民生活质量与水平，提出卡龙镇新型农村集体经济建设十分必要和迫切。   </w:t>
            </w:r>
            <w:r>
              <w:rPr>
                <w:rFonts w:hint="eastAsia" w:ascii="仿宋_GB2312" w:eastAsia="仿宋_GB2312" w:cs="仿宋_GB2312"/>
                <w:sz w:val="30"/>
                <w:szCs w:val="30"/>
              </w:rPr>
              <w:t xml:space="preserve">   </w:t>
            </w:r>
          </w:p>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hAnsi="宋体" w:cs="宋体"/>
                <w:color w:val="000000"/>
                <w:kern w:val="0"/>
                <w:sz w:val="24"/>
                <w:szCs w:val="24"/>
                <w:lang w:eastAsia="zh-CN" w:bidi="ar-SA"/>
              </w:rPr>
              <w:t>卡龙镇才盖村新型农村集体经济项目</w:t>
            </w:r>
            <w:r>
              <w:rPr>
                <w:rFonts w:hint="eastAsia" w:ascii="宋体" w:hAnsi="宋体" w:cs="宋体"/>
                <w:i w:val="0"/>
                <w:color w:val="000000"/>
                <w:sz w:val="24"/>
                <w:szCs w:val="24"/>
                <w:u w:val="none"/>
                <w:lang w:eastAsia="zh-CN"/>
              </w:rPr>
              <w:t>相关支出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hAnsi="宋体" w:cs="宋体"/>
                <w:i w:val="0"/>
                <w:color w:val="000000"/>
                <w:sz w:val="24"/>
                <w:szCs w:val="24"/>
                <w:u w:val="none"/>
                <w:lang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rPr>
            </w:pPr>
            <w:r>
              <w:rPr>
                <w:rFonts w:hint="eastAsia" w:eastAsia="宋体"/>
                <w:color w:val="000000"/>
                <w:kern w:val="0"/>
                <w:sz w:val="24"/>
                <w:szCs w:val="24"/>
                <w:lang w:bidi="ar-SA"/>
              </w:rPr>
              <w:t>202</w:t>
            </w:r>
            <w:r>
              <w:rPr>
                <w:rFonts w:hint="eastAsia"/>
                <w:color w:val="000000"/>
                <w:kern w:val="0"/>
                <w:sz w:val="24"/>
                <w:szCs w:val="24"/>
                <w:lang w:val="en-US" w:eastAsia="zh-CN" w:bidi="ar-SA"/>
              </w:rPr>
              <w:t>4</w:t>
            </w:r>
            <w:r>
              <w:rPr>
                <w:rFonts w:hint="eastAsia" w:eastAsia="宋体"/>
                <w:color w:val="000000"/>
                <w:kern w:val="0"/>
                <w:sz w:val="24"/>
                <w:szCs w:val="24"/>
                <w:lang w:bidi="ar-SA"/>
              </w:rPr>
              <w:t>年</w:t>
            </w:r>
            <w:r>
              <w:rPr>
                <w:rFonts w:hint="eastAsia" w:eastAsia="宋体"/>
                <w:color w:val="000000"/>
                <w:kern w:val="0"/>
                <w:sz w:val="24"/>
                <w:szCs w:val="24"/>
                <w:lang w:val="en-US" w:eastAsia="zh-CN" w:bidi="ar-SA"/>
              </w:rPr>
              <w:t>1</w:t>
            </w:r>
            <w:r>
              <w:rPr>
                <w:rFonts w:hint="eastAsia" w:eastAsia="宋体"/>
                <w:color w:val="000000"/>
                <w:kern w:val="0"/>
                <w:sz w:val="24"/>
                <w:szCs w:val="24"/>
                <w:lang w:bidi="ar-SA"/>
              </w:rPr>
              <w:t>月至</w:t>
            </w:r>
            <w:r>
              <w:rPr>
                <w:rFonts w:eastAsia="宋体"/>
                <w:color w:val="000000"/>
                <w:kern w:val="0"/>
                <w:sz w:val="24"/>
                <w:szCs w:val="24"/>
                <w:lang w:bidi="ar-SA"/>
              </w:rPr>
              <w:t>202</w:t>
            </w:r>
            <w:r>
              <w:rPr>
                <w:rFonts w:hint="eastAsia"/>
                <w:color w:val="000000"/>
                <w:kern w:val="0"/>
                <w:sz w:val="24"/>
                <w:szCs w:val="24"/>
                <w:lang w:val="en-US" w:eastAsia="zh-CN" w:bidi="ar-SA"/>
              </w:rPr>
              <w:t>4</w:t>
            </w:r>
            <w:r>
              <w:rPr>
                <w:rFonts w:hint="eastAsia" w:eastAsia="宋体"/>
                <w:color w:val="000000"/>
                <w:kern w:val="0"/>
                <w:sz w:val="24"/>
                <w:szCs w:val="24"/>
                <w:lang w:bidi="ar-SA"/>
              </w:rPr>
              <w:t>年1</w:t>
            </w:r>
            <w:r>
              <w:rPr>
                <w:rFonts w:hint="eastAsia" w:eastAsia="宋体"/>
                <w:color w:val="000000"/>
                <w:kern w:val="0"/>
                <w:sz w:val="24"/>
                <w:szCs w:val="24"/>
                <w:lang w:val="en-US" w:eastAsia="zh-CN" w:bidi="ar-SA"/>
              </w:rPr>
              <w:t>2</w:t>
            </w:r>
            <w:r>
              <w:rPr>
                <w:rFonts w:hint="eastAsia" w:eastAsia="宋体"/>
                <w:color w:val="000000"/>
                <w:kern w:val="0"/>
                <w:sz w:val="24"/>
                <w:szCs w:val="24"/>
                <w:lang w:bidi="ar-SA"/>
              </w:rPr>
              <w:t>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（万</w:t>
            </w:r>
            <w:r>
              <w:rPr>
                <w:rFonts w:hint="eastAsia" w:ascii="宋体" w:eastAsia="宋体" w:cs="宋体"/>
                <w:i w:val="0"/>
                <w:color w:val="000000"/>
                <w:kern w:val="0"/>
                <w:sz w:val="24"/>
                <w:szCs w:val="24"/>
                <w:u w:val="none"/>
                <w:lang w:val="en-US" w:eastAsia="zh-CN"/>
              </w:rPr>
              <w:t>元</w:t>
            </w:r>
            <w:r>
              <w:rPr>
                <w:rFonts w:ascii="宋体" w:eastAsia="宋体" w:cs="宋体"/>
                <w:i w:val="0"/>
                <w:color w:val="000000"/>
                <w:kern w:val="0"/>
                <w:sz w:val="24"/>
                <w:szCs w:val="24"/>
                <w:u w:val="none"/>
                <w:lang w:val="en-US" w:eastAsia="zh-CN"/>
              </w:rPr>
              <w:t>）</w:t>
            </w: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年度资金总额：      </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115.63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115.63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righ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总体 目标</w:t>
            </w: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hAnsi="宋体" w:cs="宋体"/>
                <w:color w:val="000000"/>
                <w:kern w:val="0"/>
                <w:sz w:val="24"/>
                <w:szCs w:val="24"/>
                <w:lang w:eastAsia="zh-CN" w:bidi="ar-SA"/>
              </w:rPr>
            </w:pPr>
            <w:r>
              <w:rPr>
                <w:rFonts w:hint="eastAsia" w:ascii="宋体" w:hAnsi="宋体" w:cs="宋体"/>
                <w:color w:val="000000"/>
                <w:kern w:val="0"/>
                <w:sz w:val="24"/>
                <w:szCs w:val="24"/>
                <w:lang w:eastAsia="zh-CN" w:bidi="ar-SA"/>
              </w:rPr>
              <w:t>购置相关设施设备进行全方位打造主题餐厅1处、</w:t>
            </w:r>
            <w:r>
              <w:rPr>
                <w:rFonts w:hint="eastAsia" w:ascii="宋体" w:hAnsi="宋体" w:cs="宋体"/>
                <w:color w:val="000000"/>
                <w:kern w:val="0"/>
                <w:sz w:val="24"/>
                <w:szCs w:val="24"/>
                <w:lang w:val="en-US" w:eastAsia="zh-CN" w:bidi="ar-SA"/>
              </w:rPr>
              <w:t>提升</w:t>
            </w:r>
            <w:r>
              <w:rPr>
                <w:rFonts w:hint="eastAsia" w:ascii="宋体" w:hAnsi="宋体" w:cs="宋体"/>
                <w:color w:val="000000"/>
                <w:kern w:val="0"/>
                <w:sz w:val="24"/>
                <w:szCs w:val="24"/>
                <w:lang w:eastAsia="zh-CN" w:bidi="ar-SA"/>
              </w:rPr>
              <w:t>改造茶楼1处、改造提升农产品展销区1处、规范餐饮接待。</w:t>
            </w:r>
          </w:p>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 指标</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一级指标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both"/>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改造提升农产品展销区</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处</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hint="eastAsia"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数量指标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both"/>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改造提升茶楼</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处</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数量指标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建设工期</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4</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数量指标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改造卡龙沟景区游客中心餐厅</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处</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质量指标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正常使用率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98</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时效指标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采购周期</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3</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时效指标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8月25日，资金支付进度达75%</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75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hint="eastAsia"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效益指标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可持续发展指标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规范餐饮接待</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优</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等线" w:eastAsia="等线" w:cs="等线"/>
                <w:i w:val="0"/>
                <w:iCs w:val="0"/>
                <w:color w:val="000000"/>
                <w:kern w:val="0"/>
                <w:sz w:val="18"/>
                <w:szCs w:val="18"/>
                <w:u w:val="none"/>
                <w:lang w:val="en-US" w:eastAsia="zh-CN"/>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满意度指标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满意度指标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12"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成本指标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经济成本指标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该项目投资资金</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150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115.63</w:t>
            </w:r>
          </w:p>
        </w:tc>
      </w:tr>
    </w:tbl>
    <w:p>
      <w:pPr>
        <w:spacing w:line="580" w:lineRule="exact"/>
        <w:rPr>
          <w:rStyle w:val="19"/>
          <w:rFonts w:ascii="仿宋_GB2312" w:eastAsia="仿宋_GB2312" w:cs="仿宋_GB2312"/>
          <w:b w:val="0"/>
          <w:bCs w:val="0"/>
          <w:color w:val="FFC000"/>
          <w:sz w:val="32"/>
          <w:szCs w:val="32"/>
        </w:rPr>
      </w:pPr>
    </w:p>
    <w:p>
      <w:pPr>
        <w:rPr>
          <w:rFonts w:hint="eastAsia"/>
          <w:lang w:val="en-US" w:eastAsia="zh-CN"/>
        </w:rPr>
      </w:pPr>
    </w:p>
    <w:p>
      <w:pPr>
        <w:pStyle w:val="6"/>
        <w:rPr>
          <w:rFonts w:hint="eastAsia"/>
          <w:lang w:val="en-US" w:eastAsia="zh-CN"/>
        </w:rPr>
      </w:pPr>
    </w:p>
    <w:p>
      <w:pPr>
        <w:rPr>
          <w:rFonts w:hint="eastAsia"/>
          <w:lang w:val="en-US" w:eastAsia="zh-CN"/>
        </w:rPr>
      </w:pPr>
    </w:p>
    <w:p>
      <w:pPr>
        <w:pStyle w:val="6"/>
        <w:rPr>
          <w:rFonts w:hint="eastAsia"/>
          <w:lang w:val="en-US" w:eastAsia="zh-CN"/>
        </w:rPr>
      </w:pPr>
    </w:p>
    <w:p>
      <w:pPr>
        <w:rPr>
          <w:rFonts w:hint="eastAsia"/>
          <w:lang w:val="en-US" w:eastAsia="zh-CN"/>
        </w:rPr>
      </w:pPr>
    </w:p>
    <w:p>
      <w:pPr>
        <w:pStyle w:val="6"/>
        <w:rPr>
          <w:rFonts w:hint="eastAsia"/>
          <w:lang w:val="en-US" w:eastAsia="zh-CN"/>
        </w:rPr>
      </w:pPr>
    </w:p>
    <w:p>
      <w:pPr>
        <w:rPr>
          <w:rFonts w:hint="eastAsia"/>
          <w:lang w:val="en-US" w:eastAsia="zh-CN"/>
        </w:rPr>
      </w:pPr>
    </w:p>
    <w:p>
      <w:pPr>
        <w:ind w:left="0" w:firstLine="0" w:firstLineChars="0"/>
      </w:pPr>
    </w:p>
    <w:sectPr>
      <w:footerReference r:id="rId5" w:type="default"/>
      <w:pgSz w:w="11906" w:h="16838"/>
      <w:pgMar w:top="2098" w:right="1474" w:bottom="1984" w:left="1587" w:header="851" w:footer="992" w:gutter="0"/>
      <w:pgNumType w:fmt="numberInDash"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
    <w:altName w:val="方正仿宋_GBK"/>
    <w:panose1 w:val="00000000000000000000"/>
    <w:charset w:val="00"/>
    <w:family w:val="roman"/>
    <w:pitch w:val="default"/>
    <w:sig w:usb0="00000000" w:usb1="00000000" w:usb2="00000000"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新宋体">
    <w:altName w:val="方正书宋_GBK"/>
    <w:panose1 w:val="02010609030101010101"/>
    <w:charset w:val="86"/>
    <w:family w:val="auto"/>
    <w:pitch w:val="default"/>
    <w:sig w:usb0="00000000" w:usb1="00000000" w:usb2="00000006" w:usb3="00000000" w:csb0="00040001" w:csb1="00000000"/>
  </w:font>
  <w:font w:name="方正小标宋_GBK">
    <w:panose1 w:val="02000000000000000000"/>
    <w:charset w:val="86"/>
    <w:family w:val="auto"/>
    <w:pitch w:val="default"/>
    <w:sig w:usb0="A00002BF" w:usb1="38CF7CFA" w:usb2="00082016" w:usb3="00000000" w:csb0="00040001" w:csb1="00000000"/>
  </w:font>
  <w:font w:name="东文宋体">
    <w:altName w:val="方正书宋_GBK"/>
    <w:panose1 w:val="00000000000000000000"/>
    <w:charset w:val="00"/>
    <w:family w:val="auto"/>
    <w:pitch w:val="default"/>
    <w:sig w:usb0="00000000" w:usb1="00000000" w:usb2="00000000" w:usb3="00000000" w:csb0="00040001" w:csb1="00000000"/>
  </w:font>
  <w:font w:name="Wingdings 2">
    <w:panose1 w:val="05020102010507070707"/>
    <w:charset w:val="02"/>
    <w:family w:val="roman"/>
    <w:pitch w:val="default"/>
    <w:sig w:usb0="00000000" w:usb1="00000000" w:usb2="00000000" w:usb3="00000000" w:csb0="8000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816610" cy="355600"/>
              <wp:effectExtent l="0" t="0" r="0" b="0"/>
              <wp:wrapNone/>
              <wp:docPr id="1" name="文本框 1"/>
              <wp:cNvGraphicFramePr/>
              <a:graphic xmlns:a="http://schemas.openxmlformats.org/drawingml/2006/main">
                <a:graphicData uri="http://schemas.microsoft.com/office/word/2010/wordprocessingShape">
                  <wps:wsp>
                    <wps:cNvSpPr/>
                    <wps:spPr>
                      <a:xfrm>
                        <a:off x="0" y="0"/>
                        <a:ext cx="816813" cy="355599"/>
                      </a:xfrm>
                      <a:prstGeom prst="rect">
                        <a:avLst/>
                      </a:prstGeom>
                      <a:noFill/>
                      <a:ln w="6350" cap="flat" cmpd="sng">
                        <a:noFill/>
                        <a:prstDash val="solid"/>
                        <a:round/>
                      </a:ln>
                    </wps:spPr>
                    <wps:txbx>
                      <w:txbxContent>
                        <w:p>
                          <w:pPr>
                            <w:pStyle w:val="10"/>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ascii="宋体" w:eastAsia="宋体" w:cs="宋体"/>
                              <w:sz w:val="28"/>
                              <w:szCs w:val="28"/>
                            </w:rPr>
                            <w:t>- 11 -</w:t>
                          </w:r>
                          <w:r>
                            <w:rPr>
                              <w:rFonts w:hint="eastAsia" w:asci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28pt;width:64.3pt;mso-position-horizontal:outside;mso-position-horizontal-relative:margin;mso-wrap-style:none;z-index:251659264;mso-width-relative:page;mso-height-relative:page;" filled="f" stroked="f" coordsize="21600,21600" o:gfxdata="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">
              <v:fill on="f" focussize="0,0"/>
              <v:stroke on="f" weight="0.5pt" joinstyle="round"/>
              <v:imagedata o:title=""/>
              <o:lock v:ext="edit" aspectratio="f"/>
              <v:textbox inset="0mm,0mm,0mm,0mm" style="mso-fit-shape-to-text:t;">
                <w:txbxContent>
                  <w:p>
                    <w:pPr>
                      <w:pStyle w:val="10"/>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ascii="宋体" w:eastAsia="宋体" w:cs="宋体"/>
                        <w:sz w:val="28"/>
                        <w:szCs w:val="28"/>
                      </w:rPr>
                      <w:t>- 11 -</w:t>
                    </w:r>
                    <w:r>
                      <w:rPr>
                        <w:rFonts w:hint="eastAsia" w:ascii="宋体" w:eastAsia="宋体" w:cs="宋体"/>
                        <w:sz w:val="28"/>
                        <w:szCs w:val="28"/>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drawingGridHorizontalSpacing w:val="1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4"/>
  </w:compat>
  <w:docVars>
    <w:docVar w:name="commondata" w:val="eyJoZGlkIjoiOTUxYjgwOWQ0ZjQ5ZTkwMDFmYzUyMmViNmI0MjEyZTYifQ=="/>
  </w:docVars>
  <w:rsids>
    <w:rsidRoot w:val="00000000"/>
    <w:rsid w:val="04013267"/>
    <w:rsid w:val="2BB67FF8"/>
    <w:rsid w:val="4CE118C2"/>
    <w:rsid w:val="FCAA234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方正仿宋_GB2312" w:cs="Times New Roman"/>
      <w:kern w:val="2"/>
      <w:sz w:val="32"/>
      <w:szCs w:val="32"/>
      <w:lang w:val="en-US" w:eastAsia="zh-CN" w:bidi="ar-SA"/>
    </w:rPr>
  </w:style>
  <w:style w:type="paragraph" w:styleId="2">
    <w:name w:val="heading 1"/>
    <w:basedOn w:val="1"/>
    <w:next w:val="1"/>
    <w:link w:val="19"/>
    <w:qFormat/>
    <w:uiPriority w:val="0"/>
    <w:pPr>
      <w:keepNext/>
      <w:keepLines/>
      <w:widowControl w:val="0"/>
      <w:spacing w:before="340" w:beforeAutospacing="0" w:after="330" w:afterAutospacing="0" w:line="560" w:lineRule="exact"/>
      <w:jc w:val="left"/>
      <w:outlineLvl w:val="0"/>
    </w:pPr>
    <w:rPr>
      <w:rFonts w:eastAsia="黑体"/>
      <w:kern w:val="44"/>
      <w:sz w:val="32"/>
    </w:rPr>
  </w:style>
  <w:style w:type="paragraph" w:styleId="3">
    <w:name w:val="heading 2"/>
    <w:basedOn w:val="1"/>
    <w:next w:val="1"/>
    <w:qFormat/>
    <w:uiPriority w:val="0"/>
    <w:pPr>
      <w:keepNext/>
      <w:keepLines/>
      <w:widowControl w:val="0"/>
      <w:spacing w:before="260" w:beforeAutospacing="0" w:after="260" w:afterAutospacing="0" w:line="560" w:lineRule="exact"/>
      <w:outlineLvl w:val="1"/>
    </w:pPr>
    <w:rPr>
      <w:rFonts w:ascii="Arial" w:hAnsi="Arial" w:eastAsia="方正楷体_GB2312"/>
      <w:b/>
    </w:rPr>
  </w:style>
  <w:style w:type="paragraph" w:styleId="4">
    <w:name w:val="heading 3"/>
    <w:basedOn w:val="1"/>
    <w:qFormat/>
    <w:uiPriority w:val="0"/>
    <w:pPr>
      <w:widowControl/>
      <w:spacing w:before="100" w:beforeAutospacing="1" w:afterAutospacing="1"/>
      <w:jc w:val="left"/>
      <w:outlineLvl w:val="2"/>
    </w:pPr>
    <w:rPr>
      <w:rFonts w:ascii="宋体" w:hAnsi="宋体" w:cs="宋体"/>
      <w:b/>
      <w:bCs/>
      <w:kern w:val="0"/>
      <w:szCs w:val="27"/>
    </w:rPr>
  </w:style>
  <w:style w:type="paragraph" w:styleId="5">
    <w:name w:val="heading 4"/>
    <w:basedOn w:val="1"/>
    <w:next w:val="1"/>
    <w:qFormat/>
    <w:uiPriority w:val="0"/>
    <w:pPr>
      <w:keepNext/>
      <w:keepLines/>
      <w:widowControl w:val="0"/>
      <w:spacing w:before="280" w:beforeAutospacing="0" w:after="290" w:afterAutospacing="0" w:line="560" w:lineRule="exact"/>
      <w:outlineLvl w:val="3"/>
    </w:pPr>
    <w:rPr>
      <w:rFonts w:ascii="Arial" w:hAnsi="Arial" w:eastAsia="方正楷体_GB2312"/>
      <w:b/>
      <w:sz w:val="32"/>
    </w:rPr>
  </w:style>
  <w:style w:type="character" w:default="1" w:styleId="17">
    <w:name w:val="Default Paragraph Font"/>
    <w:qFormat/>
    <w:uiPriority w:val="0"/>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1"/>
    <w:qFormat/>
    <w:uiPriority w:val="0"/>
    <w:pPr>
      <w:ind w:firstLine="200" w:firstLineChars="200"/>
    </w:pPr>
  </w:style>
  <w:style w:type="paragraph" w:styleId="7">
    <w:name w:val="Body Text"/>
    <w:basedOn w:val="1"/>
    <w:next w:val="1"/>
    <w:qFormat/>
    <w:uiPriority w:val="0"/>
    <w:pPr>
      <w:widowControl/>
      <w:tabs>
        <w:tab w:val="left" w:pos="2160"/>
      </w:tabs>
      <w:spacing w:line="480" w:lineRule="auto"/>
      <w:jc w:val="left"/>
    </w:pPr>
    <w:rPr>
      <w:rFonts w:ascii="楷体_GB2312" w:hAnsi="楷体_GB2312" w:eastAsia="黑体"/>
      <w:kern w:val="0"/>
      <w:position w:val="3"/>
      <w:sz w:val="20"/>
      <w:szCs w:val="20"/>
    </w:rPr>
  </w:style>
  <w:style w:type="paragraph" w:styleId="8">
    <w:name w:val="Body Text Indent"/>
    <w:basedOn w:val="1"/>
    <w:next w:val="9"/>
    <w:qFormat/>
    <w:uiPriority w:val="0"/>
    <w:pPr>
      <w:spacing w:after="120"/>
      <w:ind w:left="200" w:leftChars="200"/>
    </w:pPr>
    <w:rPr>
      <w:rFonts w:ascii="仿宋_GB2312" w:hAnsi="仿宋_GB2312"/>
      <w:szCs w:val="32"/>
    </w:rPr>
  </w:style>
  <w:style w:type="paragraph" w:styleId="9">
    <w:name w:val="Body Text First Indent 2"/>
    <w:basedOn w:val="8"/>
    <w:qFormat/>
    <w:uiPriority w:val="0"/>
    <w:pPr>
      <w:ind w:firstLine="200" w:firstLineChars="200"/>
    </w:pPr>
  </w:style>
  <w:style w:type="paragraph" w:styleId="10">
    <w:name w:val="footer"/>
    <w:basedOn w:val="1"/>
    <w:qFormat/>
    <w:uiPriority w:val="0"/>
    <w:pPr>
      <w:tabs>
        <w:tab w:val="center" w:pos="4153"/>
        <w:tab w:val="right" w:pos="8306"/>
      </w:tabs>
      <w:snapToGrid w:val="0"/>
      <w:jc w:val="left"/>
    </w:pPr>
    <w:rPr>
      <w:sz w:val="18"/>
      <w:szCs w:val="18"/>
      <w:lang w:val="zh-CN" w:eastAsia="zh-CN"/>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lang w:val="zh-CN" w:eastAsia="zh-CN"/>
    </w:rPr>
  </w:style>
  <w:style w:type="paragraph" w:styleId="12">
    <w:name w:val="toc 1"/>
    <w:basedOn w:val="1"/>
    <w:next w:val="1"/>
    <w:qFormat/>
    <w:uiPriority w:val="0"/>
  </w:style>
  <w:style w:type="paragraph" w:styleId="13">
    <w:name w:val="table of figures"/>
    <w:basedOn w:val="1"/>
    <w:next w:val="1"/>
    <w:qFormat/>
    <w:uiPriority w:val="0"/>
    <w:pPr>
      <w:ind w:left="400" w:leftChars="200" w:hanging="200" w:hangingChars="200"/>
    </w:pPr>
  </w:style>
  <w:style w:type="paragraph" w:styleId="1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lang w:val="en-US" w:eastAsia="zh-CN"/>
    </w:rPr>
  </w:style>
  <w:style w:type="paragraph" w:styleId="15">
    <w:name w:val="Normal (Web)"/>
    <w:basedOn w:val="1"/>
    <w:qFormat/>
    <w:uiPriority w:val="0"/>
    <w:pPr>
      <w:widowControl/>
      <w:spacing w:before="100" w:beforeAutospacing="1" w:after="100" w:afterAutospacing="1"/>
      <w:jc w:val="left"/>
    </w:pPr>
    <w:rPr>
      <w:rFonts w:ascii="宋体" w:eastAsia="宋体" w:cs="宋体"/>
      <w:kern w:val="0"/>
      <w:sz w:val="24"/>
      <w:szCs w:val="24"/>
    </w:rPr>
  </w:style>
  <w:style w:type="character" w:styleId="18">
    <w:name w:val="Strong"/>
    <w:qFormat/>
    <w:uiPriority w:val="0"/>
    <w:rPr>
      <w:b/>
      <w:bCs/>
    </w:rPr>
  </w:style>
  <w:style w:type="character" w:customStyle="1" w:styleId="19">
    <w:name w:val="heading 1 Char"/>
    <w:basedOn w:val="17"/>
    <w:link w:val="2"/>
    <w:qFormat/>
    <w:uiPriority w:val="0"/>
    <w:rPr>
      <w:rFonts w:ascii="Times New Roman" w:hAnsi="Times New Roman" w:eastAsia="黑体" w:cs="Times New Roman"/>
      <w:kern w:val="44"/>
      <w:sz w:val="32"/>
      <w:szCs w:val="32"/>
      <w:lang w:val="en-US" w:eastAsia="zh-CN" w:bidi="ar-SA"/>
    </w:rPr>
  </w:style>
  <w:style w:type="paragraph" w:customStyle="1" w:styleId="20">
    <w:name w:val="正文2"/>
    <w:basedOn w:val="1"/>
    <w:next w:val="1"/>
    <w:qFormat/>
    <w:uiPriority w:val="0"/>
  </w:style>
  <w:style w:type="character" w:customStyle="1" w:styleId="21">
    <w:name w:val="NormalCharacter"/>
    <w:qFormat/>
    <w:uiPriority w:val="0"/>
  </w:style>
  <w:style w:type="paragraph" w:customStyle="1" w:styleId="22">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23">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16</Pages>
  <Words>3631</Words>
  <Characters>3737</Characters>
  <Lines>662</Lines>
  <Paragraphs>380</Paragraphs>
  <TotalTime>3</TotalTime>
  <ScaleCrop>false</ScaleCrop>
  <LinksUpToDate>false</LinksUpToDate>
  <CharactersWithSpaces>3762</CharactersWithSpaces>
  <Application>WPS Office_11.8.2.1120_F1E327BC-269C-435d-A152-05C5408002CA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2024-08-08T17:11:00Z</dcterms:created>
  <dc:creator>卡龙镇公共账号</dc:creator>
  <cp:lastModifiedBy>user</cp:lastModifiedBy>
  <cp:lastPrinted>2025-08-28T18:11:00Z</cp:lastPrinted>
  <dcterms:modified xsi:type="dcterms:W3CDTF">2026-07-27T11:47:46Z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1925D70550644593882ED9FF14C302E6_13</vt:lpwstr>
  </property>
  <property fmtid="{D5CDD505-2E9C-101B-9397-08002B2CF9AE}" pid="4" name="KSOTemplateDocerSaveRecord">
    <vt:lpwstr>eyJoZGlkIjoiYTM1MjQ4MWYxMjU0MDVmNjA3YWMxYmEyNGIzMWE1YmIiLCJ1c2VySWQiOiIyNDcwMjI0NjQifQ==</vt:lpwstr>
  </property>
</Properties>
</file>