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38582">
      <w:pPr>
        <w:pStyle w:val="17"/>
        <w:spacing w:after="0" w:line="240" w:lineRule="auto"/>
        <w:ind w:left="0" w:leftChars="0" w:firstLine="0" w:firstLineChars="0"/>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p>
    <w:p w14:paraId="09C614A7">
      <w:pPr>
        <w:tabs>
          <w:tab w:val="left" w:pos="7020"/>
        </w:tabs>
        <w:ind w:firstLine="0" w:firstLineChars="0"/>
        <w:jc w:val="left"/>
        <w:rPr>
          <w:rFonts w:hint="eastAsia" w:ascii="仿宋" w:eastAsia="仿宋_GB2312"/>
          <w:b/>
          <w:color w:val="FF0000"/>
          <w:spacing w:val="-24"/>
          <w:w w:val="66"/>
          <w:sz w:val="144"/>
          <w:szCs w:val="144"/>
          <w:lang w:eastAsia="zh-CN"/>
        </w:rPr>
      </w:pP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8</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8"/>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450D15B8">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7157F5EC">
            <w:pPr>
              <w:tabs>
                <w:tab w:val="left" w:pos="7020"/>
              </w:tabs>
              <w:ind w:left="0" w:leftChars="0" w:firstLine="0" w:firstLineChars="0"/>
              <w:rPr>
                <w:rFonts w:ascii="仿宋" w:eastAsia="仿宋"/>
                <w:w w:val="66"/>
                <w:sz w:val="10"/>
                <w:szCs w:val="10"/>
              </w:rPr>
            </w:pPr>
          </w:p>
        </w:tc>
      </w:tr>
    </w:tbl>
    <w:p w14:paraId="0787BCA5">
      <w:pPr>
        <w:pStyle w:val="17"/>
        <w:spacing w:after="0" w:line="240" w:lineRule="auto"/>
        <w:ind w:left="0" w:leftChars="0" w:firstLine="0" w:firstLineChars="0"/>
      </w:pPr>
    </w:p>
    <w:p w14:paraId="449FE071">
      <w:pPr>
        <w:ind w:firstLine="0" w:firstLineChars="0"/>
        <w:jc w:val="left"/>
        <w:rPr>
          <w:rFonts w:ascii="方正小标宋_GBK" w:eastAsia="方正小标宋_GBK"/>
          <w:sz w:val="44"/>
          <w:szCs w:val="44"/>
        </w:rPr>
      </w:pPr>
    </w:p>
    <w:p w14:paraId="63AA5C32">
      <w:pPr>
        <w:spacing w:line="580" w:lineRule="exact"/>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rPr>
        <w:t>黑水县卡龙镇人民政府</w:t>
      </w:r>
    </w:p>
    <w:p w14:paraId="00267B4C">
      <w:pPr>
        <w:spacing w:line="580" w:lineRule="exact"/>
        <w:ind w:left="0" w:firstLine="0" w:firstLineChars="0"/>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lang w:val="en-US" w:eastAsia="zh-CN"/>
        </w:rPr>
        <w:t>关于</w:t>
      </w:r>
      <w:r>
        <w:rPr>
          <w:rFonts w:hint="eastAsia" w:ascii="方正小标宋_GBK" w:eastAsia="方正小标宋_GBK" w:cs="方正小标宋_GBK"/>
          <w:kern w:val="0"/>
          <w:sz w:val="44"/>
          <w:szCs w:val="44"/>
        </w:rPr>
        <w:t>202</w:t>
      </w:r>
      <w:r>
        <w:rPr>
          <w:rFonts w:hint="eastAsia" w:ascii="方正小标宋_GBK" w:eastAsia="方正小标宋_GBK" w:cs="方正小标宋_GBK"/>
          <w:kern w:val="0"/>
          <w:sz w:val="44"/>
          <w:szCs w:val="44"/>
          <w:lang w:val="en-US" w:eastAsia="zh-CN"/>
        </w:rPr>
        <w:t>4</w:t>
      </w:r>
      <w:r>
        <w:rPr>
          <w:rFonts w:hint="eastAsia" w:ascii="方正小标宋_GBK" w:eastAsia="方正小标宋_GBK" w:cs="方正小标宋_GBK"/>
          <w:kern w:val="0"/>
          <w:sz w:val="44"/>
          <w:szCs w:val="44"/>
        </w:rPr>
        <w:t>年部门整体支出绩效评价</w:t>
      </w:r>
      <w:r>
        <w:rPr>
          <w:rFonts w:hint="eastAsia" w:ascii="方正小标宋_GBK" w:eastAsia="方正小标宋_GBK" w:cs="方正小标宋_GBK"/>
          <w:kern w:val="0"/>
          <w:sz w:val="44"/>
          <w:szCs w:val="44"/>
          <w:lang w:val="en-US" w:eastAsia="zh-CN"/>
        </w:rPr>
        <w:t>的</w:t>
      </w:r>
      <w:r>
        <w:rPr>
          <w:rFonts w:hint="eastAsia" w:ascii="方正小标宋_GBK" w:eastAsia="方正小标宋_GBK" w:cs="方正小标宋_GBK"/>
          <w:kern w:val="0"/>
          <w:sz w:val="44"/>
          <w:szCs w:val="44"/>
        </w:rPr>
        <w:t>报告</w:t>
      </w:r>
    </w:p>
    <w:p w14:paraId="3ACCF22B">
      <w:pPr>
        <w:pStyle w:val="14"/>
        <w:jc w:val="left"/>
      </w:pPr>
    </w:p>
    <w:p w14:paraId="3164298E">
      <w:pPr>
        <w:pStyle w:val="3"/>
        <w:keepNext/>
        <w:keepLines/>
        <w:pageBreakBefore w:val="0"/>
        <w:widowControl w:val="0"/>
        <w:kinsoku/>
        <w:wordWrap/>
        <w:overflowPunct/>
        <w:topLinePunct w:val="0"/>
        <w:autoSpaceDE/>
        <w:autoSpaceDN/>
        <w:bidi w:val="0"/>
        <w:adjustRightInd/>
        <w:snapToGrid/>
        <w:textAlignment w:val="auto"/>
      </w:pPr>
      <w:r>
        <w:rPr>
          <w:rFonts w:hint="eastAsia"/>
          <w:lang w:val="zh-CN"/>
        </w:rPr>
        <w:t>一、</w:t>
      </w:r>
      <w:r>
        <w:rPr>
          <w:lang w:val="zh-CN"/>
        </w:rPr>
        <w:t>部门（单位）基本情况</w:t>
      </w:r>
    </w:p>
    <w:p w14:paraId="4B7E7328">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en-US" w:eastAsia="zh-CN"/>
        </w:rPr>
      </w:pPr>
      <w:r>
        <w:rPr>
          <w:rFonts w:hint="eastAsia" w:ascii="楷体" w:hAnsi="楷体" w:eastAsia="楷体" w:cs="楷体"/>
          <w:lang w:val="zh-CN"/>
        </w:rPr>
        <w:t>（</w:t>
      </w:r>
      <w:r>
        <w:rPr>
          <w:rFonts w:hint="eastAsia" w:ascii="楷体" w:hAnsi="楷体" w:eastAsia="楷体" w:cs="楷体"/>
        </w:rPr>
        <w:t>一）</w:t>
      </w:r>
      <w:r>
        <w:rPr>
          <w:rFonts w:hint="eastAsia" w:ascii="楷体" w:hAnsi="楷体" w:eastAsia="楷体" w:cs="楷体"/>
          <w:lang w:val="zh-CN"/>
        </w:rPr>
        <w:t>机构组成。</w:t>
      </w:r>
    </w:p>
    <w:p w14:paraId="713E0FB7">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color w:val="FF0000"/>
        </w:rPr>
      </w:pPr>
      <w:r>
        <w:rPr>
          <w:rFonts w:hint="eastAsia" w:ascii="仿宋_GB2312" w:eastAsia="仿宋_GB2312" w:cs="仿宋_GB2312"/>
        </w:rPr>
        <w:t>卡龙镇属于镇财县管的镇，设有独立的财政所，本单位无下属二级预算单位。全镇共辖3个行政村。卡龙镇下设行政</w:t>
      </w:r>
      <w:r>
        <w:rPr>
          <w:rFonts w:hint="eastAsia" w:ascii="仿宋_GB2312" w:eastAsia="仿宋_GB2312" w:cs="仿宋_GB2312"/>
          <w:lang w:val="en-US" w:eastAsia="zh-CN"/>
        </w:rPr>
        <w:t>5</w:t>
      </w:r>
      <w:r>
        <w:rPr>
          <w:rFonts w:hint="eastAsia" w:ascii="仿宋_GB2312" w:eastAsia="仿宋_GB2312" w:cs="仿宋_GB2312"/>
        </w:rPr>
        <w:t>个办公室：党政</w:t>
      </w:r>
      <w:r>
        <w:rPr>
          <w:rFonts w:hint="eastAsia" w:ascii="仿宋_GB2312" w:eastAsia="仿宋_GB2312" w:cs="仿宋_GB2312"/>
          <w:lang w:val="en-US" w:eastAsia="zh-CN"/>
        </w:rPr>
        <w:t>综合</w:t>
      </w:r>
      <w:r>
        <w:rPr>
          <w:rFonts w:hint="eastAsia" w:ascii="仿宋_GB2312" w:eastAsia="仿宋_GB2312" w:cs="仿宋_GB2312"/>
        </w:rPr>
        <w:t>办公室、党建工作办公室、</w:t>
      </w:r>
      <w:r>
        <w:rPr>
          <w:rFonts w:hint="eastAsia" w:ascii="仿宋_GB2312" w:eastAsia="仿宋_GB2312" w:cs="仿宋_GB2312"/>
          <w:lang w:val="en-US" w:eastAsia="zh-CN"/>
        </w:rPr>
        <w:t>应急管理和综合行政执法办公室、</w:t>
      </w:r>
      <w:r>
        <w:rPr>
          <w:rFonts w:hint="eastAsia" w:ascii="仿宋_GB2312" w:eastAsia="仿宋_GB2312" w:cs="仿宋_GB2312"/>
        </w:rPr>
        <w:t>社会</w:t>
      </w:r>
      <w:r>
        <w:rPr>
          <w:rFonts w:hint="eastAsia" w:ascii="仿宋_GB2312" w:eastAsia="仿宋_GB2312" w:cs="仿宋_GB2312"/>
          <w:lang w:val="en-US" w:eastAsia="zh-CN"/>
        </w:rPr>
        <w:t>治理</w:t>
      </w:r>
      <w:r>
        <w:rPr>
          <w:rFonts w:hint="eastAsia" w:ascii="仿宋_GB2312" w:eastAsia="仿宋_GB2312" w:cs="仿宋_GB2312"/>
        </w:rPr>
        <w:t>事务和</w:t>
      </w:r>
      <w:r>
        <w:rPr>
          <w:rFonts w:hint="eastAsia" w:ascii="仿宋_GB2312" w:eastAsia="仿宋_GB2312" w:cs="仿宋_GB2312"/>
          <w:lang w:val="en-US" w:eastAsia="zh-CN"/>
        </w:rPr>
        <w:t>村镇</w:t>
      </w:r>
      <w:r>
        <w:rPr>
          <w:rFonts w:hint="eastAsia" w:ascii="仿宋_GB2312" w:eastAsia="仿宋_GB2312" w:cs="仿宋_GB2312"/>
        </w:rPr>
        <w:t>管理办公室、</w:t>
      </w:r>
      <w:r>
        <w:rPr>
          <w:rFonts w:hint="eastAsia" w:ascii="仿宋_GB2312" w:eastAsia="仿宋_GB2312" w:cs="仿宋_GB2312"/>
          <w:lang w:val="en-US" w:eastAsia="zh-CN"/>
        </w:rPr>
        <w:t>生态</w:t>
      </w:r>
      <w:r>
        <w:rPr>
          <w:rFonts w:hint="eastAsia" w:ascii="仿宋_GB2312" w:eastAsia="仿宋_GB2312" w:cs="仿宋_GB2312"/>
        </w:rPr>
        <w:t>经济发展和</w:t>
      </w:r>
      <w:r>
        <w:rPr>
          <w:rFonts w:hint="eastAsia" w:ascii="仿宋_GB2312" w:eastAsia="仿宋_GB2312" w:cs="仿宋_GB2312"/>
          <w:lang w:val="en-US" w:eastAsia="zh-CN"/>
        </w:rPr>
        <w:t>乡</w:t>
      </w:r>
      <w:r>
        <w:rPr>
          <w:rFonts w:hint="eastAsia" w:ascii="仿宋_GB2312" w:eastAsia="仿宋_GB2312" w:cs="仿宋_GB2312"/>
        </w:rPr>
        <w:t>村振兴办公室。下设事业机构</w:t>
      </w:r>
      <w:r>
        <w:rPr>
          <w:rFonts w:hint="eastAsia" w:ascii="仿宋_GB2312" w:eastAsia="仿宋_GB2312" w:cs="仿宋_GB2312"/>
          <w:lang w:val="en-US" w:eastAsia="zh-CN"/>
        </w:rPr>
        <w:t>2</w:t>
      </w:r>
      <w:r>
        <w:rPr>
          <w:rFonts w:hint="eastAsia" w:ascii="仿宋_GB2312" w:eastAsia="仿宋_GB2312" w:cs="仿宋_GB2312"/>
        </w:rPr>
        <w:t>个：</w:t>
      </w:r>
      <w:r>
        <w:rPr>
          <w:rFonts w:hint="eastAsia" w:ascii="仿宋_GB2312" w:eastAsia="仿宋_GB2312" w:cs="仿宋_GB2312"/>
          <w:lang w:val="en-US" w:eastAsia="zh-CN"/>
        </w:rPr>
        <w:t>便民和退役军人服务中心</w:t>
      </w:r>
      <w:r>
        <w:rPr>
          <w:rFonts w:hint="eastAsia" w:ascii="仿宋_GB2312" w:eastAsia="仿宋_GB2312" w:cs="仿宋_GB2312"/>
        </w:rPr>
        <w:t>便民服务中心、农业农村和</w:t>
      </w:r>
      <w:r>
        <w:rPr>
          <w:rFonts w:hint="eastAsia" w:ascii="仿宋_GB2312" w:eastAsia="仿宋_GB2312" w:cs="仿宋_GB2312"/>
          <w:lang w:val="en-US" w:eastAsia="zh-CN"/>
        </w:rPr>
        <w:t>文化旅游服务中心</w:t>
      </w:r>
      <w:r>
        <w:rPr>
          <w:rFonts w:hint="eastAsia" w:ascii="仿宋_GB2312" w:eastAsia="仿宋_GB2312" w:cs="仿宋_GB2312"/>
        </w:rPr>
        <w:t>。 </w:t>
      </w:r>
    </w:p>
    <w:p w14:paraId="773D67BA">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（二）机构职能。</w:t>
      </w:r>
    </w:p>
    <w:p w14:paraId="7A10975A">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zh-CN"/>
        </w:rPr>
      </w:pPr>
      <w:r>
        <w:rPr>
          <w:rFonts w:hint="eastAsia" w:ascii="仿宋_GB2312" w:eastAsia="仿宋_GB2312" w:cs="仿宋_GB2312"/>
        </w:rPr>
        <w:t>黑水县卡龙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环境、教育、科学、卫生、社会保障、食品药品、卫生计生、财政、民政、公安、司法、国土等工作。</w:t>
      </w:r>
    </w:p>
    <w:p w14:paraId="3D622F30">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（三）人员概况。</w:t>
      </w:r>
    </w:p>
    <w:p w14:paraId="150BD7E5">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rPr>
      </w:pPr>
      <w:r>
        <w:rPr>
          <w:rFonts w:hint="eastAsia" w:ascii="仿宋_GB2312" w:eastAsia="仿宋_GB2312" w:cs="仿宋_GB2312"/>
        </w:rPr>
        <w:t>黑水县卡龙镇总编制2</w:t>
      </w:r>
      <w:r>
        <w:rPr>
          <w:rFonts w:hint="eastAsia" w:ascii="仿宋_GB2312" w:eastAsia="仿宋_GB2312" w:cs="仿宋_GB2312"/>
          <w:lang w:val="en-US" w:eastAsia="zh-CN"/>
        </w:rPr>
        <w:t>8</w:t>
      </w:r>
      <w:r>
        <w:rPr>
          <w:rFonts w:hint="eastAsia" w:ascii="仿宋_GB2312" w:eastAsia="仿宋_GB2312" w:cs="仿宋_GB2312"/>
        </w:rPr>
        <w:t>名，其中：行政编制</w:t>
      </w:r>
      <w:r>
        <w:rPr>
          <w:rFonts w:hint="eastAsia" w:ascii="仿宋_GB2312" w:eastAsia="仿宋_GB2312" w:cs="仿宋_GB2312"/>
          <w:lang w:val="en-US" w:eastAsia="zh-CN"/>
        </w:rPr>
        <w:t>19</w:t>
      </w:r>
      <w:r>
        <w:rPr>
          <w:rFonts w:hint="eastAsia" w:ascii="仿宋_GB2312" w:eastAsia="仿宋_GB2312" w:cs="仿宋_GB2312"/>
        </w:rPr>
        <w:t>名，事业编制9名。在职人员总数</w:t>
      </w:r>
      <w:r>
        <w:rPr>
          <w:rFonts w:hint="eastAsia" w:ascii="仿宋_GB2312" w:eastAsia="仿宋_GB2312" w:cs="仿宋_GB2312"/>
          <w:lang w:val="en-US" w:eastAsia="zh-CN"/>
        </w:rPr>
        <w:t>25</w:t>
      </w:r>
      <w:r>
        <w:rPr>
          <w:rFonts w:hint="eastAsia" w:ascii="仿宋_GB2312" w:eastAsia="仿宋_GB2312" w:cs="仿宋_GB2312"/>
        </w:rPr>
        <w:t>人，其中：行政人员1</w:t>
      </w:r>
      <w:r>
        <w:rPr>
          <w:rFonts w:hint="eastAsia" w:ascii="仿宋_GB2312" w:eastAsia="仿宋_GB2312" w:cs="仿宋_GB2312"/>
          <w:lang w:val="en-US" w:eastAsia="zh-CN"/>
        </w:rPr>
        <w:t>4</w:t>
      </w:r>
      <w:r>
        <w:rPr>
          <w:rFonts w:hint="eastAsia" w:ascii="仿宋_GB2312" w:eastAsia="仿宋_GB2312" w:cs="仿宋_GB2312"/>
        </w:rPr>
        <w:t>名，</w:t>
      </w:r>
      <w:r>
        <w:rPr>
          <w:rFonts w:hint="eastAsia" w:ascii="仿宋_GB2312" w:eastAsia="仿宋_GB2312" w:cs="仿宋_GB2312"/>
          <w:lang w:val="en-US" w:eastAsia="zh-CN"/>
        </w:rPr>
        <w:t>行政</w:t>
      </w:r>
      <w:r>
        <w:rPr>
          <w:rFonts w:hint="eastAsia" w:ascii="仿宋_GB2312" w:eastAsia="仿宋_GB2312" w:cs="仿宋_GB2312"/>
        </w:rPr>
        <w:t>工勤人员2名，事业人员</w:t>
      </w:r>
      <w:r>
        <w:rPr>
          <w:rFonts w:hint="eastAsia" w:ascii="仿宋_GB2312" w:eastAsia="仿宋_GB2312" w:cs="仿宋_GB2312"/>
          <w:lang w:val="en-US" w:eastAsia="zh-CN"/>
        </w:rPr>
        <w:t>9</w:t>
      </w:r>
      <w:r>
        <w:rPr>
          <w:rFonts w:hint="eastAsia" w:ascii="仿宋_GB2312" w:eastAsia="仿宋_GB2312" w:cs="仿宋_GB2312"/>
        </w:rPr>
        <w:t>名</w:t>
      </w:r>
      <w:r>
        <w:rPr>
          <w:rFonts w:hint="eastAsia" w:ascii="仿宋_GB2312" w:eastAsia="仿宋_GB2312" w:cs="仿宋_GB2312"/>
          <w:lang w:eastAsia="zh-CN"/>
        </w:rPr>
        <w:t>。</w:t>
      </w:r>
      <w:r>
        <w:rPr>
          <w:rFonts w:hint="eastAsia" w:ascii="仿宋_GB2312" w:eastAsia="仿宋_GB2312" w:cs="仿宋_GB2312"/>
        </w:rPr>
        <w:t>遗属人员3名。</w:t>
      </w:r>
    </w:p>
    <w:p w14:paraId="0484482A">
      <w:pPr>
        <w:pStyle w:val="3"/>
        <w:keepNext/>
        <w:keepLines/>
        <w:pageBreakBefore w:val="0"/>
        <w:widowControl w:val="0"/>
        <w:kinsoku/>
        <w:wordWrap/>
        <w:overflowPunct/>
        <w:topLinePunct w:val="0"/>
        <w:autoSpaceDE/>
        <w:autoSpaceDN/>
        <w:bidi w:val="0"/>
        <w:adjustRightInd/>
        <w:snapToGrid/>
        <w:spacing w:line="560" w:lineRule="exact"/>
        <w:textAlignment w:val="auto"/>
      </w:pPr>
      <w:r>
        <w:t>二、部门资金收支情况</w:t>
      </w:r>
    </w:p>
    <w:p w14:paraId="7AFAAC55">
      <w:pPr>
        <w:pageBreakBefore w:val="0"/>
        <w:widowControl w:val="0"/>
        <w:kinsoku/>
        <w:wordWrap/>
        <w:overflowPunct/>
        <w:topLinePunct w:val="0"/>
        <w:autoSpaceDE/>
        <w:autoSpaceDN/>
        <w:bidi w:val="0"/>
        <w:adjustRightInd/>
        <w:snapToGrid/>
        <w:spacing w:line="560" w:lineRule="exact"/>
        <w:textAlignment w:val="auto"/>
        <w:rPr>
          <w:rStyle w:val="21"/>
          <w:lang w:val="zh-CN"/>
        </w:rPr>
      </w:pPr>
      <w:r>
        <w:rPr>
          <w:rStyle w:val="21"/>
          <w:lang w:val="zh-CN"/>
        </w:rPr>
        <w:t>（一</w:t>
      </w:r>
      <w:r>
        <w:rPr>
          <w:rFonts w:hint="eastAsia" w:ascii="楷体" w:hAnsi="楷体" w:eastAsia="楷体" w:cs="楷体"/>
          <w:b/>
          <w:kern w:val="2"/>
          <w:sz w:val="32"/>
          <w:szCs w:val="32"/>
          <w:lang w:val="zh-CN" w:eastAsia="zh-CN" w:bidi="ar-SA"/>
        </w:rPr>
        <w:t>）收入情况。</w:t>
      </w:r>
    </w:p>
    <w:p w14:paraId="550E6CCD">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w:t>
      </w:r>
      <w:r>
        <w:rPr>
          <w:rFonts w:hint="eastAsia" w:ascii="仿宋_GB2312" w:eastAsia="仿宋_GB2312" w:cs="仿宋_GB2312"/>
          <w:lang w:val="en-US"/>
        </w:rPr>
        <w:t xml:space="preserve"> </w:t>
      </w:r>
      <w:r>
        <w:rPr>
          <w:rFonts w:hint="eastAsia" w:ascii="仿宋_GB2312" w:eastAsia="仿宋_GB2312" w:cs="仿宋_GB2312"/>
          <w:lang w:val="en-US" w:eastAsia="zh-CN"/>
        </w:rPr>
        <w:t>2024</w:t>
      </w:r>
      <w:r>
        <w:rPr>
          <w:rFonts w:hint="eastAsia" w:ascii="仿宋_GB2312" w:eastAsia="仿宋_GB2312" w:cs="仿宋_GB2312"/>
          <w:lang w:val="en-US"/>
        </w:rPr>
        <w:t>年预算收入</w:t>
      </w:r>
      <w:r>
        <w:rPr>
          <w:rFonts w:hint="eastAsia" w:ascii="仿宋_GB2312" w:eastAsia="仿宋_GB2312" w:cs="仿宋_GB2312"/>
          <w:lang w:val="en-US" w:eastAsia="zh-CN"/>
        </w:rPr>
        <w:t>10,789,373.87</w:t>
      </w:r>
      <w:r>
        <w:rPr>
          <w:rFonts w:hint="eastAsia" w:ascii="仿宋_GB2312" w:eastAsia="仿宋_GB2312" w:cs="仿宋_GB2312"/>
          <w:lang w:val="en-US"/>
        </w:rPr>
        <w:t>元</w:t>
      </w:r>
      <w:r>
        <w:rPr>
          <w:rFonts w:hint="eastAsia" w:ascii="仿宋_GB2312" w:eastAsia="仿宋_GB2312" w:cs="仿宋_GB2312"/>
          <w:lang w:val="en-US" w:eastAsia="zh-CN"/>
        </w:rPr>
        <w:t>，</w:t>
      </w:r>
      <w:r>
        <w:rPr>
          <w:rFonts w:hint="eastAsia" w:ascii="仿宋_GB2312" w:eastAsia="仿宋_GB2312" w:cs="仿宋_GB2312"/>
          <w:lang w:val="en-US"/>
        </w:rPr>
        <w:t>与决算报表收入一致</w:t>
      </w:r>
      <w:r>
        <w:rPr>
          <w:rFonts w:hint="eastAsia" w:ascii="仿宋_GB2312" w:eastAsia="仿宋_GB2312" w:cs="仿宋_GB2312"/>
          <w:lang w:val="en-US" w:eastAsia="zh-CN"/>
        </w:rPr>
        <w:t>，其中：一般公共预算财政拨款收入10,789,373.87元，占100%；年初财政拨款结转结余0元，占0%；政府性基金预算财政拨款收入0元，占0%；国有资本经营预算财政拨款收入0元，占0%；事业收入0元，占0%；经营收入0元，占0%；附属单位上缴收入0元，占0%；其他收入0元，占0%。</w:t>
      </w:r>
    </w:p>
    <w:p w14:paraId="6470821F">
      <w:pPr>
        <w:pageBreakBefore w:val="0"/>
        <w:widowControl w:val="0"/>
        <w:kinsoku/>
        <w:wordWrap/>
        <w:overflowPunct/>
        <w:topLinePunct w:val="0"/>
        <w:autoSpaceDE/>
        <w:autoSpaceDN/>
        <w:bidi w:val="0"/>
        <w:adjustRightInd/>
        <w:snapToGrid/>
        <w:spacing w:line="560" w:lineRule="exact"/>
        <w:textAlignment w:val="auto"/>
        <w:rPr>
          <w:rStyle w:val="21"/>
          <w:rFonts w:hint="eastAsia"/>
          <w:lang w:val="zh-CN"/>
        </w:rPr>
      </w:pPr>
      <w:r>
        <w:rPr>
          <w:rStyle w:val="21"/>
          <w:rFonts w:hint="eastAsia"/>
          <w:lang w:val="zh-CN"/>
        </w:rPr>
        <w:t>（</w:t>
      </w:r>
      <w:r>
        <w:rPr>
          <w:rFonts w:hint="eastAsia" w:ascii="楷体" w:hAnsi="楷体" w:eastAsia="楷体" w:cs="楷体"/>
          <w:b/>
          <w:kern w:val="2"/>
          <w:sz w:val="32"/>
          <w:szCs w:val="32"/>
          <w:lang w:val="en-US" w:eastAsia="zh-CN" w:bidi="ar-SA"/>
        </w:rPr>
        <w:t>二）</w:t>
      </w:r>
      <w:r>
        <w:rPr>
          <w:rFonts w:hint="eastAsia" w:ascii="楷体" w:hAnsi="楷体" w:eastAsia="楷体" w:cs="楷体"/>
          <w:b/>
          <w:kern w:val="2"/>
          <w:sz w:val="32"/>
          <w:szCs w:val="32"/>
          <w:lang w:val="zh-CN" w:eastAsia="zh-CN" w:bidi="ar-SA"/>
        </w:rPr>
        <w:t>支出情况。</w:t>
      </w:r>
    </w:p>
    <w:p w14:paraId="7AB5EDE3">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 2024年年初预算支出10,789,373.87元，与决算报表支出一致，其中：基本支出6,254,227.74元，占57.96%，项目支出4,535,146.13元,占42%；上缴上级支出0万元，占0%；经营支出0万元，占0%；对附属单位补助支出0万元，占0%。</w:t>
      </w:r>
    </w:p>
    <w:p w14:paraId="2C50B293">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结余分配和结转结余情况。</w:t>
      </w:r>
    </w:p>
    <w:p w14:paraId="2D45D540">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卡龙镇2024年决算报表无结转结余情况。</w:t>
      </w:r>
    </w:p>
    <w:p w14:paraId="4877FD0C">
      <w:pPr>
        <w:pStyle w:val="7"/>
        <w:pageBreakBefore w:val="0"/>
        <w:widowControl w:val="0"/>
        <w:kinsoku/>
        <w:wordWrap/>
        <w:overflowPunct/>
        <w:topLinePunct w:val="0"/>
        <w:autoSpaceDE/>
        <w:autoSpaceDN/>
        <w:bidi w:val="0"/>
        <w:adjustRightInd/>
        <w:snapToGrid/>
        <w:textAlignment w:val="auto"/>
        <w:rPr>
          <w:lang w:val="en-US" w:eastAsia="zh-CN"/>
        </w:rPr>
      </w:pPr>
    </w:p>
    <w:p w14:paraId="7D3C0C02">
      <w:pPr>
        <w:pStyle w:val="3"/>
        <w:keepNext/>
        <w:keepLines/>
        <w:pageBreakBefore w:val="0"/>
        <w:widowControl w:val="0"/>
        <w:kinsoku/>
        <w:wordWrap/>
        <w:overflowPunct/>
        <w:topLinePunct w:val="0"/>
        <w:autoSpaceDE/>
        <w:autoSpaceDN/>
        <w:bidi w:val="0"/>
        <w:adjustRightInd/>
        <w:snapToGrid/>
        <w:spacing w:line="560" w:lineRule="exact"/>
        <w:textAlignment w:val="auto"/>
      </w:pPr>
      <w:r>
        <w:t>三、部门预算绩效分析</w:t>
      </w:r>
    </w:p>
    <w:p w14:paraId="1C26FB17">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（一）部门预算总体绩效分析。</w:t>
      </w:r>
    </w:p>
    <w:p w14:paraId="0D58C253">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b/>
          <w:bCs/>
          <w:lang w:val="zh-CN" w:eastAsia="zh-CN"/>
        </w:rPr>
      </w:pPr>
      <w:r>
        <w:rPr>
          <w:rFonts w:hint="eastAsia" w:ascii="仿宋_GB2312" w:eastAsia="仿宋_GB2312" w:cs="仿宋_GB2312"/>
          <w:b/>
          <w:bCs/>
          <w:lang w:val="en-US" w:eastAsia="zh-CN"/>
        </w:rPr>
        <w:t>1.</w:t>
      </w:r>
      <w:r>
        <w:rPr>
          <w:rFonts w:hint="eastAsia" w:ascii="仿宋_GB2312" w:eastAsia="仿宋_GB2312" w:cs="仿宋_GB2312"/>
          <w:b/>
          <w:bCs/>
          <w:lang w:val="zh-CN" w:eastAsia="zh-CN"/>
        </w:rPr>
        <w:t>履职效能</w:t>
      </w:r>
    </w:p>
    <w:p w14:paraId="457C44F2">
      <w:pPr>
        <w:pageBreakBefore w:val="0"/>
        <w:widowControl w:val="0"/>
        <w:kinsoku/>
        <w:wordWrap/>
        <w:overflowPunct/>
        <w:topLinePunct w:val="0"/>
        <w:autoSpaceDE/>
        <w:autoSpaceDN/>
        <w:bidi w:val="0"/>
        <w:adjustRightInd/>
        <w:snapToGrid/>
        <w:spacing w:line="560" w:lineRule="exact"/>
        <w:textAlignment w:val="auto"/>
      </w:pPr>
      <w:r>
        <w:rPr>
          <w:rFonts w:hint="eastAsia" w:ascii="仿宋_GB2312" w:eastAsia="仿宋_GB2312" w:cs="仿宋_GB2312"/>
          <w:lang w:val="en-US" w:eastAsia="zh-CN"/>
        </w:rPr>
        <w:t>2024年主要完成工作:一是提升政治站位，推进基层党建工作。始终将思想政治建设摆在首要位置始终在干部队伍建设上下足硬功，不断加强建设党风廉政，强化基层治理保障；把握主动权，主导意识形态工作，强化意识形态主体责任。二是聚焦乡村振兴，实现巩固脱贫成果和乡村振兴有效衔接。巩固拓展脱贫攻坚成果，乘势而上促进乡村振兴，进一步加强农村基础设施建设，促进农村生产发展，协调重点水利工程推进，推动周边农业生产。三是聚焦防火硬仗、提升应急处置能力。强化组织领导，压紧压实责任，聚焦地灾监测、扎实做好防汛减灾。全面落实安全生产责任制，杜绝重大安全事故的发生,常态化抓好安全生产、森林草原防灭火、防汛减灾工作，坚定做到守土有责，守土负责，守土尽责。四是聚力办好民生实事，持续增进民生福祉。精准发力、动态监测，脱贫成果不断巩固。强化保障、造福民生，各项政策精准落实。促进就业、鼓励创业，多种方式增收致富。聚焦人居环境，镇村面貌得到巨大变化，全力推进美丽卡龙镇建设。履职效能该项指标得分14分。</w:t>
      </w:r>
    </w:p>
    <w:p w14:paraId="3E86146D">
      <w:pPr>
        <w:pStyle w:val="8"/>
        <w:spacing w:before="48" w:line="341" w:lineRule="auto"/>
        <w:jc w:val="both"/>
        <w:rPr>
          <w:rFonts w:hint="eastAsia" w:ascii="仿宋_GB2312" w:eastAsia="仿宋_GB2312" w:cs="仿宋_GB2312"/>
          <w:b/>
          <w:bCs/>
          <w:kern w:val="2"/>
          <w:position w:val="0"/>
          <w:sz w:val="32"/>
          <w:szCs w:val="32"/>
          <w:lang w:val="zh-CN" w:eastAsia="zh-CN" w:bidi="ar-SA"/>
        </w:rPr>
      </w:pPr>
      <w:r>
        <w:rPr>
          <w:rFonts w:hint="eastAsia" w:ascii="仿宋_GB2312" w:eastAsia="仿宋_GB2312" w:cs="仿宋_GB2312"/>
          <w:b/>
          <w:bCs/>
          <w:kern w:val="2"/>
          <w:position w:val="0"/>
          <w:sz w:val="32"/>
          <w:szCs w:val="32"/>
          <w:lang w:val="en-US" w:eastAsia="zh-CN" w:bidi="ar-SA"/>
        </w:rPr>
        <w:t>2.</w:t>
      </w:r>
      <w:r>
        <w:rPr>
          <w:rFonts w:hint="eastAsia" w:ascii="仿宋_GB2312" w:eastAsia="仿宋_GB2312" w:cs="仿宋_GB2312"/>
          <w:b/>
          <w:bCs/>
          <w:kern w:val="2"/>
          <w:position w:val="0"/>
          <w:sz w:val="32"/>
          <w:szCs w:val="32"/>
          <w:lang w:val="zh-CN" w:eastAsia="zh-CN" w:bidi="ar-SA"/>
        </w:rPr>
        <w:t>预算管理</w:t>
      </w:r>
    </w:p>
    <w:p w14:paraId="4FD22873">
      <w:pPr>
        <w:pStyle w:val="8"/>
        <w:spacing w:before="48" w:line="341" w:lineRule="auto"/>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我镇严格按照县财政局“人员经费按标准， 用经费按定额 ”的预算要求，科学、准确地编制我镇2024年度预算，预算编制质量较优，该小项得7分;单位收入统筹情况良好，该小项得4分；部门预算执行情况1至6月一般,1至10月预算执行情况良好,该小项得6分;我镇2024年度预算年终结余为零,该小项的1 分;制定适宜我镇镇情的财务管理制度，将经费管理、经费审批、借款管理、现金及支票管理和财务管理五个方面融入进我镇财务管理制度。根据中央八项规定、省委十项规定、州委和县委相关规定，严控“三公”经费、会议、培训、差旅、办节办展、办公设备购置、信息网络及软件购置更新、课题经费等8项一般性支出,单位领导干部加强对财政预算资金的管理，机关干部、职工遵守财经纪律，按照财务管理制度办事，没有发生违反财经纪律、违反财务管理制度的情况。该小项得5分,预算管理指标整体总得23分。</w:t>
      </w:r>
    </w:p>
    <w:p w14:paraId="44D7BF9E">
      <w:pPr>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3.</w:t>
      </w:r>
      <w:r>
        <w:rPr>
          <w:rFonts w:hint="eastAsia" w:ascii="仿宋_GB2312" w:eastAsia="仿宋_GB2312" w:cs="仿宋_GB2312"/>
          <w:b/>
          <w:bCs/>
          <w:lang w:val="zh-CN"/>
        </w:rPr>
        <w:t>财务管理</w:t>
      </w:r>
    </w:p>
    <w:p w14:paraId="015F3BBE">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卡龙镇已制定内部财务管理制度等制度机制并且财务管理制度得到落实，该小项得4分；合理设置财务工作岗位，明确职责权限，并严格实行不相容岗位分离的，该小项得2分；资金使用符合相关财务管理制度规定，该小项得3分；财务管理该项指标总得分9分。</w:t>
      </w:r>
    </w:p>
    <w:p w14:paraId="7900193B">
      <w:pPr>
        <w:pageBreakBefore w:val="0"/>
        <w:widowControl w:val="0"/>
        <w:kinsoku/>
        <w:wordWrap/>
        <w:overflowPunct/>
        <w:topLinePunct w:val="0"/>
        <w:autoSpaceDE/>
        <w:autoSpaceDN/>
        <w:bidi w:val="0"/>
        <w:adjustRightInd/>
        <w:snapToGrid/>
        <w:spacing w:line="560" w:lineRule="exact"/>
        <w:ind w:left="0" w:firstLine="643"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4.</w:t>
      </w:r>
      <w:r>
        <w:rPr>
          <w:rFonts w:hint="eastAsia" w:ascii="仿宋_GB2312" w:eastAsia="仿宋_GB2312" w:cs="仿宋_GB2312"/>
          <w:b/>
          <w:bCs/>
          <w:lang w:val="zh-CN"/>
        </w:rPr>
        <w:t>资产管理</w:t>
      </w:r>
    </w:p>
    <w:p w14:paraId="1E6FAD70">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卡龙镇资产</w:t>
      </w:r>
      <w:r>
        <w:rPr>
          <w:rFonts w:hint="eastAsia" w:ascii="仿宋_GB2312" w:eastAsia="仿宋_GB2312" w:cs="仿宋_GB2312"/>
          <w:kern w:val="2"/>
          <w:position w:val="0"/>
          <w:sz w:val="32"/>
          <w:szCs w:val="32"/>
          <w:lang w:val="zh-CN" w:eastAsia="zh-CN" w:bidi="ar-SA"/>
        </w:rPr>
        <w:t>人均资产变化率</w:t>
      </w:r>
      <w:r>
        <w:rPr>
          <w:rFonts w:hint="eastAsia" w:ascii="仿宋_GB2312" w:eastAsia="仿宋_GB2312" w:cs="仿宋_GB2312"/>
          <w:kern w:val="2"/>
          <w:position w:val="0"/>
          <w:sz w:val="32"/>
          <w:szCs w:val="32"/>
          <w:lang w:val="en-US" w:eastAsia="zh-CN" w:bidi="ar-SA"/>
        </w:rPr>
        <w:t>在可控状态；单位</w:t>
      </w:r>
      <w:r>
        <w:rPr>
          <w:rFonts w:hint="eastAsia" w:ascii="仿宋_GB2312" w:eastAsia="仿宋_GB2312" w:cs="仿宋_GB2312"/>
          <w:kern w:val="2"/>
          <w:position w:val="0"/>
          <w:sz w:val="32"/>
          <w:szCs w:val="32"/>
          <w:lang w:val="zh-CN" w:eastAsia="zh-CN" w:bidi="ar-SA"/>
        </w:rPr>
        <w:t>资产利用率</w:t>
      </w:r>
      <w:r>
        <w:rPr>
          <w:rFonts w:hint="eastAsia" w:ascii="仿宋_GB2312" w:eastAsia="仿宋_GB2312" w:cs="仿宋_GB2312"/>
          <w:kern w:val="2"/>
          <w:position w:val="0"/>
          <w:sz w:val="32"/>
          <w:szCs w:val="32"/>
          <w:lang w:val="en-US" w:eastAsia="zh-CN" w:bidi="ar-SA"/>
        </w:rPr>
        <w:t>高效；近</w:t>
      </w:r>
      <w:r>
        <w:rPr>
          <w:rFonts w:hint="eastAsia" w:ascii="仿宋_GB2312" w:eastAsia="仿宋_GB2312" w:cs="仿宋_GB2312"/>
          <w:kern w:val="2"/>
          <w:position w:val="0"/>
          <w:sz w:val="32"/>
          <w:szCs w:val="32"/>
          <w:lang w:val="zh-CN" w:eastAsia="zh-CN" w:bidi="ar-SA"/>
        </w:rPr>
        <w:t>两年均无闲置资产或上年度有闲置资产评价年度无闲置资产，</w:t>
      </w:r>
      <w:r>
        <w:rPr>
          <w:rFonts w:hint="eastAsia" w:ascii="仿宋_GB2312" w:eastAsia="仿宋_GB2312" w:cs="仿宋_GB2312"/>
          <w:kern w:val="2"/>
          <w:position w:val="0"/>
          <w:sz w:val="32"/>
          <w:szCs w:val="32"/>
          <w:lang w:val="en-US" w:eastAsia="zh-CN" w:bidi="ar-SA"/>
        </w:rPr>
        <w:t>该项指标得分9分。</w:t>
      </w:r>
    </w:p>
    <w:p w14:paraId="303A7C8D">
      <w:pPr>
        <w:pStyle w:val="8"/>
        <w:spacing w:before="50" w:line="336" w:lineRule="auto"/>
        <w:ind w:left="49" w:right="41"/>
        <w:jc w:val="both"/>
        <w:rPr>
          <w:rFonts w:hint="eastAsia" w:ascii="Times New Roman" w:hAnsi="Times New Roman" w:eastAsia="方正仿宋_GB2312" w:cs="Times New Roman"/>
          <w:b/>
          <w:bCs/>
          <w:kern w:val="2"/>
          <w:position w:val="0"/>
          <w:sz w:val="32"/>
          <w:szCs w:val="32"/>
          <w:lang w:val="zh-CN" w:eastAsia="zh-CN" w:bidi="ar-SA"/>
        </w:rPr>
      </w:pPr>
      <w:r>
        <w:rPr>
          <w:rFonts w:hint="eastAsia" w:ascii="Times New Roman" w:hAnsi="Times New Roman" w:eastAsia="方正仿宋_GB2312" w:cs="Times New Roman"/>
          <w:b/>
          <w:bCs/>
          <w:kern w:val="2"/>
          <w:position w:val="0"/>
          <w:sz w:val="32"/>
          <w:szCs w:val="32"/>
          <w:lang w:val="en-US" w:eastAsia="zh-CN" w:bidi="ar-SA"/>
        </w:rPr>
        <w:t>5.</w:t>
      </w:r>
      <w:r>
        <w:rPr>
          <w:rFonts w:hint="eastAsia" w:ascii="Times New Roman" w:hAnsi="Times New Roman" w:eastAsia="方正仿宋_GB2312" w:cs="Times New Roman"/>
          <w:b/>
          <w:bCs/>
          <w:kern w:val="2"/>
          <w:position w:val="0"/>
          <w:sz w:val="32"/>
          <w:szCs w:val="32"/>
          <w:lang w:val="zh-CN" w:eastAsia="zh-CN" w:bidi="ar-SA"/>
        </w:rPr>
        <w:t>采购管理</w:t>
      </w:r>
    </w:p>
    <w:p w14:paraId="58E1B64D">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对适宜由中小企业提供的采购项目和采购包， 预留采购份额专门面向中小企业采购，并在采购预算中单独列示该小项得3分；采购执行率高，该小项得3分；采购管理该项指标总得分6分。</w:t>
      </w:r>
    </w:p>
    <w:p w14:paraId="7F0DCFDF">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6</w:t>
      </w:r>
      <w:r>
        <w:rPr>
          <w:rFonts w:hint="eastAsia" w:ascii="仿宋" w:eastAsia="仿宋" w:cs="仿宋"/>
          <w:b/>
          <w:bCs/>
          <w:snapToGrid w:val="0"/>
          <w:color w:val="auto"/>
          <w:spacing w:val="5"/>
          <w:kern w:val="0"/>
          <w:position w:val="0"/>
          <w:sz w:val="31"/>
          <w:szCs w:val="31"/>
          <w:lang w:val="zh-CN" w:eastAsia="zh-CN" w:bidi="ar-SA"/>
        </w:rPr>
        <w:t>.项目决策</w:t>
      </w:r>
    </w:p>
    <w:p w14:paraId="23697A45">
      <w:pPr>
        <w:pStyle w:val="8"/>
        <w:spacing w:before="50" w:line="336" w:lineRule="auto"/>
        <w:ind w:left="49" w:right="41"/>
        <w:jc w:val="both"/>
        <w:rPr>
          <w:lang w:val="zh-CN"/>
        </w:rPr>
      </w:pPr>
      <w:r>
        <w:rPr>
          <w:rFonts w:hint="eastAsia" w:ascii="仿宋_GB2312" w:eastAsia="仿宋_GB2312" w:cs="仿宋_GB2312"/>
          <w:kern w:val="2"/>
          <w:position w:val="0"/>
          <w:sz w:val="32"/>
          <w:szCs w:val="32"/>
          <w:lang w:val="en-US" w:eastAsia="zh-CN" w:bidi="ar-SA"/>
        </w:rPr>
        <w:t>决策程序上部门预算项目设立按规定履行评估 论证、申报程序，该小项得4分；目标设置上部门预算项目绩效 目标与计划期内的任务量、预算安排的资金量相匹配，绩效目标 设置科学合理、规范完整、量化细化、预算匹配，该小项得4分； 项目入库上部门预算项目在规定时间完成项目入库，该小项得4分，项目决策该项指标总得分12分。</w:t>
      </w:r>
    </w:p>
    <w:p w14:paraId="31D8F516">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7.项目执行</w:t>
      </w:r>
    </w:p>
    <w:p w14:paraId="1DB41B60">
      <w:pPr>
        <w:pStyle w:val="8"/>
        <w:spacing w:before="50" w:line="336" w:lineRule="auto"/>
        <w:ind w:left="49" w:right="41"/>
        <w:jc w:val="both"/>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资金执行同向上部门预算项目实际列支内容与绩效目标设置方向相符,该小项得4分；项目调整方面，部门预 算项目已按实际采取对应调整措施，该小项得4分；部门预算项 目预算执行良好，该小项得4分；项目执行该项指标总得分12分。</w:t>
      </w:r>
    </w:p>
    <w:p w14:paraId="3E7A03F3">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8</w:t>
      </w:r>
      <w:r>
        <w:rPr>
          <w:rFonts w:hint="eastAsia" w:ascii="仿宋" w:eastAsia="仿宋" w:cs="仿宋"/>
          <w:b/>
          <w:bCs/>
          <w:snapToGrid w:val="0"/>
          <w:color w:val="auto"/>
          <w:spacing w:val="5"/>
          <w:kern w:val="0"/>
          <w:position w:val="0"/>
          <w:sz w:val="31"/>
          <w:szCs w:val="31"/>
          <w:lang w:val="zh-CN" w:eastAsia="zh-CN" w:bidi="ar-SA"/>
        </w:rPr>
        <w:t>.目标实现</w:t>
      </w:r>
    </w:p>
    <w:p w14:paraId="0A899F5D">
      <w:pPr>
        <w:pStyle w:val="8"/>
        <w:spacing w:before="50" w:line="336" w:lineRule="auto"/>
        <w:ind w:left="49" w:right="41"/>
        <w:jc w:val="both"/>
        <w:rPr>
          <w:color w:val="000000"/>
          <w:kern w:val="0"/>
          <w:shd w:val="clear" w:color="auto" w:fill="FFFFFF"/>
        </w:rPr>
      </w:pPr>
      <w:r>
        <w:rPr>
          <w:rFonts w:hint="eastAsia" w:ascii="仿宋_GB2312" w:eastAsia="仿宋_GB2312" w:cs="仿宋_GB2312"/>
          <w:kern w:val="2"/>
          <w:position w:val="0"/>
          <w:sz w:val="32"/>
          <w:szCs w:val="32"/>
          <w:lang w:val="en-US" w:eastAsia="zh-CN" w:bidi="ar-SA"/>
        </w:rPr>
        <w:t>部门预算项目绩效目标已按数量指标完成，该 小项得4分；部门预算项目绩效目标数量指标实现程度与预期目标的偏离度在可控范围内，该小项得4分；部门预算项目绩效目标效益指标实施效果良好，该小项得3分；目标实现该项指标得分11分。</w:t>
      </w:r>
    </w:p>
    <w:p w14:paraId="710C5423">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（二）部门预算项目绩效分析。</w:t>
      </w:r>
    </w:p>
    <w:p w14:paraId="2720B268">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常年项目绩效分析。该类项目总数5个，涉及预算总金额138.08万元，1—12 月预算执行总体进度为 100% ，其中：预算 结余率大于 10%的项目共计 0 个。</w:t>
      </w:r>
    </w:p>
    <w:p w14:paraId="77846BF0">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1.人大代表工作经费项目：2024年预算数7.88万元，2024年支付7.88万元，拨付率为100%，该项目绩效总体目标为保障人大工作正常运行，人大工作有序开展。</w:t>
      </w:r>
    </w:p>
    <w:p w14:paraId="1FA71B8B">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2.年度考核奖项目：2024年预算数42.8万元，2024年拨付42.8万元，拨付率为100%，该项目绩效总体目标为保障年度考核奖正常发放。</w:t>
      </w:r>
    </w:p>
    <w:p w14:paraId="322FFAE0">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w:t>
      </w:r>
      <w:r>
        <w:rPr>
          <w:rFonts w:ascii="仿宋_GB2312" w:eastAsia="仿宋_GB2312" w:cs="仿宋_GB2312"/>
          <w:kern w:val="2"/>
          <w:position w:val="0"/>
          <w:sz w:val="32"/>
          <w:szCs w:val="32"/>
          <w:lang w:val="en-US" w:eastAsia="zh-CN" w:bidi="ar-SA"/>
        </w:rPr>
        <w:t>村干部工资</w:t>
      </w:r>
      <w:r>
        <w:rPr>
          <w:rFonts w:hint="eastAsia" w:ascii="仿宋_GB2312" w:eastAsia="仿宋_GB2312" w:cs="仿宋_GB2312"/>
          <w:kern w:val="2"/>
          <w:position w:val="0"/>
          <w:sz w:val="32"/>
          <w:szCs w:val="32"/>
          <w:lang w:val="en-US" w:eastAsia="zh-CN" w:bidi="ar-SA"/>
        </w:rPr>
        <w:t>项目：2024年预算数66.16万元，2024年拨付66.16万元，拨付率为100%，该项目绩效总体目标为确保村干部工资正常发放。</w:t>
      </w:r>
    </w:p>
    <w:p w14:paraId="2EB20007">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w:t>
      </w:r>
      <w:r>
        <w:rPr>
          <w:rFonts w:ascii="仿宋_GB2312" w:eastAsia="仿宋_GB2312" w:cs="仿宋_GB2312"/>
          <w:kern w:val="2"/>
          <w:position w:val="0"/>
          <w:sz w:val="32"/>
          <w:szCs w:val="32"/>
          <w:lang w:val="en-US" w:eastAsia="zh-CN" w:bidi="ar-SA"/>
        </w:rPr>
        <w:t>村级公共运行维护费</w:t>
      </w:r>
      <w:r>
        <w:rPr>
          <w:rFonts w:hint="eastAsia" w:ascii="仿宋_GB2312" w:eastAsia="仿宋_GB2312" w:cs="仿宋_GB2312"/>
          <w:kern w:val="2"/>
          <w:position w:val="0"/>
          <w:sz w:val="32"/>
          <w:szCs w:val="32"/>
          <w:lang w:val="en-US" w:eastAsia="zh-CN" w:bidi="ar-SA"/>
        </w:rPr>
        <w:t>项目：2024年预算数20.99万元，2024年拨付20.99万元，拨付率为100%，该项目绩效总体目标为保障村级工作正常运行。</w:t>
      </w:r>
    </w:p>
    <w:p w14:paraId="5B35DC25">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5.驻村工作队专项工作经费项目：2024年预算数0.25万元，2024年拨付0.25万元，拨付率为100%，该项目绩效总体目标为抓好村两委班子建设，增强基层党组织的创造力，提高农村党员带头致富的能力。</w:t>
      </w:r>
    </w:p>
    <w:p w14:paraId="772651FB">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p>
    <w:p w14:paraId="6D16CC8D">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阶段（一次性）项目绩效分析。该类项目总数11个，涉及预 算总金额 489.83万元，1—12 月预算执行总体进度为 100%，其中： 预算结余率大于 10%的项目共计 1 个，黑水县卡龙镇乡村振兴项目，2024年预算数100万元，2024年拨付100万元，该笔资金预计整合使用到才盖村基础设施总体提升项目中，预计2025年进行实施。</w:t>
      </w:r>
    </w:p>
    <w:p w14:paraId="466E7E2B">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1.捐赠资金项目：2024年预算数7.2万元，2024年拨付7.2万元，拨付率为100%，该项目绩效总体目标为卡龙镇基层便民服务中心建设项目。</w:t>
      </w:r>
    </w:p>
    <w:p w14:paraId="5D173C64">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2.卡龙镇代管资金:2024年预算数1.47万元，2024年拨付1.47万元，拨付率为100%，该项目绩效总体目标为卡龙镇基层便民服务中心建设项目。</w:t>
      </w:r>
    </w:p>
    <w:p w14:paraId="3C9DE922">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3.乡镇避险转移资金：2024年预算数1.36万元，2024年拨付1.36万元，拨付率为100%，该项目绩效总体目标为保障群众避险转移生活补助。</w:t>
      </w:r>
    </w:p>
    <w:p w14:paraId="01BA16BF">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4.卡龙镇才盖村新型农村集体经济项目：2024年预算数115.63万元，2024年拨付115.63万元，拨付率为100%，该项目绩效总体目标为为促进经济产业发展和社会保障，维护群众利益，改善农民生活质量与水平。</w:t>
      </w:r>
    </w:p>
    <w:p w14:paraId="49D96501">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卡龙镇色湾村2024年饮水工程项目：2024年预算数62.76万元，2024年拨付62.76万元，拨付率为100%，该项目绩效总体目标为提高农村饮水安全保障程度，提高水质达标率、集中供水率、规模化集中供水覆盖人口、自来水普及率和供水保证率，确保供水安全。</w:t>
      </w:r>
    </w:p>
    <w:p w14:paraId="7DEEA717">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6.黑水县卡龙镇才盖村入户路建设项目：2024年预算数73.3万元，2024年拨付73.3万元，拨付率为100%，该项目绩效总体目标为推进乡村振兴补助资金，用于才盖村入户路道路路基修复。</w:t>
      </w:r>
    </w:p>
    <w:p w14:paraId="32C17EF5">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7.黑水县卡龙镇乡村振兴项目：2024年预算数100万元，2024年拨付100万元，拨付率为100%，该项目绩效总体目标为推进卡龙镇乡村振兴示范建设。</w:t>
      </w:r>
    </w:p>
    <w:p w14:paraId="346FFD89">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8.自然灾害应急资金：2024年预算数10万元，2024年拨付10万元，拨付率为100%，该项目绩效总体目标为7.23暴雨泥石流灾害，该项资金用于抢险救援、转移受灾人员、排危除险等。</w:t>
      </w:r>
    </w:p>
    <w:p w14:paraId="741D9660">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9.浙江省海宁市袁花镇捐赠资金：2024年预算数12万元，2024年拨付12万元，拨付率为100%，该项目绩效总体目标为7.23暴雨泥石流灾害，该项目绩效总体目标为进一步拓展东西部扶贫成果，深化党建结对共建工作。</w:t>
      </w:r>
    </w:p>
    <w:p w14:paraId="14A4F13B">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10.中国交通运输协会捐赠资金：2024年预算数7万元，2024年拨付7万元，拨付率为100%，该项目绩效总体目标为全面推进乡村振兴战略，引导村民打造和发展“庭院经济”和特色民宿，推动当地群众增收致富。</w:t>
      </w:r>
    </w:p>
    <w:p w14:paraId="42F885E6">
      <w:pPr>
        <w:pStyle w:val="10"/>
        <w:keepNext w:val="0"/>
        <w:keepLines w:val="0"/>
        <w:pageBreakBefore w:val="0"/>
        <w:widowControl/>
        <w:kinsoku/>
        <w:wordWrap/>
        <w:overflowPunct/>
        <w:topLinePunct w:val="0"/>
        <w:autoSpaceDE/>
        <w:autoSpaceDN/>
        <w:bidi w:val="0"/>
        <w:spacing w:line="576" w:lineRule="exact"/>
        <w:textAlignment w:val="auto"/>
        <w:rPr>
          <w:lang w:val="zh-CN"/>
        </w:rPr>
      </w:pPr>
      <w:r>
        <w:rPr>
          <w:rFonts w:hint="eastAsia" w:ascii="仿宋_GB2312" w:eastAsia="仿宋_GB2312" w:cs="仿宋_GB2312"/>
          <w:kern w:val="2"/>
          <w:position w:val="0"/>
          <w:sz w:val="32"/>
          <w:szCs w:val="32"/>
          <w:lang w:val="en-US" w:eastAsia="zh-CN" w:bidi="ar-SA"/>
        </w:rPr>
        <w:t>11.卡龙镇才盖村少数民族传统村落整体提升保护项目：2024年预算数99.11万元，2024年拨付99.11万元，拨付率为100%，该项目绩效总体目标为全面推进乡村振兴战略，引导村民打造和发展“庭院经济”和特色民宿，推动当地群众增收致富。</w:t>
      </w:r>
    </w:p>
    <w:p w14:paraId="4BC4661C">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重点领域绩效分析</w:t>
      </w:r>
    </w:p>
    <w:p w14:paraId="61113C91">
      <w:pPr>
        <w:pStyle w:val="4"/>
        <w:keepNext/>
        <w:keepLines/>
        <w:pageBreakBefore w:val="0"/>
        <w:widowControl w:val="0"/>
        <w:kinsoku/>
        <w:wordWrap/>
        <w:overflowPunct/>
        <w:topLinePunct w:val="0"/>
        <w:autoSpaceDE/>
        <w:autoSpaceDN/>
        <w:bidi w:val="0"/>
        <w:adjustRightInd/>
        <w:snapToGrid/>
        <w:spacing w:line="560" w:lineRule="exact"/>
        <w:ind w:left="640" w:leftChars="200" w:firstLine="320" w:firstLineChars="100"/>
        <w:textAlignment w:val="auto"/>
        <w:rPr>
          <w:rFonts w:hint="eastAsia" w:ascii="Times New Roman" w:hAnsi="Times New Roman" w:eastAsia="方正仿宋_GB2312" w:cs="Times New Roman"/>
          <w:b w:val="0"/>
          <w:kern w:val="2"/>
          <w:sz w:val="32"/>
          <w:szCs w:val="32"/>
          <w:lang w:val="en-US" w:eastAsia="zh-CN" w:bidi="ar-SA"/>
        </w:rPr>
      </w:pPr>
      <w:r>
        <w:rPr>
          <w:rFonts w:hint="eastAsia" w:ascii="Times New Roman" w:hAnsi="Times New Roman" w:eastAsia="方正仿宋_GB2312" w:cs="Times New Roman"/>
          <w:b w:val="0"/>
          <w:kern w:val="2"/>
          <w:sz w:val="32"/>
          <w:szCs w:val="32"/>
          <w:lang w:val="en-US" w:eastAsia="zh-CN" w:bidi="ar-SA"/>
        </w:rPr>
        <w:t>无</w:t>
      </w:r>
    </w:p>
    <w:p w14:paraId="3F66ADB0">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四</w:t>
      </w:r>
      <w:r>
        <w:rPr>
          <w:rFonts w:hint="eastAsia" w:ascii="楷体" w:hAnsi="楷体" w:eastAsia="楷体" w:cs="楷体"/>
          <w:b/>
          <w:kern w:val="2"/>
          <w:sz w:val="32"/>
          <w:szCs w:val="32"/>
          <w:lang w:val="zh-CN" w:eastAsia="zh-CN" w:bidi="ar-SA"/>
        </w:rPr>
        <w:t>）绩效结果应用情况</w:t>
      </w:r>
    </w:p>
    <w:p w14:paraId="7968F24B">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我镇依据财政编审要求,在年度终了后,结合本单位当年全部预算收入、财政拨款收入及支出等,对全口径的资金收入、支出和预算管理、资产管理等工作进行的全面总结。</w:t>
      </w:r>
    </w:p>
    <w:p w14:paraId="342DBED9">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通过对部门决算报表的编制，来检查本单位全年资金的使用管理、职能履行情况等，并为单位内部控制工作的有序开展提供数据支撑。</w:t>
      </w:r>
    </w:p>
    <w:p w14:paraId="2D3E7218">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2024年度卡龙镇自评质量较好、绩效目标和自评在镇公示栏公开、评价结果良好，应用结果反馈良好。</w:t>
      </w:r>
    </w:p>
    <w:p w14:paraId="68E4378D">
      <w:pPr>
        <w:pStyle w:val="3"/>
        <w:keepNext/>
        <w:keepLines/>
        <w:pageBreakBefore w:val="0"/>
        <w:widowControl w:val="0"/>
        <w:kinsoku/>
        <w:wordWrap/>
        <w:overflowPunct/>
        <w:topLinePunct w:val="0"/>
        <w:autoSpaceDE/>
        <w:autoSpaceDN/>
        <w:bidi w:val="0"/>
        <w:adjustRightInd/>
        <w:snapToGrid/>
        <w:spacing w:line="560" w:lineRule="exact"/>
        <w:textAlignment w:val="auto"/>
      </w:pPr>
      <w:r>
        <w:t>四、评价结论及建议</w:t>
      </w:r>
    </w:p>
    <w:p w14:paraId="3078B000">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（一）评价结论</w:t>
      </w:r>
    </w:p>
    <w:p w14:paraId="6F22C65E">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卡龙镇预算绩效单位自评为92分。在县委、县政府的坚强领导下，我镇的巩固脱贫攻坚同镇村振兴有效衔接工作、发展生产、综治维稳等各项工作得到平稳推进，并取得较好成效。为全县经济发展、社会稳定做出了自身的贡献。</w:t>
      </w:r>
    </w:p>
    <w:p w14:paraId="2A4FC426">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（二）存在问题</w:t>
      </w:r>
    </w:p>
    <w:p w14:paraId="264895E8">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项目绩效目标设定方面绩效目标与预算安排不匹配，绩效目标动态调整不够及时；预算编制的前瞻性不够,导致预算和实际支出存在调整。</w:t>
      </w:r>
    </w:p>
    <w:p w14:paraId="7743B7B8">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bookmarkStart w:id="1" w:name="_GoBack"/>
      <w:r>
        <w:rPr>
          <w:rFonts w:hint="eastAsia" w:ascii="楷体" w:hAnsi="楷体" w:eastAsia="楷体" w:cs="楷体"/>
          <w:b/>
          <w:kern w:val="2"/>
          <w:sz w:val="32"/>
          <w:szCs w:val="32"/>
          <w:lang w:val="zh-CN" w:eastAsia="zh-CN" w:bidi="ar-SA"/>
        </w:rPr>
        <w:t>（三）改进建议</w:t>
      </w:r>
      <w:bookmarkStart w:id="0" w:name="_Hlk110546638"/>
    </w:p>
    <w:bookmarkEnd w:id="1"/>
    <w:p w14:paraId="19EA9874">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切实加强项目阶段性监控，合理设置绩效目标。坚持推进精细化管理，强化预算绩效目标管理、细化绩效目标，并将绩效目标细化分解为具体工作计划。细化预算编制工作，及时安排部署。按照部门预算编制口径，从严从紧编制部门预算，合理确定支出预算规模。严格内容审核，确保预算精准，提高预算编制的科学性和资金使用的有效性。树牢绩效理念，提高管理水平。严格执行预算，加强资金调度。增强部门预算单位加强预算执行的责任意识，提高财政资金的效益性和安全性。</w:t>
      </w:r>
      <w:bookmarkEnd w:id="0"/>
    </w:p>
    <w:p w14:paraId="0C3C9E45">
      <w:pPr>
        <w:pStyle w:val="14"/>
        <w:pageBreakBefore w:val="0"/>
        <w:widowControl w:val="0"/>
        <w:kinsoku/>
        <w:wordWrap/>
        <w:overflowPunct/>
        <w:topLinePunct w:val="0"/>
        <w:autoSpaceDN/>
        <w:bidi w:val="0"/>
        <w:adjustRightInd/>
        <w:snapToGrid/>
        <w:spacing w:line="560" w:lineRule="exact"/>
        <w:textAlignment w:val="auto"/>
      </w:pPr>
    </w:p>
    <w:p w14:paraId="3F10E233">
      <w:pPr>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eastAsia" w:ascii="仿宋_GB2312" w:eastAsia="仿宋_GB2312" w:cs="仿宋_GB2312"/>
          <w:kern w:val="2"/>
          <w:position w:val="0"/>
          <w:sz w:val="32"/>
          <w:szCs w:val="32"/>
          <w:lang w:val="en-US" w:eastAsia="zh-CN" w:bidi="ar-SA"/>
        </w:rPr>
      </w:pPr>
    </w:p>
    <w:p w14:paraId="05DA32FC">
      <w:pPr>
        <w:pStyle w:val="2"/>
        <w:rPr>
          <w:rFonts w:hint="eastAsia"/>
          <w:lang w:val="en-US" w:eastAsia="zh-CN"/>
        </w:rPr>
      </w:pPr>
    </w:p>
    <w:p w14:paraId="50441F3E">
      <w:pPr>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附表：1.部门预算绩效自评打分表</w:t>
      </w:r>
    </w:p>
    <w:p w14:paraId="5EB42FF4">
      <w:pPr>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2.部门整体绩效目标完成情况自评表</w:t>
      </w:r>
    </w:p>
    <w:p w14:paraId="480EF7B8">
      <w:pPr>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eastAsia="仿宋_GB2312" w:cs="仿宋_GB2312"/>
          <w:kern w:val="2"/>
          <w:position w:val="0"/>
          <w:sz w:val="32"/>
          <w:szCs w:val="32"/>
          <w:lang w:val="en-US" w:bidi="ar-SA"/>
        </w:rPr>
      </w:pPr>
      <w:r>
        <w:rPr>
          <w:rFonts w:ascii="仿宋_GB2312" w:eastAsia="仿宋_GB2312" w:cs="仿宋_GB2312"/>
          <w:kern w:val="2"/>
          <w:position w:val="0"/>
          <w:sz w:val="32"/>
          <w:szCs w:val="32"/>
          <w:lang w:val="en-US" w:eastAsia="zh-CN" w:bidi="ar-SA"/>
        </w:rPr>
        <w:t>3.部门预算项目支出绩效评价表（2024年度）</w:t>
      </w:r>
    </w:p>
    <w:p w14:paraId="7CB9815F">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p>
    <w:p w14:paraId="3BE1C9F5">
      <w:pPr>
        <w:pStyle w:val="17"/>
        <w:ind w:left="0" w:leftChars="0" w:firstLine="0" w:firstLineChars="0"/>
        <w:rPr>
          <w:rFonts w:ascii="Times New Roman" w:hAnsi="Times New Roman"/>
          <w:color w:val="000000"/>
          <w:kern w:val="0"/>
          <w:shd w:val="clear" w:color="auto" w:fill="FFFFFF"/>
        </w:rPr>
      </w:pPr>
    </w:p>
    <w:p w14:paraId="33F840A3">
      <w:pPr>
        <w:pStyle w:val="17"/>
        <w:ind w:left="0" w:leftChars="0" w:firstLine="0" w:firstLineChars="0"/>
        <w:rPr>
          <w:rFonts w:ascii="Times New Roman" w:hAnsi="Times New Roman"/>
          <w:color w:val="000000"/>
          <w:kern w:val="0"/>
          <w:shd w:val="clear" w:color="auto" w:fill="FFFFFF"/>
        </w:rPr>
      </w:pPr>
    </w:p>
    <w:p w14:paraId="52097CEA">
      <w:pPr>
        <w:spacing w:line="576" w:lineRule="exact"/>
        <w:ind w:left="0" w:firstLine="0" w:firstLineChars="0"/>
        <w:rPr>
          <w:rFonts w:hint="eastAsia" w:ascii="仿宋_GB2312" w:hAnsi="仿宋_GB2312" w:cs="仿宋_GB2312"/>
          <w:lang w:val="en-US" w:eastAsia="zh-CN"/>
        </w:rPr>
      </w:pPr>
    </w:p>
    <w:p w14:paraId="707D095E">
      <w:pPr>
        <w:spacing w:line="576" w:lineRule="exact"/>
        <w:ind w:firstLine="5120" w:firstLineChars="1600"/>
        <w:rPr>
          <w:rFonts w:hint="eastAsia" w:ascii="仿宋_GB2312" w:hAnsi="仿宋_GB2312" w:cs="仿宋_GB2312"/>
        </w:rPr>
      </w:pPr>
      <w:r>
        <w:rPr>
          <w:rFonts w:hint="eastAsia" w:ascii="仿宋_GB2312" w:hAnsi="仿宋_GB2312" w:cs="仿宋_GB2312"/>
        </w:rPr>
        <w:t>黑水县卡龙镇人民政府</w:t>
      </w:r>
    </w:p>
    <w:p w14:paraId="3F2504FD">
      <w:pPr>
        <w:spacing w:line="576" w:lineRule="exact"/>
        <w:ind w:firstLine="5440" w:firstLineChars="1700"/>
        <w:rPr>
          <w:rFonts w:ascii="Times New Roman" w:hAnsi="Times New Roman" w:cs="Times New Roman"/>
        </w:rPr>
      </w:pPr>
      <w:r>
        <w:rPr>
          <w:rFonts w:ascii="Times New Roman" w:hAnsi="Times New Roman" w:cs="Times New Roman"/>
        </w:rPr>
        <w:t>202</w:t>
      </w:r>
      <w:r>
        <w:rPr>
          <w:rFonts w:hint="eastAsia" w:cs="Times New Roman"/>
          <w:lang w:val="en-US" w:eastAsia="zh-CN"/>
        </w:rPr>
        <w:t>5</w:t>
      </w:r>
      <w:r>
        <w:rPr>
          <w:rFonts w:ascii="Times New Roman" w:hAnsi="Times New Roman" w:cs="Times New Roman"/>
        </w:rPr>
        <w:t>年</w:t>
      </w:r>
      <w:r>
        <w:rPr>
          <w:rFonts w:hint="eastAsia" w:cs="Times New Roman"/>
          <w:lang w:val="en-US" w:eastAsia="zh-CN"/>
        </w:rPr>
        <w:t>4</w:t>
      </w:r>
      <w:r>
        <w:rPr>
          <w:rFonts w:ascii="Times New Roman" w:hAnsi="Times New Roman" w:cs="Times New Roman"/>
        </w:rPr>
        <w:t>月</w:t>
      </w:r>
      <w:r>
        <w:rPr>
          <w:rFonts w:hint="eastAsia" w:cs="Times New Roman"/>
          <w:lang w:val="en-US" w:eastAsia="zh-CN"/>
        </w:rPr>
        <w:t>28</w:t>
      </w:r>
      <w:r>
        <w:rPr>
          <w:rFonts w:ascii="Times New Roman" w:hAnsi="Times New Roman" w:cs="Times New Roman"/>
        </w:rPr>
        <w:t>日</w:t>
      </w:r>
    </w:p>
    <w:p w14:paraId="70F7C256">
      <w:pPr>
        <w:pStyle w:val="7"/>
        <w:rPr>
          <w:rFonts w:hint="eastAsia" w:ascii="仿宋_GB2312" w:hAnsi="仿宋_GB2312" w:cs="仿宋_GB2312"/>
        </w:rPr>
      </w:pPr>
    </w:p>
    <w:p w14:paraId="5EC6863F">
      <w:pPr>
        <w:rPr>
          <w:rFonts w:hint="eastAsia" w:ascii="仿宋_GB2312" w:hAnsi="仿宋_GB2312" w:cs="仿宋_GB2312"/>
        </w:rPr>
      </w:pPr>
    </w:p>
    <w:p w14:paraId="5419C7CB">
      <w:pPr>
        <w:pStyle w:val="7"/>
        <w:rPr>
          <w:rFonts w:hint="eastAsia" w:ascii="仿宋_GB2312" w:hAnsi="仿宋_GB2312" w:cs="仿宋_GB2312"/>
        </w:rPr>
      </w:pPr>
    </w:p>
    <w:p w14:paraId="0A4EEEC2">
      <w:pPr>
        <w:rPr>
          <w:rFonts w:hint="eastAsia" w:ascii="仿宋_GB2312" w:hAnsi="仿宋_GB2312" w:cs="仿宋_GB2312"/>
        </w:rPr>
      </w:pPr>
    </w:p>
    <w:p w14:paraId="131931BC">
      <w:pPr>
        <w:pStyle w:val="2"/>
        <w:rPr>
          <w:rFonts w:hint="eastAsia"/>
        </w:rPr>
      </w:pPr>
    </w:p>
    <w:p w14:paraId="69FFC4E2">
      <w:pPr>
        <w:pStyle w:val="2"/>
        <w:rPr>
          <w:rFonts w:hint="eastAsia"/>
        </w:rPr>
      </w:pPr>
    </w:p>
    <w:tbl>
      <w:tblPr>
        <w:tblStyle w:val="18"/>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D56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14:paraId="1AA404A9">
            <w:pPr>
              <w:ind w:firstLine="320" w:firstLineChars="100"/>
              <w:jc w:val="left"/>
              <w:rPr>
                <w:rFonts w:ascii="仿宋_GB2312" w:eastAsia="仿宋_GB2312" w:cs="仿宋_GB2312"/>
                <w:color w:val="000000"/>
              </w:rPr>
            </w:pPr>
            <w:r>
              <w:rPr>
                <w:rFonts w:hint="eastAsia" w:ascii="仿宋_GB2312" w:eastAsia="仿宋_GB2312" w:cs="仿宋_GB2312"/>
                <w:color w:val="000000"/>
              </w:rPr>
              <w:t xml:space="preserve">卡龙镇人民政府　                </w:t>
            </w:r>
            <w:r>
              <w:rPr>
                <w:rFonts w:ascii="Times New Roman" w:hAnsi="Times New Roman" w:eastAsia="仿宋_GB2312" w:cs="Times New Roman"/>
                <w:color w:val="000000"/>
              </w:rPr>
              <w:t>202</w:t>
            </w:r>
            <w:r>
              <w:rPr>
                <w:rFonts w:hint="eastAsia" w:eastAsia="仿宋_GB2312" w:cs="Times New Roman"/>
                <w:color w:val="000000"/>
                <w:lang w:val="en-US" w:eastAsia="zh-CN"/>
              </w:rPr>
              <w:t>5</w:t>
            </w:r>
            <w:r>
              <w:rPr>
                <w:rFonts w:ascii="Times New Roman" w:hAnsi="Times New Roman" w:eastAsia="仿宋_GB2312" w:cs="Times New Roman"/>
                <w:color w:val="000000"/>
              </w:rPr>
              <w:t>年</w:t>
            </w:r>
            <w:r>
              <w:rPr>
                <w:rFonts w:hint="eastAsia" w:eastAsia="仿宋_GB2312" w:cs="Times New Roman"/>
                <w:color w:val="000000"/>
                <w:lang w:val="en-US" w:eastAsia="zh-CN"/>
              </w:rPr>
              <w:t>4</w:t>
            </w:r>
            <w:r>
              <w:rPr>
                <w:rFonts w:ascii="Times New Roman" w:hAnsi="Times New Roman" w:eastAsia="仿宋_GB2312" w:cs="Times New Roman"/>
                <w:color w:val="000000"/>
              </w:rPr>
              <w:t>月</w:t>
            </w:r>
            <w:r>
              <w:rPr>
                <w:rFonts w:hint="eastAsia" w:eastAsia="仿宋_GB2312" w:cs="Times New Roman"/>
                <w:color w:val="000000"/>
                <w:lang w:val="en-US" w:eastAsia="zh-CN"/>
              </w:rPr>
              <w:t>28</w:t>
            </w:r>
            <w:r>
              <w:rPr>
                <w:rFonts w:hint="eastAsia" w:ascii="仿宋_GB2312" w:eastAsia="仿宋_GB2312" w:cs="仿宋_GB2312"/>
                <w:color w:val="000000"/>
              </w:rPr>
              <w:t>日印</w:t>
            </w:r>
          </w:p>
        </w:tc>
      </w:tr>
    </w:tbl>
    <w:p w14:paraId="449F384D">
      <w:pPr>
        <w:ind w:left="0" w:firstLine="0" w:firstLineChars="0"/>
        <w:rPr>
          <w:rFonts w:ascii="仿宋_GB2312" w:eastAsia="仿宋_GB2312" w:cs="仿宋_GB2312"/>
        </w:rPr>
      </w:pPr>
      <w:r>
        <w:rPr>
          <w:rFonts w:hint="eastAsia" w:ascii="黑体" w:eastAsia="黑体" w:cs="黑体"/>
        </w:rPr>
        <w:t>信息公开选项：</w:t>
      </w:r>
      <w:r>
        <w:rPr>
          <w:rFonts w:hint="eastAsia" w:ascii="方正小标宋_GBK" w:eastAsia="方正小标宋_GBK" w:cs="方正小标宋_GBK"/>
        </w:rPr>
        <w:t>依申请公开</w:t>
      </w:r>
    </w:p>
    <w:p w14:paraId="6B0C16C2">
      <w:r>
        <w:rPr>
          <w:rFonts w:hint="eastAsia"/>
          <w:color w:val="000000"/>
          <w:kern w:val="0"/>
          <w:shd w:val="clear" w:color="auto" w:fill="FFFFFF"/>
          <w:lang w:val="zh-CN"/>
        </w:rPr>
        <w:br w:type="page"/>
      </w:r>
    </w:p>
    <w:p w14:paraId="74E5444B">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2109CC37">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黑体" w:eastAsia="黑体" w:cs="黑体"/>
          <w:i w:val="0"/>
          <w:color w:val="000000"/>
          <w:kern w:val="0"/>
          <w:sz w:val="44"/>
          <w:szCs w:val="44"/>
          <w:u w:val="none"/>
          <w:lang w:val="en-US" w:eastAsia="zh-CN"/>
        </w:rPr>
      </w:pPr>
      <w:r>
        <w:rPr>
          <w:rFonts w:hint="eastAsia" w:ascii="黑体" w:eastAsia="黑体" w:cs="黑体"/>
          <w:i w:val="0"/>
          <w:color w:val="000000"/>
          <w:kern w:val="0"/>
          <w:sz w:val="44"/>
          <w:szCs w:val="44"/>
          <w:u w:val="none"/>
          <w:lang w:val="en-US" w:eastAsia="zh-CN"/>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1"/>
        <w:gridCol w:w="1205"/>
        <w:gridCol w:w="2933"/>
        <w:gridCol w:w="951"/>
        <w:gridCol w:w="2478"/>
        <w:gridCol w:w="1299"/>
        <w:gridCol w:w="762"/>
      </w:tblGrid>
      <w:tr w14:paraId="4596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6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01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绩效评价指标指标分值</w:t>
            </w:r>
          </w:p>
        </w:tc>
        <w:tc>
          <w:tcPr>
            <w:tcW w:w="24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33CE">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1299" w:type="dxa"/>
            <w:vMerge w:val="restart"/>
            <w:tcBorders>
              <w:top w:val="single" w:color="000000" w:sz="4" w:space="0"/>
              <w:left w:val="single" w:color="000000" w:sz="4" w:space="0"/>
              <w:bottom w:val="nil"/>
              <w:right w:val="single" w:color="000000" w:sz="4" w:space="0"/>
            </w:tcBorders>
            <w:shd w:val="clear" w:color="auto" w:fill="auto"/>
            <w:noWrap/>
            <w:vAlign w:val="center"/>
          </w:tcPr>
          <w:p w14:paraId="2F9838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762" w:type="dxa"/>
            <w:vMerge w:val="restart"/>
            <w:tcBorders>
              <w:top w:val="single" w:color="000000" w:sz="4" w:space="0"/>
              <w:left w:val="single" w:color="000000" w:sz="4" w:space="0"/>
              <w:bottom w:val="nil"/>
              <w:right w:val="single" w:color="000000" w:sz="4" w:space="0"/>
            </w:tcBorders>
            <w:shd w:val="clear" w:color="auto" w:fill="auto"/>
            <w:noWrap/>
            <w:vAlign w:val="center"/>
          </w:tcPr>
          <w:p w14:paraId="044070A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0B64B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tcBorders>
              <w:top w:val="single" w:color="000000" w:sz="4" w:space="0"/>
              <w:left w:val="single" w:color="000000" w:sz="4" w:space="0"/>
              <w:bottom w:val="single" w:color="000000" w:sz="4" w:space="0"/>
              <w:right w:val="nil"/>
            </w:tcBorders>
            <w:shd w:val="clear" w:color="auto" w:fill="auto"/>
            <w:noWrap/>
            <w:vAlign w:val="center"/>
          </w:tcPr>
          <w:p w14:paraId="755BA0A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73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29B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3C0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2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0FF7"/>
        </w:tc>
        <w:tc>
          <w:tcPr>
            <w:tcW w:w="1299"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1D3D2F8"/>
        </w:tc>
        <w:tc>
          <w:tcPr>
            <w:tcW w:w="762" w:type="dxa"/>
            <w:vMerge w:val="continue"/>
            <w:tcBorders>
              <w:top w:val="nil"/>
              <w:left w:val="single" w:color="000000" w:sz="4" w:space="0"/>
              <w:bottom w:val="single" w:color="000000" w:sz="4" w:space="0"/>
              <w:right w:val="single" w:color="000000" w:sz="4" w:space="0"/>
            </w:tcBorders>
            <w:shd w:val="clear" w:color="auto" w:fill="auto"/>
            <w:noWrap/>
            <w:vAlign w:val="center"/>
          </w:tcPr>
          <w:p w14:paraId="12599B9B"/>
        </w:tc>
      </w:tr>
      <w:tr w14:paraId="5280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F25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4A3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履职效能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9FCC">
            <w:pPr>
              <w:keepNext w:val="0"/>
              <w:keepLines w:val="0"/>
              <w:widowControl/>
              <w:suppressLineNumbers w:val="0"/>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宣传和贯彻执行上级各部门及本镇的各项政策、法规、决议等;保障人员经费，保障日常业务有序进行履职效果;宣传及其他工作履职效果</w:t>
            </w:r>
          </w:p>
        </w:tc>
        <w:tc>
          <w:tcPr>
            <w:tcW w:w="951" w:type="dxa"/>
            <w:tcBorders>
              <w:top w:val="nil"/>
              <w:left w:val="single" w:color="000000" w:sz="4" w:space="0"/>
              <w:bottom w:val="single" w:color="000000" w:sz="4" w:space="0"/>
              <w:right w:val="single" w:color="000000" w:sz="4" w:space="0"/>
            </w:tcBorders>
            <w:shd w:val="clear" w:color="auto" w:fill="auto"/>
            <w:noWrap/>
            <w:vAlign w:val="center"/>
          </w:tcPr>
          <w:p w14:paraId="29113CC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15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55C1">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部门整体绩效目标中选定3-5个核心职能目标，反映该项职能目标完成效果情况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4CA7">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F9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ED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6B84"/>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F9C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预算管理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（25分）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FDBE">
            <w:pPr>
              <w:keepNext w:val="0"/>
              <w:keepLines w:val="0"/>
              <w:widowControl/>
              <w:suppressLineNumbers w:val="0"/>
              <w:ind w:firstLine="720" w:firstLineChars="30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预算编制质量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D733">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8</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8AACF">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部门是否严格按要求编制年初部门预算，年初预算编制的科学性和准确性</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B610">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7</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216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7A7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5FCBF"/>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55F67"/>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339D">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单位收入统筹</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EA4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C7C6">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部门统筹自有收入程度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8525F">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3F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72E4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937D"/>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3A188"/>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DC7A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支出执行进度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FCFF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6</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FA72B">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部门1至6月、1至10月预算执行情况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D331">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6</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16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FC12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8FF2B"/>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D8A5"/>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22A2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预算年终结余</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72A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D2CB">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部门整体年终预算结余情况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364C">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C25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192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E6E6"/>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BC5A"/>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4895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严控一般性支出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31FD">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2DF1">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3ACE2">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5</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A8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D92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1F06"/>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672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财务管理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2158">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财务管理制度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D8817">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90C3D">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部门财务管理制度建立情况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8925">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6E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98E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0F4D9"/>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48A3"/>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473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财务岗位设置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D3F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EF07">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部门财务岗位设置是否符合相关财务管理制度要求</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ACD0A">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2</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E0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CAC6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21401"/>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90CD8"/>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41051">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资金使用规范</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A33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A5F22">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部门资金使用是否符合相关财务管理制度规定</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2180">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5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C3E4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4DA6"/>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6A5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3E3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人均资产变化率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452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66FE">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部门人均资产变化情况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8AC1">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C1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73D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5D70E"/>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D0968"/>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D6094">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资产利用率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EB9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1610">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部门资产超最低使用年限情况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6CC6">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86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E01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A71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3B4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D53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资产盘活率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D81F">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EF6">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部门闲置一年以上的资产盘活情况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3048">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50C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A1CE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A110"/>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C16B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采购管理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68E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支持中小企业发展</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D6D4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474E">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部门是否严格执行政府采购促进中小企业发展相关管理办法</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85D3">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F08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10CD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E5D56"/>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07847"/>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9E9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采购执行率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3536">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241B0">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部门政府采购项目资金支付比例情况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2E8C9">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01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8C1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1C9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（35分）</w:t>
            </w:r>
          </w:p>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14:paraId="38D1A0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B6AC">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决策程序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B5E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6558">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部门预算项目设立是否按规定履行评估论证、申报程序</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5D77">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E35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C7C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33AC"/>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6FA47C2"/>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50FA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2E6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3E21">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85B5">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D3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AFB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BCFA"/>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35A68FF"/>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662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项目入库</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9CB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F6F6">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部门预算项目是否在规定时间完成项目入库</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348A">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F1B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EC06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6548A"/>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14:paraId="5B5631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项目执行</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EE2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执行同向</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9F0A">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D2FD">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部门预算项目实际列支内容是否与绩效目标设置方向相符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5C73">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BD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4C79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C77B1"/>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E9D0F7E"/>
        </w:tc>
        <w:tc>
          <w:tcPr>
            <w:tcW w:w="2933" w:type="dxa"/>
            <w:tcBorders>
              <w:top w:val="single" w:color="000000" w:sz="4" w:space="0"/>
              <w:left w:val="single" w:color="000000" w:sz="4" w:space="0"/>
              <w:bottom w:val="nil"/>
              <w:right w:val="single" w:color="000000" w:sz="4" w:space="0"/>
            </w:tcBorders>
            <w:shd w:val="clear" w:color="auto" w:fill="auto"/>
            <w:noWrap/>
            <w:vAlign w:val="center"/>
          </w:tcPr>
          <w:p w14:paraId="745E0700">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项目调整</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DBF9">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D4C96">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部门预算项目是否采取对应调整措施</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F1A9">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C4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CDE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E9B1"/>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14:paraId="1A3BF234"/>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F4D2">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执行结果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8F2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E3D4">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428CE">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D6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8603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56D0A"/>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A5E9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目标实现</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（11分）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20CF5">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目标完成</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EC78">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C182">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部门预算项目绩效目标数量指标完成情况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BBE3">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E2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AAAA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795B"/>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C3BC"/>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9F3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目标偏离</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024B">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103B3">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部门预算项目绩效目标数量指标实现程度与预期目标的偏离情况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9FF4">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A8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7205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DFCB"/>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AF24"/>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F44E">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实现效果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EF48">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EA616">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部门预算项目绩效目标效益指标实施效果</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E2A8">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4E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117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1191" w:type="dxa"/>
            <w:vMerge w:val="restart"/>
            <w:tcBorders>
              <w:top w:val="single" w:color="000000" w:sz="4" w:space="0"/>
              <w:left w:val="single" w:color="000000" w:sz="4" w:space="0"/>
              <w:bottom w:val="nil"/>
              <w:right w:val="single" w:color="000000" w:sz="4" w:space="0"/>
            </w:tcBorders>
            <w:shd w:val="clear" w:color="auto" w:fill="auto"/>
            <w:noWrap/>
            <w:vAlign w:val="center"/>
          </w:tcPr>
          <w:p w14:paraId="5EAE9EC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E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预算绩效存在问题</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3D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C4C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预算管理和绩效管理工作存在问题</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6F946">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BE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B2BD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19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6AD5A40C"/>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B2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被评价部门配合度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5D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1F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被评价对象工作配合情况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89E1">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C15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5E93A563">
      <w:pPr>
        <w:pStyle w:val="2"/>
        <w:keepNext/>
        <w:keepLines/>
        <w:pageBreakBefore w:val="0"/>
        <w:widowControl w:val="0"/>
        <w:kinsoku/>
        <w:wordWrap/>
        <w:overflowPunct/>
        <w:topLinePunct w:val="0"/>
        <w:autoSpaceDE/>
        <w:autoSpaceDN/>
        <w:bidi w:val="0"/>
        <w:adjustRightInd/>
        <w:snapToGrid/>
        <w:spacing w:line="20" w:lineRule="exact"/>
        <w:textAlignment w:val="auto"/>
        <w:rPr>
          <w:lang w:val="en-US" w:eastAsia="zh-CN"/>
        </w:rPr>
      </w:pPr>
    </w:p>
    <w:p w14:paraId="51D95171">
      <w:pPr>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br w:type="page"/>
      </w:r>
    </w:p>
    <w:p w14:paraId="7669F560">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14:paraId="33009490">
      <w:pPr>
        <w:spacing w:line="801" w:lineRule="exact"/>
      </w:pPr>
    </w:p>
    <w:tbl>
      <w:tblPr>
        <w:tblStyle w:val="1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81"/>
        <w:gridCol w:w="1326"/>
        <w:gridCol w:w="1272"/>
        <w:gridCol w:w="1250"/>
        <w:gridCol w:w="1144"/>
        <w:gridCol w:w="1"/>
        <w:gridCol w:w="1289"/>
        <w:gridCol w:w="1058"/>
        <w:gridCol w:w="926"/>
        <w:gridCol w:w="1113"/>
      </w:tblGrid>
      <w:tr w14:paraId="6B6DE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tcBorders>
              <w:top w:val="nil"/>
              <w:left w:val="nil"/>
              <w:bottom w:val="nil"/>
              <w:right w:val="nil"/>
            </w:tcBorders>
            <w:shd w:val="clear" w:color="auto" w:fill="auto"/>
            <w:noWrap/>
            <w:vAlign w:val="center"/>
          </w:tcPr>
          <w:p w14:paraId="2365569C">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hint="eastAsia" w:ascii="方正小标宋_GBK" w:eastAsia="方正小标宋_GBK" w:cs="方正小标宋_GBK"/>
                <w:i w:val="0"/>
                <w:color w:val="000000"/>
                <w:kern w:val="0"/>
                <w:sz w:val="44"/>
                <w:szCs w:val="44"/>
                <w:u w:val="none"/>
                <w:lang w:val="en-US" w:eastAsia="zh-CN"/>
              </w:rPr>
              <w:t>部门整体绩效目标完成情况自评表</w:t>
            </w:r>
          </w:p>
        </w:tc>
      </w:tr>
      <w:tr w14:paraId="47919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noWrap/>
            <w:vAlign w:val="center"/>
          </w:tcPr>
          <w:p w14:paraId="4F3554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w:t>
            </w:r>
            <w:r>
              <w:rPr>
                <w:rFonts w:hint="eastAsia" w:eastAsia="宋体" w:cs="Times New Roman"/>
                <w:i w:val="0"/>
                <w:color w:val="000000"/>
                <w:kern w:val="0"/>
                <w:sz w:val="28"/>
                <w:szCs w:val="28"/>
                <w:u w:val="none"/>
                <w:lang w:val="en-US" w:eastAsia="zh-CN"/>
              </w:rPr>
              <w:t>4</w:t>
            </w:r>
            <w:r>
              <w:rPr>
                <w:rFonts w:ascii="Times New Roman" w:hAnsi="Times New Roman" w:eastAsia="宋体" w:cs="Times New Roman"/>
                <w:i w:val="0"/>
                <w:color w:val="000000"/>
                <w:kern w:val="0"/>
                <w:sz w:val="28"/>
                <w:szCs w:val="28"/>
                <w:u w:val="none"/>
                <w:lang w:val="en-US" w:eastAsia="zh-CN"/>
              </w:rPr>
              <w:t>年度）</w:t>
            </w:r>
          </w:p>
        </w:tc>
      </w:tr>
      <w:tr w14:paraId="4C39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noWrap/>
            <w:vAlign w:val="center"/>
          </w:tcPr>
          <w:p w14:paraId="68BA2DBC">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14:paraId="0899A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377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C20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04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b/>
                <w:bCs/>
                <w:i w:val="0"/>
                <w:color w:val="000000"/>
                <w:kern w:val="0"/>
                <w:sz w:val="24"/>
                <w:szCs w:val="24"/>
                <w:u w:val="none"/>
                <w:lang w:val="en-US" w:eastAsia="zh-CN"/>
              </w:rPr>
              <w:t>黑水县卡龙镇</w:t>
            </w:r>
          </w:p>
        </w:tc>
      </w:tr>
      <w:tr w14:paraId="29A4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5E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AB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68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FC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14:paraId="2146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3B91D"/>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386C1">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3552">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343E">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0</w:t>
            </w:r>
          </w:p>
        </w:tc>
      </w:tr>
      <w:tr w14:paraId="5170F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0380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14:paraId="6C3A6B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37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CAC5">
            <w:pPr>
              <w:keepNext w:val="0"/>
              <w:keepLines w:val="0"/>
              <w:widowControl/>
              <w:suppressLineNumbers w:val="0"/>
              <w:jc w:val="left"/>
              <w:textAlignment w:val="center"/>
              <w:rPr>
                <w:rFonts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1.实现本级党委和政府正常运转，贯彻落实上级的各项方针政策，各项工作目标任务圆满完成。2.依法管理本级财政，实现收支平衡。3.实现区域经济发展，公共基础设施和生态环境明显改善，满足人民日益增长的美好生活需求，社会治安综合治理水平显著提高，社会稳定，脱贫攻坚成果得到巩固拓展与乡村振兴有效衔接，人民生活水平不断提高，社会公众满意度明显提高，农村基础设施建设和农业生产条件明显改善，农民收入较快增长。</w:t>
            </w:r>
          </w:p>
        </w:tc>
      </w:tr>
      <w:tr w14:paraId="585CB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24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14:paraId="16A436A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0BC9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66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14:paraId="054C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C6C4"/>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199B8">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ascii="宋体" w:eastAsia="宋体" w:cs="宋体"/>
                <w:i w:val="0"/>
                <w:iCs w:val="0"/>
                <w:snapToGrid w:val="0"/>
                <w:color w:val="000000"/>
                <w:kern w:val="0"/>
                <w:sz w:val="18"/>
                <w:szCs w:val="18"/>
                <w:u w:val="none"/>
                <w:lang w:val="en-US" w:eastAsia="zh-CN"/>
              </w:rPr>
              <w:t>基本支出：定额经费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1FD0">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办公费，差旅费，公车运行维护费，培训费，邮电费，劳务费共计617500元，其中在编公车1辆，补助47500元；办公经费含有专项经费支出185000元，乡镇安全生产经费1万，乡镇综治工作经费5千，贫困村镇住房安全保障和开展日常工作经费1万，乡镇乡村振兴专项工作经费1万，乡镇党建工作经费1万，乡镇妇联专项工作经费2万，乡镇人大经费1万，外出务工经商人员管理工作1万，乡镇人武部工作经费5千，乡镇纪检工作经费1万，统计专项工作经费1万，乡镇共青团工作经费2万，乡镇道路交通安全管理办公经费2万，乡镇禁毒工作经费1万，信访协调维稳工作经费1万5，乡镇政协委员联络站工作经费5千，乡镇环境综合治理工作经费5千，合计18.5万元。</w:t>
            </w:r>
          </w:p>
        </w:tc>
      </w:tr>
      <w:tr w14:paraId="129FE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4"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05FFC"/>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A8DE9">
            <w:pPr>
              <w:keepNext w:val="0"/>
              <w:keepLines w:val="0"/>
              <w:widowControl/>
              <w:suppressLineNumbers w:val="0"/>
              <w:ind w:left="0" w:firstLine="0" w:firstLineChars="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基本支出：保障人员经费按时发放缴纳</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93AB">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工资，社会保障缴费，住房公积金，体检费，独子费，遗属补助共计4399394.81元。</w:t>
            </w:r>
          </w:p>
        </w:tc>
      </w:tr>
      <w:tr w14:paraId="701B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79"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A1767"/>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576D7">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项目支出：村级公共运行维护费、村干部工资及体检费、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D661">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2024年卡龙镇共计3个村，资金补助11万元/村，共计330000元，主要用于村级基础设施建设日常维护等；</w:t>
            </w:r>
          </w:p>
          <w:p w14:paraId="55DEFEDF">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2024年村干部预算人数24人，其中村干部基本工资，绩效工资，养老补助，医疗补助，意外险共计771900元，村干部体检费9900元</w:t>
            </w:r>
          </w:p>
        </w:tc>
      </w:tr>
      <w:tr w14:paraId="1B7D0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A9C9"/>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05696">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在县委县政府的领导下，贯彻执行党路线、方针、政策和国家各项法律法规</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9C995">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负责辖区内的地区性、群众性、公益性、社会性工作</w:t>
            </w:r>
          </w:p>
        </w:tc>
      </w:tr>
      <w:tr w14:paraId="7B089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4012">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3D7D">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按照职责范围，负责辖区内相关工作</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6F06">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负责乡镇辖区内城市建设和管理、环境卫生、环境保护等监督、管理、服务工作；负责辖区内维护稳定及社会治安综合治理工作；负责村建设和管理，积极开展服务工作；负责计划生育、劳动就业、安全生产管理、卫生保健、民兵、兵疫等工作。</w:t>
            </w:r>
          </w:p>
        </w:tc>
      </w:tr>
      <w:tr w14:paraId="72EE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nil"/>
              <w:right w:val="single" w:color="000000" w:sz="4" w:space="0"/>
            </w:tcBorders>
            <w:shd w:val="clear" w:color="auto" w:fill="auto"/>
            <w:noWrap/>
            <w:vAlign w:val="center"/>
          </w:tcPr>
          <w:p w14:paraId="18F2BAB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14:paraId="47664547">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98D4">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27054">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C399">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2E96">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14:paraId="19E22BE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6416">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E48F">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14:paraId="1DACAB8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F837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14:paraId="71802DE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14:paraId="0EF15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61976CD7"/>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56AB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产出指标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4ACA">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数量指标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2357">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2024年卡龙镇在职职工24人、在编车辆1辆、严格控制三公经费支出，发放工资、保险人数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CB003">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1E8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7370B">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F08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14:paraId="5833704B">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25</w:t>
            </w:r>
          </w:p>
        </w:tc>
      </w:tr>
      <w:tr w14:paraId="0A32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3F838BB1"/>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0E0F"/>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2BCD"/>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B886C">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黑水县卡龙镇共3个村，村干部24名，确保按时发放村干部工资、按时缴纳保险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37B0">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9A8D">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9BD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4F8E">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A1E3">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24</w:t>
            </w:r>
          </w:p>
        </w:tc>
      </w:tr>
      <w:tr w14:paraId="6AAC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197A3351"/>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A966"/>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ECD0"/>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3988">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经过多途径进行政策宣传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46E0">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552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60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0B009">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7E3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AF64">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65</w:t>
            </w:r>
          </w:p>
        </w:tc>
      </w:tr>
      <w:tr w14:paraId="30173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1C8BA6D4"/>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CDB2"/>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F8E5"/>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9334B">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13A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3FE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FEC55">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74EAF">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CD8E">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3</w:t>
            </w:r>
          </w:p>
        </w:tc>
      </w:tr>
      <w:tr w14:paraId="4A4F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0C073150"/>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83F3"/>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82AD"/>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1E150">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组织各村支部书记召开党建工作会议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E9E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B20E">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1567">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3EB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7D58E">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10</w:t>
            </w:r>
          </w:p>
        </w:tc>
      </w:tr>
      <w:tr w14:paraId="5679E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3B4BA31F"/>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2A97"/>
        </w:tc>
        <w:tc>
          <w:tcPr>
            <w:tcW w:w="1272" w:type="dxa"/>
            <w:tcBorders>
              <w:top w:val="single" w:color="000000" w:sz="4" w:space="0"/>
              <w:left w:val="single" w:color="000000" w:sz="4" w:space="0"/>
              <w:bottom w:val="nil"/>
              <w:right w:val="single" w:color="000000" w:sz="4" w:space="0"/>
            </w:tcBorders>
            <w:shd w:val="clear" w:color="auto" w:fill="auto"/>
            <w:noWrap/>
            <w:vAlign w:val="center"/>
          </w:tcPr>
          <w:p w14:paraId="1F77FD6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质量指标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27F07">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B2A">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52FB">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2A7E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F9BA">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AE8A">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14:paraId="0D433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4F05F183"/>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8FBC"/>
        </w:tc>
        <w:tc>
          <w:tcPr>
            <w:tcW w:w="1272" w:type="dxa"/>
            <w:tcBorders>
              <w:top w:val="single" w:color="000000" w:sz="4" w:space="0"/>
              <w:left w:val="single" w:color="000000" w:sz="4" w:space="0"/>
              <w:bottom w:val="nil"/>
              <w:right w:val="single" w:color="000000" w:sz="4" w:space="0"/>
            </w:tcBorders>
            <w:shd w:val="clear" w:color="auto" w:fill="auto"/>
            <w:noWrap/>
            <w:vAlign w:val="center"/>
          </w:tcPr>
          <w:p w14:paraId="72C9E34D">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时效指标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7A95A">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F7493">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7A3A">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5262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99F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DCA4">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12</w:t>
            </w:r>
          </w:p>
        </w:tc>
      </w:tr>
      <w:tr w14:paraId="31D64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2EC8ED3B"/>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70F7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效益指标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38578">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社会效益指标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45AF">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保障人员经费和公用经费基本支出，提升工作环境，保障职工工作积极性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D2173">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5AB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6AD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4A24">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A6CD4">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14:paraId="661E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60C421F5"/>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A6E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478F8">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FC4F">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提升村民对乡镇满意度，做好对职工的关心关爱工作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F235">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1E0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C758B">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689B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0975">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14:paraId="44E66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14:paraId="14F921B0"/>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81C5">
            <w:pPr>
              <w:keepNext w:val="0"/>
              <w:keepLines w:val="0"/>
              <w:widowControl/>
              <w:suppressLineNumbers w:val="0"/>
              <w:ind w:firstLine="360" w:firstLineChars="20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成本指标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57D6E">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经济成本指标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AA65">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保障基本支出、资金投入使用：人员经费4399394.81元，公用经费617500元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DFD2">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73FD3">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5016894.81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58F6">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9B0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1FA9">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14:paraId="6E98FFE6">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14:paraId="0CA67EF0">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5016894.81</w:t>
            </w:r>
          </w:p>
          <w:p w14:paraId="20BEBF72">
            <w:pPr>
              <w:pStyle w:val="2"/>
              <w:rPr>
                <w:rFonts w:ascii="宋体" w:eastAsia="宋体" w:cs="宋体"/>
                <w:i w:val="0"/>
                <w:iCs w:val="0"/>
                <w:color w:val="000000"/>
                <w:kern w:val="0"/>
                <w:sz w:val="18"/>
                <w:szCs w:val="18"/>
                <w:u w:val="none"/>
                <w:lang w:val="en-US" w:eastAsia="zh-CN"/>
              </w:rPr>
            </w:pPr>
          </w:p>
          <w:p w14:paraId="573D3DB3">
            <w:pPr>
              <w:rPr>
                <w:rFonts w:ascii="宋体" w:eastAsia="宋体" w:cs="宋体"/>
                <w:i w:val="0"/>
                <w:iCs w:val="0"/>
                <w:color w:val="000000"/>
                <w:kern w:val="0"/>
                <w:sz w:val="18"/>
                <w:szCs w:val="18"/>
                <w:u w:val="none"/>
                <w:lang w:val="en-US" w:eastAsia="zh-CN"/>
              </w:rPr>
            </w:pPr>
          </w:p>
          <w:p w14:paraId="6D17662D">
            <w:pPr>
              <w:pStyle w:val="2"/>
              <w:rPr>
                <w:rFonts w:hint="eastAsia"/>
                <w:lang w:val="en-US" w:eastAsia="zh-CN"/>
              </w:rPr>
            </w:pPr>
          </w:p>
          <w:p w14:paraId="2DD4910A">
            <w:pPr>
              <w:pStyle w:val="2"/>
              <w:rPr>
                <w:rFonts w:hint="eastAsia"/>
                <w:lang w:val="en-US" w:eastAsia="zh-CN"/>
              </w:rPr>
            </w:pPr>
          </w:p>
          <w:p w14:paraId="5F98297D">
            <w:pPr>
              <w:pStyle w:val="2"/>
              <w:rPr>
                <w:rFonts w:eastAsia="黑体"/>
                <w:lang w:val="en-US" w:eastAsia="zh-CN"/>
              </w:rPr>
            </w:pPr>
            <w:r>
              <w:rPr>
                <w:rFonts w:hint="eastAsia" w:ascii="宋体" w:eastAsia="宋体" w:cs="宋体"/>
                <w:b w:val="0"/>
                <w:i w:val="0"/>
                <w:iCs w:val="0"/>
                <w:color w:val="000000"/>
                <w:kern w:val="0"/>
                <w:sz w:val="18"/>
                <w:szCs w:val="18"/>
                <w:u w:val="none"/>
                <w:lang w:val="en-US" w:eastAsia="zh-CN"/>
              </w:rPr>
              <w:t>1101900</w:t>
            </w:r>
          </w:p>
        </w:tc>
      </w:tr>
      <w:tr w14:paraId="78AA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single" w:color="000000" w:sz="4" w:space="0"/>
              <w:right w:val="single" w:color="000000" w:sz="4" w:space="0"/>
            </w:tcBorders>
            <w:shd w:val="clear" w:color="auto" w:fill="auto"/>
            <w:noWrap/>
            <w:vAlign w:val="center"/>
          </w:tcPr>
          <w:p w14:paraId="04086020"/>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C919"/>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60EEB"/>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4B0D">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保障项目支出、资金投入使用：村干部工资及体检费771900元，村级公共运行维护费330000元。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F12B">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B558">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1101900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917E">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1072">
            <w:pPr>
              <w:keepNext w:val="0"/>
              <w:keepLines w:val="0"/>
              <w:widowControl/>
              <w:suppressLineNumbers w:val="0"/>
              <w:ind w:firstLine="360" w:firstLineChars="200"/>
              <w:jc w:val="left"/>
              <w:textAlignment w:val="center"/>
            </w:pPr>
            <w:r>
              <w:rPr>
                <w:rFonts w:ascii="宋体" w:eastAsia="宋体" w:cs="宋体"/>
                <w:i w:val="0"/>
                <w:iCs w:val="0"/>
                <w:color w:val="000000"/>
                <w:kern w:val="0"/>
                <w:sz w:val="18"/>
                <w:szCs w:val="18"/>
                <w:u w:val="none"/>
                <w:lang w:val="en-US" w:eastAsia="zh-CN"/>
              </w:rPr>
              <w:t>10</w:t>
            </w: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8B1F"/>
        </w:tc>
      </w:tr>
    </w:tbl>
    <w:p w14:paraId="76284C92">
      <w:pPr>
        <w:pStyle w:val="2"/>
        <w:rPr>
          <w:rFonts w:ascii="Times New Roman" w:hAnsi="Times New Roman" w:eastAsia="宋体" w:cs="Times New Roman"/>
          <w:b/>
          <w:bCs/>
          <w:i w:val="0"/>
          <w:color w:val="000000"/>
          <w:sz w:val="24"/>
          <w:szCs w:val="24"/>
          <w:u w:val="none"/>
        </w:rPr>
      </w:pPr>
    </w:p>
    <w:p w14:paraId="2B58BCF0">
      <w:pPr>
        <w:spacing w:line="281" w:lineRule="auto"/>
        <w:rPr>
          <w:rFonts w:ascii="Arial" w:hAnsi="Arial"/>
          <w:sz w:val="21"/>
        </w:rPr>
      </w:pPr>
    </w:p>
    <w:p w14:paraId="6C476F72">
      <w:pPr>
        <w:spacing w:line="281" w:lineRule="auto"/>
        <w:rPr>
          <w:rFonts w:ascii="Arial" w:hAnsi="Arial"/>
          <w:sz w:val="21"/>
        </w:rPr>
      </w:pPr>
    </w:p>
    <w:p w14:paraId="52DF49F9">
      <w:pPr>
        <w:spacing w:line="801" w:lineRule="exact"/>
        <w:sectPr>
          <w:pgSz w:w="11906" w:h="16839"/>
          <w:pgMar w:top="2098" w:right="1474" w:bottom="1984" w:left="1587" w:header="0" w:footer="0" w:gutter="0"/>
          <w:cols w:space="720" w:num="1"/>
          <w:docGrid w:linePitch="435" w:charSpace="0"/>
        </w:sectPr>
      </w:pPr>
    </w:p>
    <w:p w14:paraId="32A7871C"/>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0F102F2-C486-4964-95D6-BB4F5CC36F60}"/>
  </w:font>
  <w:font w:name="黑体">
    <w:panose1 w:val="02010609060101010101"/>
    <w:charset w:val="86"/>
    <w:family w:val="auto"/>
    <w:pitch w:val="default"/>
    <w:sig w:usb0="800002BF" w:usb1="38CF7CFA" w:usb2="00000016" w:usb3="00000000" w:csb0="00040001" w:csb1="00000000"/>
    <w:embedRegular r:id="rId2" w:fontKey="{8C72FF42-107A-4C27-92F6-3259A2FC96C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7D152AC-B88F-4FAC-B152-E9C8D3C9229A}"/>
  </w:font>
  <w:font w:name="方正仿宋_GB2312">
    <w:panose1 w:val="02000000000000000000"/>
    <w:charset w:val="86"/>
    <w:family w:val="auto"/>
    <w:pitch w:val="default"/>
    <w:sig w:usb0="A00002BF" w:usb1="184F6CFA" w:usb2="00000012" w:usb3="00000000" w:csb0="00040001" w:csb1="00000000"/>
    <w:embedRegular r:id="rId4" w:fontKey="{2E987587-4FDD-4D40-ACCE-646DE0C5F710}"/>
  </w:font>
  <w:font w:name="方正楷体_GB2312">
    <w:panose1 w:val="02000000000000000000"/>
    <w:charset w:val="86"/>
    <w:family w:val="auto"/>
    <w:pitch w:val="default"/>
    <w:sig w:usb0="A00002BF" w:usb1="184F6CFA" w:usb2="00000012" w:usb3="00000000" w:csb0="00040001" w:csb1="00000000"/>
    <w:embedRegular r:id="rId5" w:fontKey="{29114DC4-6213-4455-AB71-0086A47FAD94}"/>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6" w:fontKey="{82B559E5-192B-47AC-8C1F-1DB172D4A314}"/>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embedRegular r:id="rId7" w:fontKey="{D1D79AE6-C183-4FF0-A94E-D1845BC9BA58}"/>
  </w:font>
  <w:font w:name="仿宋">
    <w:panose1 w:val="02010609060101010101"/>
    <w:charset w:val="86"/>
    <w:family w:val="modern"/>
    <w:pitch w:val="default"/>
    <w:sig w:usb0="800002BF" w:usb1="38CF7CFA" w:usb2="00000016" w:usb3="00000000" w:csb0="00040001" w:csb1="00000000"/>
    <w:embedRegular r:id="rId8" w:fontKey="{E8E383C5-01D3-469B-9F69-A1E1BEB3866C}"/>
  </w:font>
  <w:font w:name="方正小标宋_GBK">
    <w:panose1 w:val="03000509000000000000"/>
    <w:charset w:val="86"/>
    <w:family w:val="auto"/>
    <w:pitch w:val="default"/>
    <w:sig w:usb0="00000001" w:usb1="080E0000" w:usb2="00000000" w:usb3="00000000" w:csb0="00040000" w:csb1="00000000"/>
    <w:embedRegular r:id="rId9" w:fontKey="{2B49F864-5384-4BD3-9C33-468C40E9BD11}"/>
  </w:font>
  <w:font w:name="WPSEMBED7">
    <w:panose1 w:val="02000000000000000000"/>
    <w:charset w:val="86"/>
    <w:family w:val="auto"/>
    <w:pitch w:val="default"/>
    <w:sig w:usb0="A00002BF" w:usb1="184F6CFA" w:usb2="00000012" w:usb3="00000000" w:csb0="00040001" w:csb1="00000000"/>
  </w:font>
  <w:font w:name="WPSEMBED6">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embedRegular r:id="rId10" w:fontKey="{75073253-0863-4784-8460-5516DEC595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BEE2">
    <w:pPr>
      <w:pStyle w:val="11"/>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27710" cy="355600"/>
              <wp:effectExtent l="0" t="0" r="0" b="0"/>
              <wp:wrapNone/>
              <wp:docPr id="7" name="文本框 1"/>
              <wp:cNvGraphicFramePr/>
              <a:graphic xmlns:a="http://schemas.openxmlformats.org/drawingml/2006/main">
                <a:graphicData uri="http://schemas.microsoft.com/office/word/2010/wordprocessingShape">
                  <wps:wsp>
                    <wps:cNvSpPr/>
                    <wps:spPr>
                      <a:xfrm>
                        <a:off x="0" y="0"/>
                        <a:ext cx="727913" cy="355599"/>
                      </a:xfrm>
                      <a:prstGeom prst="rect">
                        <a:avLst/>
                      </a:prstGeom>
                      <a:noFill/>
                      <a:ln w="6350" cap="flat" cmpd="sng">
                        <a:noFill/>
                        <a:prstDash val="solid"/>
                        <a:round/>
                      </a:ln>
                    </wps:spPr>
                    <wps:txbx>
                      <w:txbxContent>
                        <w:p w14:paraId="0BDF9FC7">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57.3pt;mso-position-horizontal:outside;mso-position-horizontal-relative:margin;mso-wrap-style:none;z-index:251659264;mso-width-relative:page;mso-height-relative:page;" filled="f" stroked="f" coordsize="21600,21600" o:gfxdata="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&#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6pHt3YAAAABAEAAA8AAAAAAAAAAQAgAAAAIgAAAGRy&#10;cy9kb3ducmV2LnhtbFBLAQIUABQAAAAIAIdO4kBFsG+nBQIAAPQDAAAOAAAAAAAAAAEAIAAAACcB&#10;AABkcnMvZTJvRG9jLnhtbFBLBQYAAAAABgAGAFkBAACeBQAAAAA=&#10;">
              <v:fill on="f" focussize="0,0"/>
              <v:stroke on="f" weight="0.5pt" joinstyle="round"/>
              <v:imagedata o:title=""/>
              <o:lock v:ext="edit" aspectratio="f"/>
              <v:textbox inset="0mm,0mm,0mm,0mm" style="mso-fit-shape-to-text:t;">
                <w:txbxContent>
                  <w:p w14:paraId="0BDF9FC7">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17EE2ED3"/>
    <w:rsid w:val="25AD1F77"/>
    <w:rsid w:val="3394262D"/>
    <w:rsid w:val="5D1712CA"/>
    <w:rsid w:val="6B5962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3">
    <w:name w:val="heading 1"/>
    <w:basedOn w:val="1"/>
    <w:next w:val="1"/>
    <w:qFormat/>
    <w:uiPriority w:val="0"/>
    <w:pPr>
      <w:keepNext/>
      <w:keepLines/>
      <w:widowControl w:val="0"/>
      <w:jc w:val="left"/>
      <w:outlineLvl w:val="0"/>
    </w:pPr>
    <w:rPr>
      <w:rFonts w:eastAsia="黑体"/>
      <w:kern w:val="44"/>
    </w:rPr>
  </w:style>
  <w:style w:type="paragraph" w:styleId="4">
    <w:name w:val="heading 2"/>
    <w:basedOn w:val="1"/>
    <w:next w:val="1"/>
    <w:link w:val="21"/>
    <w:qFormat/>
    <w:uiPriority w:val="0"/>
    <w:pPr>
      <w:keepNext/>
      <w:keepLines/>
      <w:widowControl w:val="0"/>
      <w:outlineLvl w:val="1"/>
    </w:pPr>
    <w:rPr>
      <w:rFonts w:ascii="Arial" w:hAnsi="Arial" w:eastAsia="方正楷体_GB2312"/>
      <w:b/>
    </w:rPr>
  </w:style>
  <w:style w:type="paragraph" w:styleId="5">
    <w:name w:val="heading 3"/>
    <w:basedOn w:val="1"/>
    <w:next w:val="1"/>
    <w:qFormat/>
    <w:uiPriority w:val="0"/>
    <w:pPr>
      <w:widowControl/>
      <w:spacing w:before="100" w:beforeAutospacing="1" w:afterAutospacing="1"/>
      <w:jc w:val="left"/>
      <w:outlineLvl w:val="2"/>
    </w:pPr>
    <w:rPr>
      <w:rFonts w:ascii="宋体" w:hAnsi="宋体" w:cs="宋体"/>
      <w:b/>
      <w:bCs/>
      <w:kern w:val="0"/>
      <w:szCs w:val="27"/>
    </w:rPr>
  </w:style>
  <w:style w:type="paragraph" w:styleId="6">
    <w:name w:val="heading 4"/>
    <w:basedOn w:val="1"/>
    <w:next w:val="1"/>
    <w:qFormat/>
    <w:uiPriority w:val="0"/>
    <w:pPr>
      <w:keepNext/>
      <w:keepLines/>
      <w:widowControl w:val="0"/>
      <w:outlineLvl w:val="3"/>
    </w:pPr>
    <w:rPr>
      <w:rFonts w:ascii="Arial" w:hAnsi="Arial" w:eastAsia="方正楷体_GB2312"/>
      <w:b/>
    </w:rPr>
  </w:style>
  <w:style w:type="character" w:default="1" w:styleId="19">
    <w:name w:val="Default Paragraph Font"/>
    <w:qFormat/>
    <w:uiPriority w:val="0"/>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7">
    <w:name w:val="Normal Indent"/>
    <w:basedOn w:val="1"/>
    <w:next w:val="1"/>
    <w:qFormat/>
    <w:uiPriority w:val="0"/>
  </w:style>
  <w:style w:type="paragraph" w:styleId="8">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9">
    <w:name w:val="Body Text Indent"/>
    <w:basedOn w:val="1"/>
    <w:qFormat/>
    <w:uiPriority w:val="0"/>
    <w:pPr>
      <w:spacing w:after="120"/>
      <w:ind w:left="200" w:leftChars="200"/>
    </w:pPr>
    <w:rPr>
      <w:rFonts w:ascii="仿宋_GB2312" w:hAnsi="仿宋_GB2312"/>
    </w:rPr>
  </w:style>
  <w:style w:type="paragraph" w:styleId="10">
    <w:name w:val="Plain Text"/>
    <w:basedOn w:val="1"/>
    <w:qFormat/>
    <w:uiPriority w:val="0"/>
    <w:pPr>
      <w:widowControl/>
      <w:jc w:val="left"/>
    </w:pPr>
    <w:rPr>
      <w:rFonts w:ascii="宋体" w:hAnsi="宋体"/>
      <w:kern w:val="0"/>
      <w:szCs w:val="21"/>
    </w:rPr>
  </w:style>
  <w:style w:type="paragraph" w:styleId="11">
    <w:name w:val="footer"/>
    <w:basedOn w:val="1"/>
    <w:qFormat/>
    <w:uiPriority w:val="0"/>
    <w:pPr>
      <w:tabs>
        <w:tab w:val="center" w:pos="4153"/>
        <w:tab w:val="right" w:pos="8306"/>
      </w:tabs>
      <w:snapToGrid w:val="0"/>
      <w:jc w:val="left"/>
    </w:pPr>
    <w:rPr>
      <w:sz w:val="18"/>
      <w:szCs w:val="18"/>
      <w:lang w:val="zh-CN"/>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lang w:val="zh-CN"/>
    </w:rPr>
  </w:style>
  <w:style w:type="paragraph" w:styleId="13">
    <w:name w:val="toc 1"/>
    <w:basedOn w:val="1"/>
    <w:next w:val="1"/>
    <w:qFormat/>
    <w:uiPriority w:val="0"/>
  </w:style>
  <w:style w:type="paragraph" w:styleId="14">
    <w:name w:val="table of figures"/>
    <w:basedOn w:val="1"/>
    <w:next w:val="1"/>
    <w:qFormat/>
    <w:uiPriority w:val="0"/>
    <w:pPr>
      <w:ind w:left="400" w:leftChars="200" w:hanging="200" w:hanging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kern w:val="0"/>
      <w:sz w:val="24"/>
      <w:szCs w:val="24"/>
    </w:rPr>
  </w:style>
  <w:style w:type="paragraph" w:styleId="16">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paragraph" w:styleId="17">
    <w:name w:val="Body Text First Indent 2"/>
    <w:basedOn w:val="9"/>
    <w:qFormat/>
    <w:uiPriority w:val="0"/>
  </w:style>
  <w:style w:type="character" w:styleId="20">
    <w:name w:val="Strong"/>
    <w:qFormat/>
    <w:uiPriority w:val="0"/>
    <w:rPr>
      <w:b/>
      <w:bCs/>
    </w:rPr>
  </w:style>
  <w:style w:type="character" w:customStyle="1" w:styleId="21">
    <w:name w:val="heading 2 Char"/>
    <w:basedOn w:val="19"/>
    <w:link w:val="4"/>
    <w:qFormat/>
    <w:uiPriority w:val="0"/>
    <w:rPr>
      <w:rFonts w:ascii="Arial" w:hAnsi="Arial" w:eastAsia="方正楷体_GB2312" w:cs="Times New Roman"/>
      <w:b/>
      <w:kern w:val="2"/>
      <w:sz w:val="32"/>
      <w:szCs w:val="32"/>
      <w:lang w:val="en-US" w:eastAsia="zh-CN" w:bidi="ar-SA"/>
    </w:rPr>
  </w:style>
  <w:style w:type="paragraph" w:customStyle="1" w:styleId="22">
    <w:name w:val="正文2"/>
    <w:basedOn w:val="1"/>
    <w:next w:val="1"/>
    <w:qFormat/>
    <w:uiPriority w:val="0"/>
  </w:style>
  <w:style w:type="character" w:customStyle="1" w:styleId="23">
    <w:name w:val="NormalCharacter"/>
    <w:qFormat/>
    <w:uiPriority w:val="0"/>
  </w:style>
  <w:style w:type="paragraph" w:customStyle="1" w:styleId="24">
    <w:name w:val="四号正文"/>
    <w:basedOn w:val="1"/>
    <w:qFormat/>
    <w:uiPriority w:val="0"/>
    <w:pPr>
      <w:spacing w:line="360" w:lineRule="auto"/>
    </w:pPr>
    <w:rPr>
      <w:rFonts w:ascii="??" w:hAnsi="??" w:eastAsia="宋体"/>
      <w:color w:val="000000"/>
      <w:kern w:val="0"/>
      <w:sz w:val="28"/>
      <w:szCs w:val="21"/>
      <w:lang w:val="zh-CN"/>
    </w:rPr>
  </w:style>
  <w:style w:type="paragraph" w:customStyle="1" w:styleId="25">
    <w:name w:val="普通(网站) Char"/>
    <w:basedOn w:val="1"/>
    <w:qFormat/>
    <w:uiPriority w:val="0"/>
    <w:pPr>
      <w:spacing w:before="100" w:beforeAutospacing="1" w:after="100" w:afterAutospacing="1"/>
      <w:jc w:val="left"/>
    </w:pPr>
    <w:rPr>
      <w:rFonts w:ascii="宋体" w:eastAsia="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20</Pages>
  <Words>6700</Words>
  <Characters>7300</Characters>
  <Lines>642</Lines>
  <Paragraphs>315</Paragraphs>
  <TotalTime>2</TotalTime>
  <ScaleCrop>false</ScaleCrop>
  <LinksUpToDate>false</LinksUpToDate>
  <CharactersWithSpaces>7366</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2024-08-09T03:17:00Z</dcterms:created>
  <dc:creator>卡龙镇公共账号</dc:creator>
  <cp:lastModifiedBy>四月</cp:lastModifiedBy>
  <cp:lastPrinted>2025-08-28T10:11:00Z</cp:lastPrinted>
  <dcterms:modified xsi:type="dcterms:W3CDTF">2025-08-29T01:42:23Z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F0B982D4C4E341978FE5FC631DC36270_13</vt:lpwstr>
  </property>
  <property fmtid="{D5CDD505-2E9C-101B-9397-08002B2CF9AE}" pid="4" name="KSOTemplateDocerSaveRecord">
    <vt:lpwstr>eyJoZGlkIjoiYTM1MjQ4MWYxMjU0MDVmNjA3YWMxYmEyNGIzMWE1YmIiLCJ1c2VySWQiOiIyNDcwMjI0NjQifQ==</vt:lpwstr>
  </property>
</Properties>
</file>