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lang w:val="en-US" w:eastAsia="zh-CN"/>
        </w:rPr>
      </w:pPr>
      <w:bookmarkStart w:id="0" w:name="_Toc15396616"/>
      <w:r>
        <w:rPr>
          <w:rFonts w:hint="eastAsia" w:ascii="黑体" w:hAnsi="黑体" w:eastAsia="黑体" w:cs="黑体"/>
          <w:sz w:val="32"/>
          <w:szCs w:val="32"/>
          <w:lang w:val="en-US" w:eastAsia="zh-CN"/>
        </w:rPr>
        <w:t>附件1-2</w:t>
      </w:r>
    </w:p>
    <w:p>
      <w:pPr>
        <w:jc w:val="left"/>
        <w:rPr>
          <w:rFonts w:hint="eastAsia"/>
          <w:lang w:eastAsia="zh-CN"/>
        </w:rPr>
      </w:pPr>
      <w:r>
        <w:rPr>
          <w:rFonts w:hint="eastAsia" w:ascii="仿宋_GB2312" w:eastAsia="仿宋_GB2312"/>
          <w:sz w:val="32"/>
          <w:szCs w:val="32"/>
          <w:lang w:eastAsia="zh-CN"/>
        </w:rPr>
        <w:drawing>
          <wp:inline distT="0" distB="0" distL="114300" distR="114300">
            <wp:extent cx="5611495" cy="1136015"/>
            <wp:effectExtent l="0" t="0" r="8255" b="6985"/>
            <wp:docPr id="4" name="图片 2" descr="护林防火文件头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护林防火文件头子"/>
                    <pic:cNvPicPr>
                      <a:picLocks noChangeAspect="1"/>
                    </pic:cNvPicPr>
                  </pic:nvPicPr>
                  <pic:blipFill>
                    <a:blip r:embed="rId4"/>
                    <a:stretch>
                      <a:fillRect/>
                    </a:stretch>
                  </pic:blipFill>
                  <pic:spPr>
                    <a:xfrm>
                      <a:off x="0" y="0"/>
                      <a:ext cx="5611495" cy="1136015"/>
                    </a:xfrm>
                    <a:prstGeom prst="rect">
                      <a:avLst/>
                    </a:prstGeom>
                    <a:noFill/>
                    <a:ln>
                      <a:noFill/>
                    </a:ln>
                  </pic:spPr>
                </pic:pic>
              </a:graphicData>
            </a:graphic>
          </wp:inline>
        </w:drawing>
      </w:r>
    </w:p>
    <w:p>
      <w:pPr>
        <w:rPr>
          <w:rFonts w:hint="eastAsia"/>
          <w:lang w:eastAsia="zh-CN"/>
        </w:rPr>
      </w:pPr>
      <w:r>
        <w:rPr>
          <w:rFonts w:ascii="仿宋_GB2312" w:hAnsi="仿宋_GB2312" w:eastAsia="仿宋_GB2312" w:cs="仿宋_GB2312"/>
          <w:sz w:val="32"/>
          <w:szCs w:val="32"/>
        </w:rPr>
        <w:drawing>
          <wp:inline distT="0" distB="0" distL="114300" distR="114300">
            <wp:extent cx="5596255" cy="39370"/>
            <wp:effectExtent l="0" t="0" r="4445" b="17780"/>
            <wp:docPr id="5" name="图片 3" descr="机关事务局红头文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机关事务局红头文件2"/>
                    <pic:cNvPicPr>
                      <a:picLocks noChangeAspect="1"/>
                    </pic:cNvPicPr>
                  </pic:nvPicPr>
                  <pic:blipFill>
                    <a:blip r:embed="rId5"/>
                    <a:stretch>
                      <a:fillRect/>
                    </a:stretch>
                  </pic:blipFill>
                  <pic:spPr>
                    <a:xfrm>
                      <a:off x="0" y="0"/>
                      <a:ext cx="5596255" cy="393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b w:val="0"/>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b w:val="0"/>
          <w:bCs/>
          <w:sz w:val="44"/>
          <w:szCs w:val="44"/>
          <w:lang w:val="en-US" w:eastAsia="zh-CN"/>
        </w:rPr>
      </w:pPr>
      <w:r>
        <w:rPr>
          <w:rFonts w:hint="default" w:ascii="Times New Roman" w:hAnsi="Times New Roman" w:eastAsia="方正小标宋_GBK" w:cs="Times New Roman"/>
          <w:b w:val="0"/>
          <w:bCs/>
          <w:sz w:val="44"/>
          <w:szCs w:val="44"/>
          <w:lang w:val="en-US" w:eastAsia="zh-CN"/>
        </w:rPr>
        <w:t>黑水县目标绩效督查事务中心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b w:val="0"/>
          <w:bCs/>
          <w:sz w:val="44"/>
          <w:szCs w:val="44"/>
        </w:rPr>
      </w:pPr>
      <w:r>
        <w:rPr>
          <w:rFonts w:hint="default" w:ascii="Times New Roman" w:hAnsi="Times New Roman" w:eastAsia="方正小标宋_GBK" w:cs="Times New Roman"/>
          <w:b w:val="0"/>
          <w:bCs/>
          <w:sz w:val="44"/>
          <w:szCs w:val="44"/>
        </w:rPr>
        <w:t>20</w:t>
      </w:r>
      <w:r>
        <w:rPr>
          <w:rFonts w:hint="default" w:ascii="Times New Roman" w:hAnsi="Times New Roman" w:eastAsia="方正小标宋_GBK" w:cs="Times New Roman"/>
          <w:b w:val="0"/>
          <w:bCs/>
          <w:sz w:val="44"/>
          <w:szCs w:val="44"/>
          <w:lang w:val="en-US" w:eastAsia="zh-CN"/>
        </w:rPr>
        <w:t>25</w:t>
      </w:r>
      <w:r>
        <w:rPr>
          <w:rFonts w:hint="default" w:ascii="Times New Roman" w:hAnsi="Times New Roman" w:eastAsia="方正小标宋_GBK" w:cs="Times New Roman"/>
          <w:b w:val="0"/>
          <w:bCs/>
          <w:sz w:val="44"/>
          <w:szCs w:val="44"/>
        </w:rPr>
        <w:t>年部门整体支出绩效评价报告</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一、部门（单位）概况</w:t>
      </w:r>
    </w:p>
    <w:p>
      <w:pPr>
        <w:keepNext w:val="0"/>
        <w:keepLines w:val="0"/>
        <w:pageBreakBefore w:val="0"/>
        <w:widowControl/>
        <w:numPr>
          <w:ilvl w:val="0"/>
          <w:numId w:val="0"/>
        </w:numPr>
        <w:kinsoku/>
        <w:wordWrap/>
        <w:overflowPunct w:val="0"/>
        <w:topLinePunct/>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（一）机构组成</w:t>
      </w:r>
    </w:p>
    <w:p>
      <w:pPr>
        <w:keepNext w:val="0"/>
        <w:keepLines w:val="0"/>
        <w:pageBreakBefore w:val="0"/>
        <w:widowControl/>
        <w:numPr>
          <w:ilvl w:val="0"/>
          <w:numId w:val="0"/>
        </w:numPr>
        <w:kinsoku/>
        <w:wordWrap/>
        <w:overflowPunct w:val="0"/>
        <w:topLinePunct/>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黑水县目标绩效督查事务中心</w:t>
      </w:r>
      <w:r>
        <w:rPr>
          <w:rFonts w:hint="default" w:ascii="Times New Roman" w:hAnsi="Times New Roman" w:eastAsia="仿宋_GB2312" w:cs="Times New Roman"/>
          <w:sz w:val="32"/>
          <w:szCs w:val="32"/>
          <w:lang w:eastAsia="zh-CN"/>
        </w:rPr>
        <w:t>内设股</w:t>
      </w:r>
      <w:r>
        <w:rPr>
          <w:rFonts w:hint="default" w:ascii="Times New Roman" w:hAnsi="Times New Roman" w:eastAsia="仿宋_GB2312" w:cs="Times New Roman"/>
          <w:sz w:val="32"/>
          <w:szCs w:val="32"/>
        </w:rPr>
        <w:t>室</w:t>
      </w:r>
      <w:r>
        <w:rPr>
          <w:rFonts w:hint="default" w:ascii="Times New Roman" w:hAnsi="Times New Roman" w:eastAsia="仿宋_GB2312" w:cs="Times New Roman"/>
          <w:sz w:val="32"/>
          <w:szCs w:val="32"/>
          <w:lang w:val="en-US" w:eastAsia="zh-CN"/>
        </w:rPr>
        <w:t>2个，无</w:t>
      </w:r>
      <w:r>
        <w:rPr>
          <w:rFonts w:hint="default" w:ascii="Times New Roman" w:hAnsi="Times New Roman" w:eastAsia="仿宋_GB2312" w:cs="Times New Roman"/>
          <w:sz w:val="32"/>
          <w:szCs w:val="32"/>
          <w:lang w:eastAsia="zh-CN"/>
        </w:rPr>
        <w:t>下属单位</w:t>
      </w:r>
      <w:r>
        <w:rPr>
          <w:rFonts w:hint="default" w:ascii="Times New Roman" w:hAnsi="Times New Roman" w:eastAsia="仿宋_GB2312" w:cs="Times New Roman"/>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机构职能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负责党中央、国务院方针政策和省委、省政府、州委、州政府决策部署贯彻落实的督查。</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2.</w:t>
      </w:r>
      <w:r>
        <w:rPr>
          <w:rFonts w:hint="default" w:ascii="Times New Roman" w:hAnsi="Times New Roman" w:eastAsia="仿宋_GB2312" w:cs="Times New Roman"/>
          <w:b w:val="0"/>
          <w:bCs w:val="0"/>
          <w:sz w:val="32"/>
          <w:szCs w:val="32"/>
        </w:rPr>
        <w:t>承担县委、县政府领导同志批示交办事项的督办落实责任。</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3.</w:t>
      </w:r>
      <w:r>
        <w:rPr>
          <w:rFonts w:hint="default" w:ascii="Times New Roman" w:hAnsi="Times New Roman" w:eastAsia="仿宋_GB2312" w:cs="Times New Roman"/>
          <w:b w:val="0"/>
          <w:bCs w:val="0"/>
          <w:sz w:val="32"/>
          <w:szCs w:val="32"/>
        </w:rPr>
        <w:t>负责督查落实县委、县政府重要文件、重要会议决议、决定和重大决策、重要工作部署。负责重大民生实事的跟踪督查督办和汇总上报。</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4.</w:t>
      </w:r>
      <w:r>
        <w:rPr>
          <w:rFonts w:hint="default" w:ascii="Times New Roman" w:hAnsi="Times New Roman" w:eastAsia="仿宋_GB2312" w:cs="Times New Roman"/>
          <w:b w:val="0"/>
          <w:bCs w:val="0"/>
          <w:sz w:val="32"/>
          <w:szCs w:val="32"/>
        </w:rPr>
        <w:t>负责督查落实本级或上一级人大代表议案、建议、意见和政协委员提案的办理情况。</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5.</w:t>
      </w:r>
      <w:r>
        <w:rPr>
          <w:rFonts w:hint="default" w:ascii="Times New Roman" w:hAnsi="Times New Roman" w:eastAsia="仿宋_GB2312" w:cs="Times New Roman"/>
          <w:b w:val="0"/>
          <w:bCs w:val="0"/>
          <w:sz w:val="32"/>
          <w:szCs w:val="32"/>
        </w:rPr>
        <w:t>根据决策实施的进展情况，选择关系全局的热点、难点问题及执行中出现的倾向性、苗头性问题开展专题调研，对重点问题进行剖析，向县委县政府写出《督查专报》，提供决策参考。</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6.</w:t>
      </w:r>
      <w:r>
        <w:rPr>
          <w:rFonts w:hint="default" w:ascii="Times New Roman" w:hAnsi="Times New Roman" w:eastAsia="仿宋_GB2312" w:cs="Times New Roman"/>
          <w:b w:val="0"/>
          <w:bCs w:val="0"/>
          <w:sz w:val="32"/>
          <w:szCs w:val="32"/>
        </w:rPr>
        <w:t>负责</w:t>
      </w:r>
      <w:r>
        <w:rPr>
          <w:rFonts w:hint="eastAsia" w:eastAsia="仿宋_GB2312" w:cs="Times New Roman"/>
          <w:b w:val="0"/>
          <w:bCs w:val="0"/>
          <w:sz w:val="32"/>
          <w:szCs w:val="32"/>
          <w:lang w:eastAsia="zh-CN"/>
        </w:rPr>
        <w:t>州委、州政府</w:t>
      </w:r>
      <w:r>
        <w:rPr>
          <w:rFonts w:hint="default" w:ascii="Times New Roman" w:hAnsi="Times New Roman" w:eastAsia="仿宋_GB2312" w:cs="Times New Roman"/>
          <w:b w:val="0"/>
          <w:bCs w:val="0"/>
          <w:sz w:val="32"/>
          <w:szCs w:val="32"/>
        </w:rPr>
        <w:t>对县委、县政府的目标绩效考核工作。负责州委、州政府下达给县委、县政府目标任务的分解下达、统筹协调、督查推进工作。</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7.</w:t>
      </w:r>
      <w:r>
        <w:rPr>
          <w:rFonts w:hint="default" w:ascii="Times New Roman" w:hAnsi="Times New Roman" w:eastAsia="仿宋_GB2312" w:cs="Times New Roman"/>
          <w:b w:val="0"/>
          <w:bCs w:val="0"/>
          <w:sz w:val="32"/>
          <w:szCs w:val="32"/>
        </w:rPr>
        <w:t>负责全县督查检查考核统筹规范有关具体工作，研究制定县本级年度督查工作计划。根据县委、县政府研究决定，协调和推动各职能部门和下级党委开展督促检查，常态</w:t>
      </w:r>
      <w:r>
        <w:rPr>
          <w:rFonts w:hint="default" w:ascii="Times New Roman" w:hAnsi="Times New Roman" w:eastAsia="仿宋_GB2312" w:cs="Times New Roman"/>
          <w:b w:val="0"/>
          <w:bCs w:val="0"/>
          <w:sz w:val="32"/>
          <w:szCs w:val="32"/>
          <w:lang w:val="en-US" w:eastAsia="zh-CN"/>
        </w:rPr>
        <w:t>化</w:t>
      </w:r>
      <w:r>
        <w:rPr>
          <w:rFonts w:hint="default" w:ascii="Times New Roman" w:hAnsi="Times New Roman" w:eastAsia="仿宋_GB2312" w:cs="Times New Roman"/>
          <w:b w:val="0"/>
          <w:bCs w:val="0"/>
          <w:sz w:val="32"/>
          <w:szCs w:val="32"/>
        </w:rPr>
        <w:t>开展暗访督查。对决策落实涉及几个部门的，确定牵头或主办单位。加强与各职能部门的联系，了解重点工作进展情况，向县委、县政府汇总报告。</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8.</w:t>
      </w:r>
      <w:r>
        <w:rPr>
          <w:rFonts w:hint="default" w:ascii="Times New Roman" w:hAnsi="Times New Roman" w:eastAsia="仿宋_GB2312" w:cs="Times New Roman"/>
          <w:b w:val="0"/>
          <w:bCs w:val="0"/>
          <w:sz w:val="32"/>
          <w:szCs w:val="32"/>
        </w:rPr>
        <w:t>负责组织各乡镇、县级部门年度目标的编制、分解，及目标绩效的监控、考评、汇总上报工作。</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9.</w:t>
      </w:r>
      <w:r>
        <w:rPr>
          <w:rFonts w:hint="default" w:ascii="Times New Roman" w:hAnsi="Times New Roman" w:eastAsia="仿宋_GB2312" w:cs="Times New Roman"/>
          <w:b w:val="0"/>
          <w:bCs w:val="0"/>
          <w:sz w:val="32"/>
          <w:szCs w:val="32"/>
        </w:rPr>
        <w:t>负责县委、县政府年度目标任务完成情况的自查、协调、汇总上报。</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lang w:val="en-US" w:eastAsia="zh-CN"/>
        </w:rPr>
        <w:t xml:space="preserve">    10.</w:t>
      </w:r>
      <w:r>
        <w:rPr>
          <w:rFonts w:hint="default" w:ascii="Times New Roman" w:hAnsi="Times New Roman" w:eastAsia="仿宋_GB2312" w:cs="Times New Roman"/>
          <w:b w:val="0"/>
          <w:bCs w:val="0"/>
          <w:sz w:val="32"/>
          <w:szCs w:val="32"/>
        </w:rPr>
        <w:t>完成县委、县政府交办的其他工作。</w:t>
      </w:r>
    </w:p>
    <w:p>
      <w:pPr>
        <w:keepNext w:val="0"/>
        <w:keepLines w:val="0"/>
        <w:pageBreakBefore w:val="0"/>
        <w:kinsoku/>
        <w:wordWrap/>
        <w:overflowPunct w:val="0"/>
        <w:topLinePunct/>
        <w:autoSpaceDE/>
        <w:autoSpaceDN/>
        <w:bidi w:val="0"/>
        <w:spacing w:line="560" w:lineRule="exact"/>
        <w:ind w:firstLine="642"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（三）人员概况</w:t>
      </w:r>
    </w:p>
    <w:p>
      <w:pPr>
        <w:keepNext w:val="0"/>
        <w:keepLines w:val="0"/>
        <w:pageBreakBefore w:val="0"/>
        <w:kinsoku/>
        <w:wordWrap/>
        <w:overflowPunct w:val="0"/>
        <w:topLinePunct/>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年末，</w:t>
      </w:r>
      <w:r>
        <w:rPr>
          <w:rFonts w:hint="default" w:ascii="Times New Roman" w:hAnsi="Times New Roman" w:eastAsia="仿宋_GB2312" w:cs="Times New Roman"/>
          <w:sz w:val="32"/>
          <w:szCs w:val="32"/>
          <w:lang w:val="en-US" w:eastAsia="zh-CN"/>
        </w:rPr>
        <w:t>黑水县目标绩效督查事务中心</w:t>
      </w:r>
      <w:r>
        <w:rPr>
          <w:rFonts w:hint="default" w:ascii="Times New Roman" w:hAnsi="Times New Roman" w:eastAsia="仿宋_GB2312" w:cs="Times New Roman"/>
          <w:sz w:val="32"/>
          <w:szCs w:val="32"/>
        </w:rPr>
        <w:t>单位总编制6名，其中：行政编制</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名，参公人员</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名，</w:t>
      </w:r>
      <w:r>
        <w:rPr>
          <w:rFonts w:hint="default" w:ascii="Times New Roman" w:hAnsi="Times New Roman" w:eastAsia="仿宋_GB2312" w:cs="Times New Roman"/>
          <w:sz w:val="32"/>
          <w:szCs w:val="32"/>
          <w:lang w:val="en-US" w:eastAsia="zh-CN"/>
        </w:rPr>
        <w:t>事业6</w:t>
      </w:r>
      <w:r>
        <w:rPr>
          <w:rFonts w:hint="default" w:ascii="Times New Roman" w:hAnsi="Times New Roman" w:eastAsia="仿宋_GB2312" w:cs="Times New Roman"/>
          <w:sz w:val="32"/>
          <w:szCs w:val="32"/>
        </w:rPr>
        <w:t>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工勤0名，</w:t>
      </w:r>
      <w:r>
        <w:rPr>
          <w:rFonts w:hint="default" w:ascii="Times New Roman" w:hAnsi="Times New Roman" w:eastAsia="仿宋_GB2312" w:cs="Times New Roman"/>
          <w:sz w:val="32"/>
          <w:szCs w:val="32"/>
          <w:lang w:eastAsia="zh-CN"/>
        </w:rPr>
        <w:t>年末实有人数</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二、部门财政资金收支情况</w:t>
      </w:r>
    </w:p>
    <w:p>
      <w:pPr>
        <w:keepNext w:val="0"/>
        <w:keepLines w:val="0"/>
        <w:pageBreakBefore w:val="0"/>
        <w:widowControl/>
        <w:kinsoku/>
        <w:wordWrap/>
        <w:overflowPunct w:val="0"/>
        <w:topLinePunct/>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（一）部门财政资金收入情况</w:t>
      </w:r>
    </w:p>
    <w:p>
      <w:pPr>
        <w:keepNext w:val="0"/>
        <w:keepLines w:val="0"/>
        <w:pageBreakBefore w:val="0"/>
        <w:widowControl/>
        <w:kinsoku/>
        <w:wordWrap/>
        <w:overflowPunct w:val="0"/>
        <w:topLinePunct/>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cs="Times New Roman"/>
          <w:szCs w:val="32"/>
          <w:lang w:val="en-US" w:eastAsia="zh-CN"/>
        </w:rPr>
      </w:pPr>
      <w:r>
        <w:rPr>
          <w:rFonts w:hint="default" w:ascii="Times New Roman" w:hAnsi="Times New Roman" w:eastAsia="仿宋_GB2312" w:cs="Times New Roman"/>
          <w:sz w:val="32"/>
          <w:szCs w:val="32"/>
          <w:lang w:val="en-US" w:eastAsia="zh-CN"/>
        </w:rPr>
        <w:t>黑水县目标绩效督查事务中心2025年年初预算收入75.97万元、决算报表收入96.17万元，本年实际收入与年初预算增加20.2万元，差异率</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%。差异主要原因：2025年调走1人，新增2人，人员经费增加。</w:t>
      </w:r>
    </w:p>
    <w:p>
      <w:pPr>
        <w:keepNext w:val="0"/>
        <w:keepLines w:val="0"/>
        <w:pageBreakBefore w:val="0"/>
        <w:numPr>
          <w:ilvl w:val="0"/>
          <w:numId w:val="0"/>
        </w:numPr>
        <w:tabs>
          <w:tab w:val="left" w:pos="939"/>
        </w:tabs>
        <w:kinsoku/>
        <w:wordWrap/>
        <w:autoSpaceDE/>
        <w:autoSpaceDN/>
        <w:bidi w:val="0"/>
        <w:spacing w:line="560" w:lineRule="exact"/>
        <w:ind w:firstLine="642"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lang w:val="en-US" w:eastAsia="zh-CN"/>
        </w:rPr>
        <w:t>二</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部门财政资金支出情况</w:t>
      </w:r>
    </w:p>
    <w:p>
      <w:pPr>
        <w:keepNext w:val="0"/>
        <w:keepLines w:val="0"/>
        <w:pageBreakBefore w:val="0"/>
        <w:numPr>
          <w:ilvl w:val="0"/>
          <w:numId w:val="0"/>
        </w:numPr>
        <w:tabs>
          <w:tab w:val="left" w:pos="939"/>
        </w:tabs>
        <w:kinsoku/>
        <w:wordWrap/>
        <w:autoSpaceDE/>
        <w:autoSpaceDN/>
        <w:bidi w:val="0"/>
        <w:spacing w:line="560" w:lineRule="exact"/>
        <w:ind w:firstLine="640" w:firstLineChars="200"/>
        <w:jc w:val="left"/>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黑水县目标绩效督查事务中心2025年年初预算支出75.97万元、决算报表支出96.17万元，本年实际收入与年初预算增加20.2万元，差异率</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%。差异主要原因：2025年调走1人，新增2人，人员经费增加。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三、部门整体预算绩效管理情况</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方正黑体_GBK" w:cs="Times New Roman"/>
          <w:bCs/>
          <w:sz w:val="32"/>
          <w:lang w:eastAsia="zh-CN" w:bidi="ar-SA"/>
        </w:rPr>
      </w:pPr>
      <w:r>
        <w:rPr>
          <w:rFonts w:hint="default" w:ascii="Times New Roman" w:hAnsi="Times New Roman" w:eastAsia="仿宋_GB2312" w:cs="Times New Roman"/>
          <w:sz w:val="32"/>
          <w:lang w:val="en-US" w:eastAsia="zh-CN"/>
        </w:rPr>
        <w:t>我单位绩效评价自评总分为99分。</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楷体_GB2312" w:cs="Times New Roman"/>
          <w:b/>
          <w:sz w:val="32"/>
          <w:lang w:val="zh-CN" w:eastAsia="zh-CN" w:bidi="ar-SA"/>
        </w:rPr>
      </w:pPr>
      <w:r>
        <w:rPr>
          <w:rFonts w:hint="default" w:ascii="Times New Roman" w:hAnsi="Times New Roman" w:eastAsia="楷体_GB2312" w:cs="Times New Roman"/>
          <w:b/>
          <w:sz w:val="32"/>
          <w:lang w:val="zh-CN" w:eastAsia="zh-CN" w:bidi="ar-SA"/>
        </w:rPr>
        <w:t>(一)部门预算总体绩效分析。（得分</w:t>
      </w:r>
      <w:r>
        <w:rPr>
          <w:rFonts w:hint="default" w:ascii="Times New Roman" w:hAnsi="Times New Roman" w:eastAsia="楷体_GB2312" w:cs="Times New Roman"/>
          <w:b/>
          <w:sz w:val="32"/>
          <w:lang w:val="en-US" w:eastAsia="zh-CN" w:bidi="ar-SA"/>
        </w:rPr>
        <w:t>64分</w:t>
      </w:r>
      <w:r>
        <w:rPr>
          <w:rFonts w:hint="default" w:ascii="Times New Roman" w:hAnsi="Times New Roman" w:eastAsia="楷体_GB2312" w:cs="Times New Roman"/>
          <w:b/>
          <w:sz w:val="32"/>
          <w:lang w:val="zh-CN" w:eastAsia="zh-CN" w:bidi="ar-SA"/>
        </w:rPr>
        <w:t>）</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hint="default" w:ascii="Times New Roman" w:hAnsi="Times New Roman" w:eastAsia="仿宋_GB2312" w:cs="Times New Roman"/>
          <w:b/>
          <w:sz w:val="32"/>
          <w:lang w:val="zh-CN" w:eastAsia="zh-CN" w:bidi="ar-SA"/>
        </w:rPr>
      </w:pPr>
      <w:r>
        <w:rPr>
          <w:rFonts w:hint="default" w:ascii="Times New Roman" w:hAnsi="Times New Roman" w:eastAsia="仿宋_GB2312" w:cs="Times New Roman"/>
          <w:b/>
          <w:sz w:val="32"/>
          <w:lang w:val="en-US" w:eastAsia="zh-CN" w:bidi="ar-SA"/>
        </w:rPr>
        <w:t>1.</w:t>
      </w:r>
      <w:r>
        <w:rPr>
          <w:rFonts w:hint="default" w:ascii="Times New Roman" w:hAnsi="Times New Roman" w:eastAsia="仿宋_GB2312" w:cs="Times New Roman"/>
          <w:b/>
          <w:sz w:val="32"/>
          <w:lang w:val="zh-CN" w:eastAsia="zh-CN" w:bidi="ar-SA"/>
        </w:rPr>
        <w:t>履行职能。（得分：</w:t>
      </w:r>
      <w:r>
        <w:rPr>
          <w:rFonts w:hint="default" w:ascii="Times New Roman" w:hAnsi="Times New Roman" w:eastAsia="仿宋_GB2312" w:cs="Times New Roman"/>
          <w:b/>
          <w:sz w:val="32"/>
          <w:lang w:val="en-US" w:eastAsia="zh-CN" w:bidi="ar-SA"/>
        </w:rPr>
        <w:t>1</w:t>
      </w:r>
      <w:r>
        <w:rPr>
          <w:rFonts w:hint="eastAsia" w:eastAsia="仿宋_GB2312" w:cs="Times New Roman"/>
          <w:b/>
          <w:sz w:val="32"/>
          <w:lang w:val="en-US" w:eastAsia="zh-CN" w:bidi="ar-SA"/>
        </w:rPr>
        <w:t>5</w:t>
      </w:r>
      <w:r>
        <w:rPr>
          <w:rFonts w:hint="default" w:ascii="Times New Roman" w:hAnsi="Times New Roman" w:eastAsia="仿宋_GB2312" w:cs="Times New Roman"/>
          <w:b/>
          <w:sz w:val="32"/>
          <w:lang w:val="en-US" w:eastAsia="zh-CN" w:bidi="ar-SA"/>
        </w:rPr>
        <w:t>分</w:t>
      </w:r>
      <w:r>
        <w:rPr>
          <w:rFonts w:hint="default" w:ascii="Times New Roman" w:hAnsi="Times New Roman" w:eastAsia="仿宋_GB2312" w:cs="Times New Roman"/>
          <w:b/>
          <w:sz w:val="32"/>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是</w:t>
      </w:r>
      <w:r>
        <w:rPr>
          <w:rFonts w:hint="default" w:ascii="Times New Roman" w:hAnsi="Times New Roman" w:eastAsia="仿宋_GB2312" w:cs="Times New Roman"/>
          <w:b/>
          <w:bCs/>
          <w:color w:val="auto"/>
          <w:sz w:val="32"/>
          <w:szCs w:val="32"/>
          <w:lang w:eastAsia="zh-CN"/>
        </w:rPr>
        <w:t>深化</w:t>
      </w:r>
      <w:r>
        <w:rPr>
          <w:rFonts w:hint="default" w:ascii="Times New Roman" w:hAnsi="Times New Roman" w:eastAsia="仿宋_GB2312" w:cs="Times New Roman"/>
          <w:b/>
          <w:bCs/>
          <w:color w:val="auto"/>
          <w:sz w:val="32"/>
          <w:szCs w:val="32"/>
          <w:lang w:val="en-US" w:eastAsia="zh-CN"/>
        </w:rPr>
        <w:t>理论学习</w:t>
      </w:r>
      <w:r>
        <w:rPr>
          <w:rFonts w:hint="default" w:ascii="Times New Roman" w:hAnsi="Times New Roman" w:eastAsia="仿宋_GB2312" w:cs="Times New Roman"/>
          <w:b/>
          <w:bCs/>
          <w:color w:val="auto"/>
          <w:sz w:val="32"/>
          <w:szCs w:val="32"/>
          <w:lang w:eastAsia="zh-CN"/>
        </w:rPr>
        <w:t>，筑牢政治忠诚。</w:t>
      </w:r>
      <w:r>
        <w:rPr>
          <w:rFonts w:hint="default" w:ascii="Times New Roman" w:hAnsi="Times New Roman" w:eastAsia="仿宋_GB2312" w:cs="Times New Roman"/>
          <w:b w:val="0"/>
          <w:bCs w:val="0"/>
          <w:color w:val="auto"/>
          <w:sz w:val="32"/>
          <w:szCs w:val="32"/>
          <w:lang w:val="en-US" w:eastAsia="zh-CN"/>
        </w:rPr>
        <w:t>坚持将理论学</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习作为“必修课”，科学安排政治理论和业务知识学习计划，落实好会前学纪学法和第一议题制度，把职工会、班子会、支部集中学习等机会利用起来，系统学习党的二十大精神，自觉将思想与行动聚焦到履职尽责、干事创业上来，始终同以习近平同志为核心的党中央保持高度一致，力求将学习成果转化为推动工作的强大动力。</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截至目前，中心共开展各类集中学习16次。</w:t>
      </w:r>
      <w:r>
        <w:rPr>
          <w:rFonts w:hint="default" w:ascii="Times New Roman" w:hAnsi="Times New Roman" w:eastAsia="仿宋_GB2312" w:cs="Times New Roman"/>
          <w:b/>
          <w:bCs/>
          <w:color w:val="auto"/>
          <w:sz w:val="32"/>
          <w:szCs w:val="32"/>
          <w:lang w:val="en-US" w:eastAsia="zh-CN"/>
        </w:rPr>
        <w:t>二是聚力减负提质，强化督考增效。</w:t>
      </w:r>
      <w:r>
        <w:rPr>
          <w:rFonts w:hint="default" w:ascii="Times New Roman" w:hAnsi="Times New Roman" w:eastAsia="仿宋_GB2312" w:cs="Times New Roman"/>
          <w:b w:val="0"/>
          <w:bCs w:val="0"/>
          <w:color w:val="auto"/>
          <w:sz w:val="32"/>
          <w:szCs w:val="32"/>
          <w:lang w:val="en-US" w:eastAsia="zh-CN"/>
        </w:rPr>
        <w:t>今年以来，目督中心深入贯彻落实中央、省委、州委及县委关于整治形式主义为基层减负的决策部署，聚焦重点领域及基层反映强烈的突出问题，精准施策、多措并举，减负工作取得阶段性成效。</w:t>
      </w:r>
      <w:r>
        <w:rPr>
          <w:rFonts w:hint="default" w:ascii="Times New Roman" w:hAnsi="Times New Roman" w:eastAsia="仿宋_GB2312" w:cs="Times New Roman"/>
          <w:b/>
          <w:bCs/>
          <w:color w:val="auto"/>
          <w:sz w:val="32"/>
          <w:szCs w:val="32"/>
          <w:lang w:val="en-US" w:eastAsia="zh-CN"/>
        </w:rPr>
        <w:t>抓好目标考核。</w:t>
      </w:r>
      <w:r>
        <w:rPr>
          <w:rFonts w:hint="default" w:ascii="Times New Roman" w:hAnsi="Times New Roman" w:eastAsia="仿宋_GB2312" w:cs="Times New Roman"/>
          <w:b w:val="0"/>
          <w:bCs w:val="0"/>
          <w:color w:val="auto"/>
          <w:sz w:val="32"/>
          <w:szCs w:val="32"/>
          <w:lang w:val="en-US" w:eastAsia="zh-CN"/>
        </w:rPr>
        <w:t>立足县委县政府中心工作，以推动高质量发展为切入点，持续巩固和拓展</w:t>
      </w:r>
      <w:r>
        <w:rPr>
          <w:rFonts w:hint="default" w:ascii="Times New Roman" w:hAnsi="Times New Roman" w:eastAsia="仿宋_GB2312" w:cs="Times New Roman"/>
          <w:b w:val="0"/>
          <w:bCs w:val="0"/>
          <w:color w:val="000000" w:themeColor="text1"/>
          <w:w w:val="100"/>
          <w:sz w:val="32"/>
          <w:szCs w:val="32"/>
          <w:lang w:val="en-US" w:eastAsia="zh-CN"/>
          <w14:textFill>
            <w14:solidFill>
              <w14:schemeClr w14:val="tx1"/>
            </w14:solidFill>
          </w14:textFill>
        </w:rPr>
        <w:t>精简优化基层考核成效，在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突出地方特色的基础上，聚焦考核关键重点，优化计分方法、精简考核体系，科学设置</w:t>
      </w:r>
      <w:r>
        <w:rPr>
          <w:rFonts w:hint="default" w:ascii="Times New Roman" w:hAnsi="Times New Roman" w:eastAsia="仿宋_GB2312" w:cs="Times New Roman"/>
          <w:color w:val="000000" w:themeColor="text1"/>
          <w:w w:val="100"/>
          <w:sz w:val="32"/>
          <w:szCs w:val="32"/>
          <w:lang w:val="en-US" w:eastAsia="zh-CN"/>
          <w14:textFill>
            <w14:solidFill>
              <w14:schemeClr w14:val="tx1"/>
            </w14:solidFill>
          </w14:textFill>
        </w:rPr>
        <w:t>2025年乡镇和县级部门考核指标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，考核更加精准高效</w:t>
      </w:r>
      <w:r>
        <w:rPr>
          <w:rFonts w:hint="default" w:ascii="Times New Roman" w:hAnsi="Times New Roman" w:eastAsia="仿宋_GB2312" w:cs="Times New Roman"/>
          <w:color w:val="000000" w:themeColor="text1"/>
          <w:w w:val="100"/>
          <w:sz w:val="32"/>
          <w:szCs w:val="32"/>
          <w:lang w:val="en-US" w:eastAsia="zh-CN"/>
          <w14:textFill>
            <w14:solidFill>
              <w14:schemeClr w14:val="tx1"/>
            </w14:solidFill>
          </w14:textFill>
        </w:rPr>
        <w:t>。</w:t>
      </w:r>
      <w:r>
        <w:rPr>
          <w:rFonts w:hint="default" w:ascii="Times New Roman" w:hAnsi="Times New Roman" w:eastAsia="仿宋_GB2312" w:cs="Times New Roman"/>
          <w:b/>
          <w:bCs/>
          <w:color w:val="auto"/>
          <w:w w:val="100"/>
          <w:sz w:val="32"/>
          <w:szCs w:val="32"/>
          <w:lang w:val="en-US" w:eastAsia="zh-CN"/>
        </w:rPr>
        <w:t>抓好督查检查。</w:t>
      </w:r>
      <w:r>
        <w:rPr>
          <w:rFonts w:hint="default" w:ascii="Times New Roman" w:hAnsi="Times New Roman" w:eastAsia="仿宋_GB2312" w:cs="Times New Roman"/>
          <w:b w:val="0"/>
          <w:bCs w:val="0"/>
          <w:color w:val="000000" w:themeColor="text1"/>
          <w:w w:val="100"/>
          <w:sz w:val="32"/>
          <w:szCs w:val="32"/>
          <w:lang w:val="en-US" w:eastAsia="zh-CN"/>
          <w14:textFill>
            <w14:solidFill>
              <w14:schemeClr w14:val="tx1"/>
            </w14:solidFill>
          </w14:textFill>
        </w:rPr>
        <w:t>持续推进年度督查检查考核事项计划和备案管理，改进丰富督查方式，严格落实“事前提醒+事中指导+事后跟踪”工作流程，</w:t>
      </w:r>
      <w:r>
        <w:rPr>
          <w:rFonts w:hint="default" w:ascii="Times New Roman" w:hAnsi="Times New Roman" w:eastAsia="仿宋_GB2312" w:cs="Times New Roman"/>
          <w:sz w:val="32"/>
          <w:szCs w:val="32"/>
          <w:lang w:val="en-US" w:eastAsia="zh-CN"/>
        </w:rPr>
        <w:t>围绕基层减负、项目建设、托底性帮扶、群众工作“石榴籽”工程、农牧业发展、“三防一安全”、城乡环境综合整治、常委会、常务会议定事项、县委书记批示事项办理等全县重点任务开展专项督查，</w:t>
      </w:r>
      <w:r>
        <w:rPr>
          <w:rFonts w:hint="default" w:ascii="Times New Roman" w:hAnsi="Times New Roman" w:eastAsia="仿宋_GB2312" w:cs="Times New Roman"/>
          <w:color w:val="auto"/>
          <w:sz w:val="32"/>
          <w:szCs w:val="32"/>
          <w:lang w:val="en-US" w:eastAsia="zh-CN"/>
        </w:rPr>
        <w:t>有效</w:t>
      </w:r>
      <w:r>
        <w:rPr>
          <w:rFonts w:hint="default" w:ascii="Times New Roman" w:hAnsi="Times New Roman" w:eastAsia="仿宋_GB2312" w:cs="Times New Roman"/>
          <w:b w:val="0"/>
          <w:bCs w:val="0"/>
          <w:color w:val="000000" w:themeColor="text1"/>
          <w:w w:val="100"/>
          <w:sz w:val="32"/>
          <w:szCs w:val="32"/>
          <w:lang w:val="en-US" w:eastAsia="zh-CN"/>
          <w14:textFill>
            <w14:solidFill>
              <w14:schemeClr w14:val="tx1"/>
            </w14:solidFill>
          </w14:textFill>
        </w:rPr>
        <w:t>发挥督查“利剑”作用。</w:t>
      </w:r>
      <w:r>
        <w:rPr>
          <w:rFonts w:hint="default" w:ascii="Times New Roman" w:hAnsi="Times New Roman" w:eastAsia="仿宋_GB2312" w:cs="Times New Roman"/>
          <w:b/>
          <w:bCs/>
          <w:color w:val="auto"/>
          <w:sz w:val="32"/>
          <w:szCs w:val="32"/>
          <w:lang w:val="en-US" w:eastAsia="zh-CN"/>
        </w:rPr>
        <w:t>三是践行</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双联双进</w:t>
      </w:r>
      <w:r>
        <w:rPr>
          <w:rFonts w:hint="default" w:ascii="Times New Roman" w:hAnsi="Times New Roman" w:eastAsia="仿宋_GB2312" w:cs="Times New Roman"/>
          <w:b/>
          <w:bCs/>
          <w:color w:val="auto"/>
          <w:sz w:val="32"/>
          <w:szCs w:val="32"/>
          <w:lang w:val="en-US" w:eastAsia="zh-CN"/>
        </w:rPr>
        <w:t>，切实为民解忧。</w:t>
      </w:r>
      <w:r>
        <w:rPr>
          <w:rFonts w:hint="default" w:ascii="Times New Roman" w:hAnsi="Times New Roman" w:eastAsia="仿宋_GB2312" w:cs="Times New Roman"/>
          <w:b w:val="0"/>
          <w:bCs w:val="0"/>
          <w:color w:val="auto"/>
          <w:sz w:val="32"/>
          <w:szCs w:val="32"/>
          <w:lang w:val="en-US" w:eastAsia="zh-CN"/>
        </w:rPr>
        <w:t>坚持人民至上理念，将密切联系群众、提升服务效能作为工作的出发点和落脚点</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，以群众工作“石榴籽”工程为总抓手，建立健全领导干部定期下访制度，采用线上线下相结合方式，畅通民意沟通渠道，及时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掌握群众和僧侣生活、生产实情，全覆盖开展宣传教育，全面普及惠民政策，持续加强正向引导。加强与村“两委”、驻村工作队的对接沟通，聚焦群众急难愁盼问题，积极与县级主管部门对接，推进实施“安全饮水”“地质灾害治理”等民生项目，推进民生问题闭环办理。</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四是加快作风转变，夯实实干意识。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坚持以严实作风为主线，以规范财务管理为抓手，将党风廉政建设贯穿于中心工作全过程，深入学习贯彻习近平总书记关于加强党的作风建设重要论述精神，认真领会二十届中央纪委四次全会重要讲话精神，组织学习《</w:t>
      </w:r>
      <w:bookmarkStart w:id="2" w:name="_GoBack"/>
      <w:bookmarkEnd w:id="2"/>
      <w:r>
        <w:rPr>
          <w:rFonts w:hint="eastAsia" w:eastAsia="仿宋_GB2312" w:cs="Times New Roman"/>
          <w:color w:val="000000" w:themeColor="text1"/>
          <w:sz w:val="32"/>
          <w:szCs w:val="32"/>
          <w:lang w:val="en-US" w:eastAsia="zh-CN"/>
          <w14:textFill>
            <w14:solidFill>
              <w14:schemeClr w14:val="tx1"/>
            </w14:solidFill>
          </w14:textFill>
        </w:rPr>
        <w:t>中国共产党机构编制工作条例</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》《中华人民共和国监察法》等文件，开展案例警示教育活动，引导干部职工特别是重点领域人员增强纪律意识、规矩意识，从思想源头筑牢拒腐防线。</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Times New Roman" w:hAnsi="Times New Roman" w:eastAsia="仿宋_GB2312" w:cs="Times New Roman"/>
          <w:b/>
          <w:sz w:val="32"/>
          <w:szCs w:val="32"/>
          <w:lang w:val="zh-CN" w:eastAsia="zh-CN" w:bidi="ar-SA"/>
        </w:rPr>
      </w:pPr>
      <w:r>
        <w:rPr>
          <w:rFonts w:hint="default" w:ascii="Times New Roman" w:hAnsi="Times New Roman" w:eastAsia="仿宋_GB2312" w:cs="Times New Roman"/>
          <w:b/>
          <w:sz w:val="32"/>
          <w:szCs w:val="32"/>
          <w:lang w:val="en-US" w:eastAsia="zh-CN" w:bidi="ar-SA"/>
        </w:rPr>
        <w:t>2.</w:t>
      </w:r>
      <w:r>
        <w:rPr>
          <w:rFonts w:hint="default" w:ascii="Times New Roman" w:hAnsi="Times New Roman" w:eastAsia="仿宋_GB2312" w:cs="Times New Roman"/>
          <w:b/>
          <w:sz w:val="32"/>
          <w:szCs w:val="32"/>
          <w:lang w:val="zh-CN" w:eastAsia="zh-CN" w:bidi="ar-SA"/>
        </w:rPr>
        <w:t>预算管理。（得分：</w:t>
      </w:r>
      <w:r>
        <w:rPr>
          <w:rFonts w:hint="default" w:ascii="Times New Roman" w:hAnsi="Times New Roman" w:eastAsia="仿宋_GB2312" w:cs="Times New Roman"/>
          <w:b/>
          <w:sz w:val="32"/>
          <w:szCs w:val="32"/>
          <w:lang w:val="en-US" w:eastAsia="zh-CN" w:bidi="ar-SA"/>
        </w:rPr>
        <w:t>2</w:t>
      </w:r>
      <w:r>
        <w:rPr>
          <w:rFonts w:hint="eastAsia" w:eastAsia="仿宋_GB2312" w:cs="Times New Roman"/>
          <w:b/>
          <w:sz w:val="32"/>
          <w:szCs w:val="32"/>
          <w:lang w:val="en-US" w:eastAsia="zh-CN" w:bidi="ar-SA"/>
        </w:rPr>
        <w:t>4</w:t>
      </w:r>
      <w:r>
        <w:rPr>
          <w:rFonts w:hint="default" w:ascii="Times New Roman" w:hAnsi="Times New Roman" w:eastAsia="仿宋_GB2312" w:cs="Times New Roman"/>
          <w:b/>
          <w:sz w:val="32"/>
          <w:szCs w:val="32"/>
          <w:lang w:val="en-US" w:eastAsia="zh-CN" w:bidi="ar-SA"/>
        </w:rPr>
        <w:t>分</w:t>
      </w:r>
      <w:r>
        <w:rPr>
          <w:rFonts w:hint="default" w:ascii="Times New Roman" w:hAnsi="Times New Roman" w:eastAsia="仿宋_GB2312" w:cs="Times New Roman"/>
          <w:b/>
          <w:sz w:val="32"/>
          <w:szCs w:val="32"/>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（1）</w:t>
      </w:r>
      <w:r>
        <w:rPr>
          <w:rFonts w:hint="default" w:ascii="Times New Roman" w:hAnsi="Times New Roman" w:eastAsia="仿宋_GB2312" w:cs="Times New Roman"/>
          <w:color w:val="000000"/>
          <w:kern w:val="0"/>
          <w:sz w:val="32"/>
          <w:szCs w:val="32"/>
          <w:highlight w:val="none"/>
          <w:shd w:val="clear" w:color="auto" w:fill="FFFFFF"/>
          <w:lang w:val="zh-CN" w:eastAsia="zh-CN" w:bidi="ar-SA"/>
        </w:rPr>
        <w:t>预算编制质量：</w:t>
      </w:r>
      <w:r>
        <w:rPr>
          <w:rFonts w:hint="default" w:ascii="Times New Roman" w:hAnsi="Times New Roman" w:eastAsia="仿宋_GB2312" w:cs="Times New Roman"/>
          <w:color w:val="000000"/>
          <w:kern w:val="0"/>
          <w:sz w:val="32"/>
          <w:szCs w:val="32"/>
          <w:highlight w:val="none"/>
          <w:shd w:val="clear" w:color="auto" w:fill="FFFFFF"/>
          <w:lang w:val="en-US" w:eastAsia="zh-CN" w:bidi="ar-SA"/>
        </w:rPr>
        <w:t>我单位</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严格按要求编制</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年初部门预算</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，提交部门预算草案，</w:t>
      </w:r>
      <w:r>
        <w:rPr>
          <w:rFonts w:hint="eastAsia" w:eastAsia="仿宋_GB2312" w:cs="Times New Roman"/>
          <w:color w:val="000000"/>
          <w:kern w:val="0"/>
          <w:sz w:val="32"/>
          <w:szCs w:val="32"/>
          <w:highlight w:val="none"/>
          <w:shd w:val="clear" w:color="auto" w:fill="FFFFFF"/>
          <w:lang w:val="en-US" w:eastAsia="zh-CN" w:bidi="ar-SA"/>
        </w:rPr>
        <w:t>但</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年初预算编制</w:t>
      </w:r>
      <w:r>
        <w:rPr>
          <w:rFonts w:hint="eastAsia" w:eastAsia="仿宋_GB2312" w:cs="Times New Roman"/>
          <w:color w:val="000000"/>
          <w:kern w:val="0"/>
          <w:sz w:val="32"/>
          <w:szCs w:val="32"/>
          <w:highlight w:val="none"/>
          <w:shd w:val="clear" w:color="auto" w:fill="FFFFFF"/>
          <w:lang w:val="en-US" w:eastAsia="zh-CN" w:bidi="ar-SA"/>
        </w:rPr>
        <w:t>偏离度较大</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w:t>
      </w:r>
      <w:r>
        <w:rPr>
          <w:rFonts w:hint="eastAsia" w:eastAsia="仿宋_GB2312" w:cs="Times New Roman"/>
          <w:color w:val="000000"/>
          <w:kern w:val="0"/>
          <w:sz w:val="32"/>
          <w:szCs w:val="32"/>
          <w:highlight w:val="none"/>
          <w:shd w:val="clear" w:color="auto" w:fill="FFFFFF"/>
          <w:lang w:val="en-US" w:eastAsia="zh-CN" w:bidi="ar-SA"/>
        </w:rPr>
        <w:t>7</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（2）单位收入统筹：我单位无超出预算的统筹收入。</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（3）</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支出执行进度：</w:t>
      </w:r>
      <w:r>
        <w:rPr>
          <w:rFonts w:hint="default" w:ascii="Times New Roman" w:hAnsi="Times New Roman" w:eastAsia="仿宋_GB2312" w:cs="Times New Roman"/>
          <w:color w:val="000000"/>
          <w:kern w:val="0"/>
          <w:sz w:val="32"/>
          <w:szCs w:val="32"/>
          <w:highlight w:val="none"/>
          <w:shd w:val="clear" w:color="auto" w:fill="FFFFFF"/>
          <w:lang w:val="en-US" w:eastAsia="zh-CN" w:bidi="ar-SA"/>
        </w:rPr>
        <w:t>我单位</w:t>
      </w:r>
      <w:r>
        <w:rPr>
          <w:rFonts w:hint="default" w:ascii="Times New Roman" w:hAnsi="Times New Roman" w:eastAsia="仿宋_GB2312" w:cs="Times New Roman"/>
          <w:color w:val="000000"/>
          <w:kern w:val="0"/>
          <w:sz w:val="32"/>
          <w:szCs w:val="32"/>
          <w:highlight w:val="none"/>
          <w:shd w:val="clear" w:color="auto" w:fill="FFFFFF"/>
          <w:lang w:val="zh-CN" w:eastAsia="zh-CN" w:bidi="ar-SA"/>
        </w:rPr>
        <w:t>1至</w:t>
      </w:r>
      <w:r>
        <w:rPr>
          <w:rFonts w:hint="default" w:ascii="Times New Roman" w:hAnsi="Times New Roman" w:eastAsia="仿宋_GB2312" w:cs="Times New Roman"/>
          <w:color w:val="000000"/>
          <w:kern w:val="0"/>
          <w:sz w:val="32"/>
          <w:szCs w:val="32"/>
          <w:highlight w:val="none"/>
          <w:shd w:val="clear" w:color="auto" w:fill="FFFFFF"/>
          <w:lang w:val="en-US" w:eastAsia="zh-CN" w:bidi="ar-SA"/>
        </w:rPr>
        <w:t>12</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月预算执行</w:t>
      </w:r>
      <w:r>
        <w:rPr>
          <w:rFonts w:hint="default" w:ascii="Times New Roman" w:hAnsi="Times New Roman" w:eastAsia="仿宋_GB2312" w:cs="Times New Roman"/>
          <w:color w:val="000000"/>
          <w:kern w:val="0"/>
          <w:sz w:val="32"/>
          <w:szCs w:val="32"/>
          <w:highlight w:val="none"/>
          <w:shd w:val="clear" w:color="auto" w:fill="FFFFFF"/>
          <w:lang w:val="en-US" w:eastAsia="zh-CN" w:bidi="ar-SA"/>
        </w:rPr>
        <w:t>无延迟支付情况。</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得分：6分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（4）预算年终结余：我单位</w:t>
      </w:r>
      <w:r>
        <w:rPr>
          <w:rFonts w:hint="default" w:ascii="Times New Roman" w:hAnsi="Times New Roman" w:eastAsia="仿宋_GB2312" w:cs="Times New Roman"/>
          <w:color w:val="000000"/>
          <w:kern w:val="0"/>
          <w:sz w:val="32"/>
          <w:szCs w:val="32"/>
          <w:highlight w:val="none"/>
          <w:shd w:val="clear" w:color="auto" w:fill="FFFFFF"/>
          <w:lang w:val="zh-CN" w:eastAsia="zh-CN" w:bidi="ar-SA"/>
        </w:rPr>
        <w:t>年终</w:t>
      </w:r>
      <w:r>
        <w:rPr>
          <w:rFonts w:hint="default" w:ascii="Times New Roman" w:hAnsi="Times New Roman" w:eastAsia="仿宋_GB2312" w:cs="Times New Roman"/>
          <w:color w:val="000000"/>
          <w:kern w:val="0"/>
          <w:sz w:val="32"/>
          <w:szCs w:val="32"/>
          <w:highlight w:val="none"/>
          <w:shd w:val="clear" w:color="auto" w:fill="FFFFFF"/>
          <w:lang w:val="en-US" w:eastAsia="zh-CN" w:bidi="ar-SA"/>
        </w:rPr>
        <w:t>无</w:t>
      </w:r>
      <w:r>
        <w:rPr>
          <w:rFonts w:hint="default" w:ascii="Times New Roman" w:hAnsi="Times New Roman" w:eastAsia="仿宋_GB2312" w:cs="Times New Roman"/>
          <w:color w:val="000000"/>
          <w:kern w:val="0"/>
          <w:sz w:val="32"/>
          <w:szCs w:val="32"/>
          <w:highlight w:val="none"/>
          <w:shd w:val="clear" w:color="auto" w:fill="FFFFFF"/>
          <w:lang w:val="zh-CN" w:eastAsia="zh-CN" w:bidi="ar-SA"/>
        </w:rPr>
        <w:t>预算结转结余</w:t>
      </w:r>
      <w:r>
        <w:rPr>
          <w:rFonts w:hint="default" w:ascii="Times New Roman" w:hAnsi="Times New Roman" w:eastAsia="仿宋_GB2312" w:cs="Times New Roman"/>
          <w:color w:val="000000"/>
          <w:kern w:val="0"/>
          <w:sz w:val="32"/>
          <w:szCs w:val="32"/>
          <w:highlight w:val="none"/>
          <w:shd w:val="clear" w:color="auto" w:fill="FFFFFF"/>
          <w:lang w:val="en-US" w:eastAsia="zh-CN" w:bidi="ar-SA"/>
        </w:rPr>
        <w:t>资金</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情况。（</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得分：2分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（5）</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严控一般性支出：</w:t>
      </w:r>
      <w:r>
        <w:rPr>
          <w:rFonts w:hint="default" w:ascii="Times New Roman" w:hAnsi="Times New Roman" w:eastAsia="仿宋_GB2312" w:cs="Times New Roman"/>
          <w:color w:val="000000"/>
          <w:kern w:val="0"/>
          <w:sz w:val="32"/>
          <w:szCs w:val="32"/>
          <w:highlight w:val="none"/>
          <w:shd w:val="clear" w:color="auto" w:fill="FFFFFF"/>
          <w:lang w:val="en-US" w:eastAsia="zh-CN" w:bidi="ar-SA"/>
        </w:rPr>
        <w:t>我单位</w:t>
      </w:r>
      <w:r>
        <w:rPr>
          <w:rFonts w:hint="default" w:ascii="Times New Roman" w:hAnsi="Times New Roman" w:eastAsia="仿宋_GB2312" w:cs="Times New Roman"/>
          <w:b w:val="0"/>
          <w:bCs w:val="0"/>
          <w:sz w:val="32"/>
          <w:szCs w:val="32"/>
          <w:lang w:val="en-US" w:eastAsia="zh-CN"/>
        </w:rPr>
        <w:t>严格落实中央八项规定</w:t>
      </w:r>
      <w:r>
        <w:rPr>
          <w:rFonts w:hint="eastAsia" w:eastAsia="仿宋_GB2312" w:cs="Times New Roman"/>
          <w:b w:val="0"/>
          <w:bCs w:val="0"/>
          <w:sz w:val="32"/>
          <w:szCs w:val="32"/>
          <w:lang w:val="en-US" w:eastAsia="zh-CN"/>
        </w:rPr>
        <w:t>精神</w:t>
      </w:r>
      <w:r>
        <w:rPr>
          <w:rFonts w:hint="default" w:ascii="Times New Roman" w:hAnsi="Times New Roman" w:eastAsia="仿宋_GB2312" w:cs="Times New Roman"/>
          <w:b w:val="0"/>
          <w:bCs w:val="0"/>
          <w:sz w:val="32"/>
          <w:szCs w:val="32"/>
          <w:lang w:val="en-US" w:eastAsia="zh-CN"/>
        </w:rPr>
        <w:t>和省、州、县委各项规定，</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严控“三公”经费、差旅费</w:t>
      </w:r>
      <w:r>
        <w:rPr>
          <w:rFonts w:hint="default" w:ascii="Times New Roman" w:hAnsi="Times New Roman" w:eastAsia="仿宋_GB2312" w:cs="Times New Roman"/>
          <w:color w:val="000000"/>
          <w:kern w:val="0"/>
          <w:sz w:val="32"/>
          <w:szCs w:val="32"/>
          <w:highlight w:val="none"/>
          <w:shd w:val="clear" w:color="auto" w:fill="FFFFFF"/>
          <w:lang w:val="en-US" w:eastAsia="zh-CN" w:bidi="ar-SA"/>
        </w:rPr>
        <w:t>等</w:t>
      </w:r>
      <w:r>
        <w:rPr>
          <w:rFonts w:hint="default" w:ascii="Times New Roman" w:hAnsi="Times New Roman" w:eastAsia="仿宋_GB2312" w:cs="Times New Roman"/>
          <w:color w:val="000000"/>
          <w:kern w:val="0"/>
          <w:sz w:val="32"/>
          <w:szCs w:val="32"/>
          <w:highlight w:val="none"/>
          <w:shd w:val="clear" w:color="auto" w:fill="FFFFFF"/>
          <w:lang w:val="zh-CN" w:eastAsia="zh-CN" w:bidi="ar-SA"/>
        </w:rPr>
        <w:t>，特别注意对预算编制准确性的把握，并严格按照要求进行预算执行调整。</w:t>
      </w:r>
      <w:r>
        <w:rPr>
          <w:rFonts w:hint="default" w:ascii="Times New Roman" w:hAnsi="Times New Roman" w:eastAsia="仿宋_GB2312" w:cs="Times New Roman"/>
          <w:b w:val="0"/>
          <w:bCs w:val="0"/>
          <w:sz w:val="32"/>
          <w:szCs w:val="32"/>
          <w:lang w:val="en" w:eastAsia="zh-CN"/>
        </w:rPr>
        <w:t>加强后勤服务管理，</w:t>
      </w:r>
      <w:r>
        <w:rPr>
          <w:rFonts w:hint="default" w:ascii="Times New Roman" w:hAnsi="Times New Roman" w:eastAsia="仿宋_GB2312" w:cs="Times New Roman"/>
          <w:b w:val="0"/>
          <w:bCs w:val="0"/>
          <w:sz w:val="32"/>
          <w:szCs w:val="32"/>
          <w:lang w:val="en-US" w:eastAsia="zh-CN"/>
        </w:rPr>
        <w:t>严格树立“过紧日子”思想，发扬艰苦奋斗作风，反对奢侈浪费，厉行节约，严守财务管理规章制度，</w:t>
      </w:r>
      <w:r>
        <w:rPr>
          <w:rFonts w:hint="default" w:ascii="Times New Roman" w:hAnsi="Times New Roman" w:eastAsia="仿宋_GB2312" w:cs="Times New Roman"/>
          <w:b w:val="0"/>
          <w:bCs w:val="0"/>
          <w:sz w:val="32"/>
          <w:szCs w:val="32"/>
          <w:lang w:val="en" w:eastAsia="zh-CN"/>
        </w:rPr>
        <w:t>规范财务报销和后勤用品购置，有效节约了办公经费。</w:t>
      </w:r>
      <w:r>
        <w:rPr>
          <w:rFonts w:hint="default" w:ascii="Times New Roman" w:hAnsi="Times New Roman" w:eastAsia="仿宋_GB2312" w:cs="Times New Roman"/>
          <w:color w:val="000000"/>
          <w:kern w:val="0"/>
          <w:sz w:val="32"/>
          <w:szCs w:val="32"/>
          <w:highlight w:val="none"/>
          <w:shd w:val="clear" w:color="auto" w:fill="FFFFFF"/>
          <w:lang w:val="zh-CN" w:eastAsia="zh-CN" w:bidi="ar-SA"/>
        </w:rPr>
        <w:t>部门预算在财政部门批复后及时填报预算公示报表报财政审核并在政府信息公开网上公示。（</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得分：5分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2" w:firstLineChars="200"/>
        <w:jc w:val="left"/>
        <w:textAlignment w:val="auto"/>
        <w:rPr>
          <w:rFonts w:hint="default" w:ascii="Times New Roman" w:hAnsi="Times New Roman" w:eastAsia="仿宋_GB2312" w:cs="Times New Roman"/>
          <w:bCs/>
          <w:sz w:val="32"/>
          <w:szCs w:val="32"/>
          <w:lang w:val="zh-CN" w:eastAsia="zh-CN" w:bidi="ar-SA"/>
        </w:rPr>
      </w:pPr>
      <w:r>
        <w:rPr>
          <w:rFonts w:hint="default" w:ascii="Times New Roman" w:hAnsi="Times New Roman" w:eastAsia="仿宋_GB2312" w:cs="Times New Roman"/>
          <w:b/>
          <w:sz w:val="32"/>
          <w:szCs w:val="32"/>
          <w:lang w:val="en-US" w:eastAsia="zh-CN" w:bidi="ar-SA"/>
        </w:rPr>
        <w:t>3.</w:t>
      </w:r>
      <w:r>
        <w:rPr>
          <w:rFonts w:hint="default" w:ascii="Times New Roman" w:hAnsi="Times New Roman" w:eastAsia="仿宋_GB2312" w:cs="Times New Roman"/>
          <w:b/>
          <w:sz w:val="32"/>
          <w:szCs w:val="32"/>
          <w:lang w:val="zh-CN" w:eastAsia="zh-CN" w:bidi="ar-SA"/>
        </w:rPr>
        <w:t>财务管理（得分：</w:t>
      </w:r>
      <w:r>
        <w:rPr>
          <w:rFonts w:hint="default" w:ascii="Times New Roman" w:hAnsi="Times New Roman" w:eastAsia="仿宋_GB2312" w:cs="Times New Roman"/>
          <w:b/>
          <w:sz w:val="32"/>
          <w:szCs w:val="32"/>
          <w:lang w:val="en-US" w:eastAsia="zh-CN" w:bidi="ar-SA"/>
        </w:rPr>
        <w:t>10分</w:t>
      </w:r>
      <w:r>
        <w:rPr>
          <w:rFonts w:hint="default" w:ascii="Times New Roman" w:hAnsi="Times New Roman" w:eastAsia="仿宋_GB2312" w:cs="Times New Roman"/>
          <w:b/>
          <w:sz w:val="32"/>
          <w:szCs w:val="32"/>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（1）</w:t>
      </w:r>
      <w:r>
        <w:rPr>
          <w:rFonts w:hint="default" w:ascii="Times New Roman" w:hAnsi="Times New Roman" w:eastAsia="仿宋_GB2312" w:cs="Times New Roman"/>
          <w:color w:val="000000"/>
          <w:kern w:val="0"/>
          <w:sz w:val="32"/>
          <w:szCs w:val="32"/>
          <w:highlight w:val="none"/>
          <w:shd w:val="clear" w:color="auto" w:fill="FFFFFF"/>
          <w:lang w:val="zh-CN" w:eastAsia="zh-CN" w:bidi="ar-SA"/>
        </w:rPr>
        <w:t>财务管理制度</w:t>
      </w:r>
      <w:r>
        <w:rPr>
          <w:rFonts w:hint="default" w:ascii="Times New Roman" w:hAnsi="Times New Roman" w:eastAsia="仿宋_GB2312" w:cs="Times New Roman"/>
          <w:color w:val="000000"/>
          <w:kern w:val="0"/>
          <w:sz w:val="32"/>
          <w:szCs w:val="32"/>
          <w:highlight w:val="none"/>
          <w:shd w:val="clear" w:color="auto" w:fill="FFFFFF"/>
          <w:lang w:val="en-US" w:eastAsia="zh-CN" w:bidi="ar-SA"/>
        </w:rPr>
        <w:t>:进一步修改</w:t>
      </w:r>
      <w:r>
        <w:rPr>
          <w:rFonts w:hint="default" w:ascii="Times New Roman" w:hAnsi="Times New Roman" w:eastAsia="仿宋_GB2312" w:cs="Times New Roman"/>
          <w:color w:val="000000"/>
          <w:kern w:val="0"/>
          <w:sz w:val="32"/>
          <w:szCs w:val="32"/>
          <w:highlight w:val="none"/>
          <w:shd w:val="clear" w:color="auto" w:fill="FFFFFF"/>
          <w:lang w:val="zh-CN" w:eastAsia="zh-CN" w:bidi="ar-SA"/>
        </w:rPr>
        <w:t>完善县</w:t>
      </w:r>
      <w:r>
        <w:rPr>
          <w:rFonts w:hint="default" w:ascii="Times New Roman" w:hAnsi="Times New Roman" w:eastAsia="仿宋_GB2312" w:cs="Times New Roman"/>
          <w:color w:val="000000"/>
          <w:kern w:val="0"/>
          <w:sz w:val="32"/>
          <w:szCs w:val="32"/>
          <w:highlight w:val="none"/>
          <w:shd w:val="clear" w:color="auto" w:fill="FFFFFF"/>
          <w:lang w:val="en-US" w:eastAsia="zh-CN" w:bidi="ar-SA"/>
        </w:rPr>
        <w:t>目督中心</w:t>
      </w:r>
      <w:r>
        <w:rPr>
          <w:rFonts w:hint="default" w:ascii="Times New Roman" w:hAnsi="Times New Roman" w:eastAsia="仿宋_GB2312" w:cs="Times New Roman"/>
          <w:color w:val="000000"/>
          <w:kern w:val="0"/>
          <w:sz w:val="32"/>
          <w:szCs w:val="32"/>
          <w:highlight w:val="none"/>
          <w:shd w:val="clear" w:color="auto" w:fill="FFFFFF"/>
          <w:lang w:val="zh-CN" w:eastAsia="zh-CN" w:bidi="ar-SA"/>
        </w:rPr>
        <w:t>财务相关管理制度。（</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color w:val="000000"/>
          <w:kern w:val="0"/>
          <w:sz w:val="32"/>
          <w:szCs w:val="32"/>
          <w:highlight w:val="none"/>
          <w:shd w:val="clear" w:color="auto" w:fill="FFFFFF"/>
          <w:lang w:val="zh-CN" w:eastAsia="zh-CN" w:bidi="ar-SA"/>
        </w:rPr>
        <w:t>财务岗位设置</w:t>
      </w:r>
      <w:r>
        <w:rPr>
          <w:rFonts w:hint="default" w:ascii="Times New Roman" w:hAnsi="Times New Roman" w:eastAsia="仿宋_GB2312" w:cs="Times New Roman"/>
          <w:color w:val="000000"/>
          <w:kern w:val="0"/>
          <w:sz w:val="32"/>
          <w:szCs w:val="32"/>
          <w:highlight w:val="none"/>
          <w:shd w:val="clear" w:color="auto" w:fill="FFFFFF"/>
          <w:lang w:val="en-US" w:eastAsia="zh-CN" w:bidi="ar-SA"/>
        </w:rPr>
        <w:t>:</w:t>
      </w:r>
      <w:r>
        <w:rPr>
          <w:rFonts w:hint="default" w:ascii="Times New Roman" w:hAnsi="Times New Roman" w:eastAsia="仿宋_GB2312" w:cs="Times New Roman"/>
          <w:color w:val="000000"/>
          <w:kern w:val="0"/>
          <w:sz w:val="32"/>
          <w:szCs w:val="32"/>
          <w:highlight w:val="none"/>
          <w:shd w:val="clear" w:color="auto" w:fill="FFFFFF"/>
          <w:lang w:val="zh-CN" w:eastAsia="zh-CN" w:bidi="ar-SA"/>
        </w:rPr>
        <w:t>建立好出纳与会计之间的监督机制，‌确保财务岗位的设置能够满足县</w:t>
      </w:r>
      <w:r>
        <w:rPr>
          <w:rFonts w:hint="default" w:ascii="Times New Roman" w:hAnsi="Times New Roman" w:eastAsia="仿宋_GB2312" w:cs="Times New Roman"/>
          <w:color w:val="000000"/>
          <w:kern w:val="0"/>
          <w:sz w:val="32"/>
          <w:szCs w:val="32"/>
          <w:highlight w:val="none"/>
          <w:shd w:val="clear" w:color="auto" w:fill="FFFFFF"/>
          <w:lang w:val="en-US" w:eastAsia="zh-CN" w:bidi="ar-SA"/>
        </w:rPr>
        <w:t>目督中心</w:t>
      </w:r>
      <w:r>
        <w:rPr>
          <w:rFonts w:hint="default" w:ascii="Times New Roman" w:hAnsi="Times New Roman" w:eastAsia="仿宋_GB2312" w:cs="Times New Roman"/>
          <w:color w:val="000000"/>
          <w:kern w:val="0"/>
          <w:sz w:val="32"/>
          <w:szCs w:val="32"/>
          <w:highlight w:val="none"/>
          <w:shd w:val="clear" w:color="auto" w:fill="FFFFFF"/>
          <w:lang w:val="zh-CN" w:eastAsia="zh-CN" w:bidi="ar-SA"/>
        </w:rPr>
        <w:t>的日常运营需求，‌同时能够有效防止财务风险，‌提高财务管理效率。（</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得分：2分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（3）资金使用规范：建立</w:t>
      </w:r>
      <w:r>
        <w:rPr>
          <w:rFonts w:hint="default" w:ascii="Times New Roman" w:hAnsi="Times New Roman" w:eastAsia="仿宋_GB2312" w:cs="Times New Roman"/>
          <w:color w:val="000000"/>
          <w:kern w:val="0"/>
          <w:sz w:val="32"/>
          <w:szCs w:val="32"/>
          <w:highlight w:val="none"/>
          <w:shd w:val="clear" w:color="auto" w:fill="FFFFFF"/>
          <w:lang w:val="zh-CN" w:eastAsia="zh-CN" w:bidi="ar-SA"/>
        </w:rPr>
        <w:t>相关财务管理制度规定，‌确保资金的使用和资产管理严格遵循相关制度，‌以提高财务管理效率和透明度。同时对于资金的使用有严谨的程序，确保资金的规范使用。（</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pStyle w:val="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textAlignment w:val="auto"/>
        <w:rPr>
          <w:rFonts w:hint="default" w:ascii="Times New Roman" w:hAnsi="Times New Roman" w:eastAsia="仿宋_GB2312" w:cs="Times New Roman"/>
          <w:b/>
          <w:bCs/>
          <w:color w:val="000000"/>
          <w:sz w:val="32"/>
          <w:szCs w:val="32"/>
          <w:lang w:val="en-US" w:eastAsia="en-US" w:bidi="ar-SA"/>
        </w:rPr>
      </w:pPr>
      <w:r>
        <w:rPr>
          <w:rFonts w:hint="default" w:ascii="Times New Roman" w:hAnsi="Times New Roman" w:eastAsia="仿宋_GB2312" w:cs="Times New Roman"/>
          <w:color w:val="000000"/>
          <w:sz w:val="32"/>
          <w:szCs w:val="32"/>
          <w:lang w:val="en-US" w:eastAsia="zh-CN" w:bidi="ar-SA"/>
        </w:rPr>
        <w:t xml:space="preserve">    4.</w:t>
      </w:r>
      <w:r>
        <w:rPr>
          <w:rFonts w:hint="default" w:ascii="Times New Roman" w:hAnsi="Times New Roman" w:eastAsia="仿宋_GB2312" w:cs="Times New Roman"/>
          <w:b/>
          <w:bCs/>
          <w:color w:val="000000"/>
          <w:sz w:val="32"/>
          <w:szCs w:val="32"/>
          <w:lang w:val="en-US" w:eastAsia="zh-CN" w:bidi="ar-SA"/>
        </w:rPr>
        <w:t>资产管理。（得分：9分）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（1）人均资产变化率：我单位2025年固定资产无新增、报废，累计折旧22.06万元，人均资产减少5.52万元。</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得分：3分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（2）资产利用率：所有资产均正在使用中，按程序进行采购、折旧等流程，资产利用率高。</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得分：3分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（3）资产盘活率：我单位无闲置资产，2025年县目督中心进一步加强资产管理，完善了固定资产档案，严格报批、销审等手续，做好资产登记工作，单位无任何资产流失现象。</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得分：3分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pStyle w:val="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left="0" w:firstLine="642" w:firstLineChars="200"/>
        <w:textAlignment w:val="auto"/>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bCs/>
          <w:color w:val="000000"/>
          <w:sz w:val="32"/>
          <w:szCs w:val="32"/>
          <w:lang w:val="en-US" w:eastAsia="zh-CN" w:bidi="ar-SA"/>
        </w:rPr>
        <w:t>5.采购管理。</w:t>
      </w:r>
      <w:r>
        <w:rPr>
          <w:rFonts w:hint="default" w:ascii="Times New Roman" w:hAnsi="Times New Roman" w:eastAsia="仿宋_GB2312" w:cs="Times New Roman"/>
          <w:b/>
          <w:bCs/>
          <w:color w:val="000000"/>
          <w:sz w:val="32"/>
          <w:szCs w:val="32"/>
          <w:lang w:val="zh-CN" w:eastAsia="zh-CN" w:bidi="ar-SA"/>
        </w:rPr>
        <w:t>（</w:t>
      </w:r>
      <w:r>
        <w:rPr>
          <w:rFonts w:hint="default" w:ascii="Times New Roman" w:hAnsi="Times New Roman" w:eastAsia="仿宋_GB2312" w:cs="Times New Roman"/>
          <w:b/>
          <w:bCs/>
          <w:color w:val="000000"/>
          <w:sz w:val="32"/>
          <w:szCs w:val="32"/>
          <w:lang w:val="en-US" w:eastAsia="zh-CN" w:bidi="ar-SA"/>
        </w:rPr>
        <w:t>得分：6分）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（1）</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支持中小企业发展：</w:t>
      </w:r>
      <w:r>
        <w:rPr>
          <w:rFonts w:hint="default" w:ascii="Times New Roman" w:hAnsi="Times New Roman" w:eastAsia="仿宋_GB2312" w:cs="Times New Roman"/>
          <w:color w:val="000000"/>
          <w:kern w:val="0"/>
          <w:sz w:val="32"/>
          <w:szCs w:val="32"/>
          <w:highlight w:val="none"/>
          <w:shd w:val="clear" w:color="auto" w:fill="FFFFFF"/>
          <w:lang w:val="en-US" w:eastAsia="zh-CN" w:bidi="ar-SA"/>
        </w:rPr>
        <w:t>我单位</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严格执行政府采购促进中小企业发展相关管理办法。（</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得分：3分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color w:val="000000"/>
          <w:kern w:val="0"/>
          <w:sz w:val="32"/>
          <w:szCs w:val="32"/>
          <w:highlight w:val="none"/>
          <w:shd w:val="clear" w:color="auto" w:fill="FFFFFF"/>
          <w:lang w:val="zh-CN" w:eastAsia="zh-CN" w:bidi="ar-SA"/>
        </w:rPr>
        <w:t>采购执行率：</w:t>
      </w:r>
      <w:r>
        <w:rPr>
          <w:rFonts w:hint="default" w:ascii="Times New Roman" w:hAnsi="Times New Roman" w:eastAsia="仿宋_GB2312" w:cs="Times New Roman"/>
          <w:color w:val="000000"/>
          <w:sz w:val="32"/>
          <w:szCs w:val="32"/>
          <w:lang w:eastAsia="zh-CN" w:bidi="ar-SA"/>
        </w:rPr>
        <w:t>我单位</w:t>
      </w:r>
      <w:r>
        <w:rPr>
          <w:rFonts w:hint="default" w:ascii="Times New Roman" w:hAnsi="Times New Roman" w:eastAsia="仿宋_GB2312" w:cs="Times New Roman"/>
          <w:color w:val="000000"/>
          <w:sz w:val="32"/>
          <w:szCs w:val="32"/>
          <w:lang w:bidi="ar-SA"/>
        </w:rPr>
        <w:t>严格按</w:t>
      </w:r>
      <w:r>
        <w:rPr>
          <w:rFonts w:hint="default" w:ascii="Times New Roman" w:hAnsi="Times New Roman" w:eastAsia="仿宋_GB2312" w:cs="Times New Roman"/>
          <w:color w:val="000000"/>
          <w:sz w:val="32"/>
          <w:szCs w:val="32"/>
          <w:lang w:val="en-US" w:eastAsia="zh-CN" w:bidi="ar-SA"/>
        </w:rPr>
        <w:t>政府</w:t>
      </w:r>
      <w:r>
        <w:rPr>
          <w:rFonts w:hint="default" w:ascii="Times New Roman" w:hAnsi="Times New Roman" w:eastAsia="仿宋_GB2312" w:cs="Times New Roman"/>
          <w:color w:val="000000"/>
          <w:sz w:val="32"/>
          <w:szCs w:val="32"/>
          <w:lang w:bidi="ar-SA"/>
        </w:rPr>
        <w:t>采购有关要求，履行采购手续</w:t>
      </w:r>
      <w:r>
        <w:rPr>
          <w:rFonts w:hint="default" w:ascii="Times New Roman" w:hAnsi="Times New Roman" w:eastAsia="仿宋_GB2312" w:cs="Times New Roman"/>
          <w:color w:val="000000"/>
          <w:sz w:val="32"/>
          <w:szCs w:val="32"/>
          <w:lang w:eastAsia="zh-CN" w:bidi="ar-SA"/>
        </w:rPr>
        <w:t>，</w:t>
      </w:r>
      <w:r>
        <w:rPr>
          <w:rFonts w:hint="default" w:ascii="Times New Roman" w:hAnsi="Times New Roman" w:eastAsia="仿宋_GB2312" w:cs="Times New Roman"/>
          <w:color w:val="000000"/>
          <w:sz w:val="32"/>
          <w:szCs w:val="32"/>
          <w:lang w:val="en-US" w:eastAsia="zh-CN" w:bidi="ar-SA"/>
        </w:rPr>
        <w:t>2025年无新增采购</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得分：3分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numPr>
          <w:ilvl w:val="0"/>
          <w:numId w:val="0"/>
        </w:numPr>
        <w:tabs>
          <w:tab w:val="left" w:pos="0"/>
        </w:tabs>
        <w:kinsoku/>
        <w:wordWrap/>
        <w:overflowPunct/>
        <w:topLinePunct w:val="0"/>
        <w:autoSpaceDE/>
        <w:autoSpaceDN/>
        <w:bidi w:val="0"/>
        <w:spacing w:line="560" w:lineRule="exact"/>
        <w:ind w:firstLine="642" w:firstLineChars="200"/>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
          <w:kern w:val="2"/>
          <w:sz w:val="32"/>
          <w:szCs w:val="32"/>
          <w:lang w:val="zh-CN" w:eastAsia="zh-CN" w:bidi="ar-SA"/>
        </w:rPr>
        <w:t>（</w:t>
      </w:r>
      <w:r>
        <w:rPr>
          <w:rFonts w:hint="default" w:ascii="Times New Roman" w:hAnsi="Times New Roman" w:eastAsia="楷体_GB2312" w:cs="Times New Roman"/>
          <w:b/>
          <w:kern w:val="2"/>
          <w:sz w:val="32"/>
          <w:szCs w:val="32"/>
          <w:lang w:val="en-US" w:eastAsia="zh-CN" w:bidi="ar-SA"/>
        </w:rPr>
        <w:t>二</w:t>
      </w:r>
      <w:r>
        <w:rPr>
          <w:rFonts w:hint="default" w:ascii="Times New Roman" w:hAnsi="Times New Roman" w:eastAsia="楷体_GB2312" w:cs="Times New Roman"/>
          <w:b/>
          <w:kern w:val="2"/>
          <w:sz w:val="32"/>
          <w:szCs w:val="32"/>
          <w:lang w:val="zh-CN" w:eastAsia="zh-CN" w:bidi="ar-SA"/>
        </w:rPr>
        <w:t>）部门预算项目绩效分析（得分：</w:t>
      </w:r>
      <w:r>
        <w:rPr>
          <w:rFonts w:hint="default" w:ascii="Times New Roman" w:hAnsi="Times New Roman" w:eastAsia="楷体_GB2312" w:cs="Times New Roman"/>
          <w:b/>
          <w:kern w:val="2"/>
          <w:sz w:val="32"/>
          <w:szCs w:val="32"/>
          <w:lang w:val="en-US" w:eastAsia="zh-CN" w:bidi="ar-SA"/>
        </w:rPr>
        <w:t>35分</w:t>
      </w:r>
      <w:r>
        <w:rPr>
          <w:rFonts w:hint="default" w:ascii="Times New Roman" w:hAnsi="Times New Roman" w:eastAsia="楷体_GB2312" w:cs="Times New Roman"/>
          <w:b/>
          <w:kern w:val="2"/>
          <w:sz w:val="32"/>
          <w:szCs w:val="32"/>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0</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阶段（含一次性）项目绩效分析。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eastAsia="仿宋_GB2312" w:cs="Times New Roman"/>
          <w:color w:val="000000"/>
          <w:kern w:val="0"/>
          <w:sz w:val="32"/>
          <w:szCs w:val="32"/>
          <w:highlight w:val="none"/>
          <w:shd w:val="clear" w:color="auto" w:fill="FFFFFF"/>
          <w:lang w:val="en-US" w:eastAsia="zh-CN"/>
        </w:rPr>
        <w:t>8.65</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default"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kinsoku/>
        <w:wordWrap/>
        <w:overflowPunct/>
        <w:topLinePunct w:val="0"/>
        <w:autoSpaceDE/>
        <w:autoSpaceDN/>
        <w:bidi w:val="0"/>
        <w:spacing w:line="560" w:lineRule="exact"/>
        <w:ind w:left="0" w:firstLine="642" w:firstLineChars="200"/>
        <w:textAlignment w:val="auto"/>
        <w:rPr>
          <w:rFonts w:hint="default" w:ascii="Times New Roman" w:hAnsi="Times New Roman" w:eastAsia="仿宋_GB2312" w:cs="Times New Roman"/>
          <w:b/>
          <w:kern w:val="2"/>
          <w:sz w:val="32"/>
          <w:szCs w:val="32"/>
          <w:lang w:val="en-US" w:eastAsia="zh-CN" w:bidi="ar-SA"/>
        </w:rPr>
      </w:pPr>
      <w:r>
        <w:rPr>
          <w:rFonts w:hint="default" w:ascii="Times New Roman" w:hAnsi="Times New Roman" w:eastAsia="仿宋_GB2312" w:cs="Times New Roman"/>
          <w:b/>
          <w:kern w:val="2"/>
          <w:sz w:val="32"/>
          <w:szCs w:val="32"/>
          <w:lang w:val="en-US" w:eastAsia="zh-CN" w:bidi="ar-SA"/>
        </w:rPr>
        <w:t>1.项目决策（得分:12分）</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b w:val="0"/>
          <w:bCs/>
          <w:sz w:val="32"/>
          <w:szCs w:val="32"/>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（1）决策程序：</w:t>
      </w:r>
      <w:r>
        <w:rPr>
          <w:rFonts w:hint="default" w:ascii="Times New Roman" w:hAnsi="Times New Roman" w:eastAsia="仿宋_GB2312" w:cs="Times New Roman"/>
          <w:bCs/>
          <w:kern w:val="2"/>
          <w:sz w:val="32"/>
          <w:szCs w:val="32"/>
          <w:lang w:val="en-US" w:eastAsia="zh-CN" w:bidi="ar-SA"/>
        </w:rPr>
        <w:t>部门项目设立按规定履行评估论证、申报程</w:t>
      </w:r>
      <w:r>
        <w:rPr>
          <w:rFonts w:hint="default" w:ascii="Times New Roman" w:hAnsi="Times New Roman" w:eastAsia="仿宋_GB2312" w:cs="Times New Roman"/>
          <w:b w:val="0"/>
          <w:bCs/>
          <w:kern w:val="2"/>
          <w:sz w:val="32"/>
          <w:szCs w:val="32"/>
          <w:lang w:val="en-US" w:eastAsia="zh-CN" w:bidi="ar-SA"/>
        </w:rPr>
        <w:t>序等。</w:t>
      </w:r>
      <w:r>
        <w:rPr>
          <w:rFonts w:hint="default" w:ascii="Times New Roman" w:hAnsi="Times New Roman" w:eastAsia="仿宋_GB2312" w:cs="Times New Roman"/>
          <w:b w:val="0"/>
          <w:bCs/>
          <w:sz w:val="32"/>
          <w:szCs w:val="32"/>
          <w:lang w:val="zh-CN" w:eastAsia="zh-CN" w:bidi="ar-SA"/>
        </w:rPr>
        <w:t>（</w:t>
      </w:r>
      <w:r>
        <w:rPr>
          <w:rFonts w:hint="default" w:ascii="Times New Roman" w:hAnsi="Times New Roman" w:eastAsia="仿宋_GB2312" w:cs="Times New Roman"/>
          <w:b w:val="0"/>
          <w:bCs/>
          <w:sz w:val="32"/>
          <w:szCs w:val="32"/>
          <w:lang w:val="en-US" w:eastAsia="zh-CN" w:bidi="ar-SA"/>
        </w:rPr>
        <w:t>得分：4分</w:t>
      </w:r>
      <w:r>
        <w:rPr>
          <w:rFonts w:hint="default" w:ascii="Times New Roman" w:hAnsi="Times New Roman" w:eastAsia="仿宋_GB2312" w:cs="Times New Roman"/>
          <w:b w:val="0"/>
          <w:bCs/>
          <w:sz w:val="32"/>
          <w:szCs w:val="32"/>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b w:val="0"/>
          <w:bCs/>
          <w:color w:val="000000"/>
          <w:kern w:val="0"/>
          <w:sz w:val="32"/>
          <w:szCs w:val="32"/>
          <w:highlight w:val="none"/>
          <w:shd w:val="clear" w:color="auto" w:fill="FFFFFF"/>
          <w:lang w:val="en-US" w:eastAsia="zh-CN" w:bidi="ar-SA"/>
        </w:rPr>
      </w:pPr>
      <w:r>
        <w:rPr>
          <w:rFonts w:hint="default" w:ascii="Times New Roman" w:hAnsi="Times New Roman" w:eastAsia="仿宋_GB2312" w:cs="Times New Roman"/>
          <w:b w:val="0"/>
          <w:bCs/>
          <w:color w:val="000000"/>
          <w:kern w:val="0"/>
          <w:sz w:val="32"/>
          <w:szCs w:val="32"/>
          <w:highlight w:val="none"/>
          <w:shd w:val="clear" w:color="auto" w:fill="FFFFFF"/>
          <w:lang w:val="en-US" w:eastAsia="zh-CN" w:bidi="ar-SA"/>
        </w:rPr>
        <w:t>（2）目标设置：</w:t>
      </w:r>
      <w:r>
        <w:rPr>
          <w:rFonts w:hint="default" w:ascii="Times New Roman" w:hAnsi="Times New Roman" w:eastAsia="仿宋_GB2312" w:cs="Times New Roman"/>
          <w:b w:val="0"/>
          <w:bCs/>
          <w:kern w:val="2"/>
          <w:sz w:val="32"/>
          <w:szCs w:val="32"/>
          <w:lang w:val="en-US" w:eastAsia="zh-CN" w:bidi="ar-SA"/>
        </w:rPr>
        <w:t>部门预算项目绩效目标与计划期内的任务量、预算安排的资金量相匹配，绩效目标设置科学合理、规范完整、量化细化、与预算匹配。</w:t>
      </w:r>
      <w:r>
        <w:rPr>
          <w:rFonts w:hint="default" w:ascii="Times New Roman" w:hAnsi="Times New Roman" w:eastAsia="仿宋_GB2312" w:cs="Times New Roman"/>
          <w:b w:val="0"/>
          <w:bCs/>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b w:val="0"/>
          <w:bCs/>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b w:val="0"/>
          <w:bCs/>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（3）项目入库：</w:t>
      </w:r>
      <w:r>
        <w:rPr>
          <w:rFonts w:hint="default" w:ascii="Times New Roman" w:hAnsi="Times New Roman" w:eastAsia="仿宋_GB2312" w:cs="Times New Roman"/>
          <w:bCs/>
          <w:kern w:val="2"/>
          <w:sz w:val="32"/>
          <w:szCs w:val="32"/>
          <w:lang w:val="en-US" w:eastAsia="zh-CN" w:bidi="ar-SA"/>
        </w:rPr>
        <w:t>按财政要求及时入库</w:t>
      </w:r>
      <w:r>
        <w:rPr>
          <w:rFonts w:hint="default" w:ascii="Times New Roman" w:hAnsi="Times New Roman" w:eastAsia="仿宋_GB2312" w:cs="Times New Roman"/>
          <w:color w:val="000000"/>
          <w:kern w:val="0"/>
          <w:sz w:val="32"/>
          <w:szCs w:val="32"/>
          <w:highlight w:val="none"/>
          <w:shd w:val="clear" w:color="auto" w:fill="FFFFFF"/>
          <w:lang w:val="en-US" w:eastAsia="zh-CN" w:bidi="ar-SA"/>
        </w:rPr>
        <w:t>。</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2" w:firstLineChars="200"/>
        <w:textAlignment w:val="auto"/>
        <w:rPr>
          <w:rFonts w:hint="default" w:ascii="Times New Roman" w:hAnsi="Times New Roman" w:eastAsia="仿宋_GB2312" w:cs="Times New Roman"/>
          <w:b/>
          <w:kern w:val="2"/>
          <w:sz w:val="32"/>
          <w:szCs w:val="32"/>
          <w:lang w:val="en-US" w:eastAsia="zh-CN" w:bidi="ar-SA"/>
        </w:rPr>
      </w:pPr>
      <w:r>
        <w:rPr>
          <w:rFonts w:hint="default" w:ascii="Times New Roman" w:hAnsi="Times New Roman" w:eastAsia="仿宋_GB2312" w:cs="Times New Roman"/>
          <w:b/>
          <w:kern w:val="2"/>
          <w:sz w:val="32"/>
          <w:szCs w:val="32"/>
          <w:lang w:val="en-US" w:eastAsia="zh-CN" w:bidi="ar-SA"/>
        </w:rPr>
        <w:t>2.项目执行（得分：12分）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1</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）执行同向：</w:t>
      </w:r>
      <w:r>
        <w:rPr>
          <w:rFonts w:hint="default" w:ascii="Times New Roman" w:hAnsi="Times New Roman" w:eastAsia="仿宋_GB2312" w:cs="Times New Roman"/>
          <w:bCs/>
          <w:kern w:val="2"/>
          <w:sz w:val="32"/>
          <w:szCs w:val="32"/>
          <w:lang w:val="en-US" w:eastAsia="zh-CN" w:bidi="ar-SA"/>
        </w:rPr>
        <w:t>部门预算项目实际列支内容与绩效目标设置方向相符。</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color w:val="000000"/>
          <w:kern w:val="0"/>
          <w:sz w:val="32"/>
          <w:szCs w:val="32"/>
          <w:highlight w:val="none"/>
          <w:shd w:val="clear" w:color="auto" w:fill="FFFFFF"/>
          <w:lang w:val="zh-CN" w:eastAsia="zh-CN" w:bidi="ar-SA"/>
        </w:rPr>
        <w:t>）项目调整：</w:t>
      </w:r>
      <w:r>
        <w:rPr>
          <w:rFonts w:hint="default" w:ascii="Times New Roman" w:hAnsi="Times New Roman" w:eastAsia="仿宋_GB2312" w:cs="Times New Roman"/>
          <w:bCs/>
          <w:kern w:val="2"/>
          <w:sz w:val="32"/>
          <w:szCs w:val="32"/>
          <w:lang w:val="en-US" w:eastAsia="zh-CN" w:bidi="ar-SA"/>
        </w:rPr>
        <w:t>部门预算项目与实际执行完全一致。</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3</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）执行结果：</w:t>
      </w:r>
      <w:r>
        <w:rPr>
          <w:rFonts w:hint="default" w:ascii="Times New Roman" w:hAnsi="Times New Roman" w:eastAsia="仿宋_GB2312" w:cs="Times New Roman"/>
          <w:bCs/>
          <w:kern w:val="2"/>
          <w:sz w:val="32"/>
          <w:szCs w:val="32"/>
          <w:lang w:val="en-US" w:eastAsia="zh-CN" w:bidi="ar-SA"/>
        </w:rPr>
        <w:t>部门预算项目预算执行科学合理、规范完整。</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640"/>
        <w:textAlignment w:val="auto"/>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
          <w:kern w:val="2"/>
          <w:sz w:val="32"/>
          <w:szCs w:val="32"/>
          <w:lang w:val="en-US" w:eastAsia="zh-CN" w:bidi="ar-SA"/>
        </w:rPr>
        <w:t>3.目标实现（得分：11分）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目标完成：</w:t>
      </w:r>
      <w:r>
        <w:rPr>
          <w:rFonts w:hint="default" w:ascii="Times New Roman" w:hAnsi="Times New Roman" w:eastAsia="仿宋_GB2312" w:cs="Times New Roman"/>
          <w:color w:val="000000"/>
          <w:kern w:val="0"/>
          <w:sz w:val="32"/>
          <w:szCs w:val="32"/>
          <w:highlight w:val="none"/>
          <w:shd w:val="clear" w:color="auto" w:fill="FFFFFF"/>
          <w:lang w:val="en-US" w:eastAsia="zh-CN" w:bidi="ar-SA"/>
        </w:rPr>
        <w:t>部门预算项目绩效目标数量指标完成与预期一致。</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color w:val="000000"/>
          <w:kern w:val="0"/>
          <w:sz w:val="32"/>
          <w:szCs w:val="32"/>
          <w:highlight w:val="none"/>
          <w:shd w:val="clear" w:color="auto" w:fill="FFFFFF"/>
          <w:lang w:val="zh-CN" w:eastAsia="zh-CN" w:bidi="ar-SA"/>
        </w:rPr>
        <w:t>）目标偏离：</w:t>
      </w:r>
      <w:r>
        <w:rPr>
          <w:rFonts w:hint="default" w:ascii="Times New Roman" w:hAnsi="Times New Roman" w:eastAsia="仿宋_GB2312" w:cs="Times New Roman"/>
          <w:color w:val="000000"/>
          <w:kern w:val="0"/>
          <w:sz w:val="32"/>
          <w:szCs w:val="32"/>
          <w:highlight w:val="none"/>
          <w:shd w:val="clear" w:color="auto" w:fill="FFFFFF"/>
          <w:lang w:val="en-US" w:eastAsia="zh-CN" w:bidi="ar-SA"/>
        </w:rPr>
        <w:t>部门预算项目绩效目标数量指标实现程度与预期目标一致。</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得分：4分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Times New Roman" w:hAnsi="Times New Roman" w:eastAsia="仿宋" w:cs="Times New Roman"/>
          <w:bCs/>
          <w:kern w:val="2"/>
          <w:sz w:val="32"/>
          <w:szCs w:val="32"/>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3</w:t>
      </w:r>
      <w:r>
        <w:rPr>
          <w:rFonts w:hint="default" w:ascii="Times New Roman" w:hAnsi="Times New Roman" w:eastAsia="仿宋_GB2312" w:cs="Times New Roman"/>
          <w:color w:val="000000"/>
          <w:kern w:val="0"/>
          <w:sz w:val="32"/>
          <w:szCs w:val="32"/>
          <w:highlight w:val="none"/>
          <w:shd w:val="clear" w:color="auto" w:fill="FFFFFF"/>
          <w:lang w:val="zh-CN" w:eastAsia="zh-CN" w:bidi="ar-SA"/>
        </w:rPr>
        <w:t>）实现效果：</w:t>
      </w:r>
      <w:r>
        <w:rPr>
          <w:rFonts w:hint="default" w:ascii="Times New Roman" w:hAnsi="Times New Roman" w:eastAsia="仿宋_GB2312" w:cs="Times New Roman"/>
          <w:bCs/>
          <w:kern w:val="2"/>
          <w:sz w:val="32"/>
          <w:szCs w:val="32"/>
          <w:lang w:val="en-US" w:eastAsia="zh-CN" w:bidi="ar-SA"/>
        </w:rPr>
        <w:t>部门预算项目绩效目标效益指标实施效果明显。</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得分：3分</w:t>
      </w:r>
      <w:r>
        <w:rPr>
          <w:rFonts w:hint="default" w:ascii="Times New Roman" w:hAnsi="Times New Roman" w:eastAsia="仿宋_GB2312" w:cs="Times New Roman"/>
          <w:color w:val="000000"/>
          <w:kern w:val="0"/>
          <w:sz w:val="32"/>
          <w:szCs w:val="32"/>
          <w:highlight w:val="none"/>
          <w:shd w:val="clear" w:color="auto" w:fill="FFFFFF"/>
          <w:lang w:val="zh-CN" w:eastAsia="zh-CN" w:bidi="ar-SA"/>
        </w:rPr>
        <w:t>）</w:t>
      </w:r>
    </w:p>
    <w:p>
      <w:pPr>
        <w:keepNext w:val="0"/>
        <w:keepLines w:val="0"/>
        <w:pageBreakBefore w:val="0"/>
        <w:widowControl w:val="0"/>
        <w:numPr>
          <w:ilvl w:val="0"/>
          <w:numId w:val="0"/>
        </w:numPr>
        <w:kinsoku/>
        <w:wordWrap/>
        <w:overflowPunct w:val="0"/>
        <w:topLinePunct/>
        <w:autoSpaceDE/>
        <w:autoSpaceDN/>
        <w:bidi w:val="0"/>
        <w:snapToGrid w:val="0"/>
        <w:spacing w:line="560" w:lineRule="exact"/>
        <w:ind w:firstLine="642" w:firstLineChars="200"/>
        <w:textAlignment w:val="auto"/>
        <w:rPr>
          <w:rFonts w:hint="default" w:ascii="Times New Roman" w:hAnsi="Times New Roman" w:eastAsia="楷体_GB2312" w:cs="Times New Roman"/>
          <w:b/>
          <w:bCs/>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w:t>
      </w:r>
      <w:r>
        <w:rPr>
          <w:rFonts w:hint="default" w:ascii="Times New Roman" w:hAnsi="Times New Roman" w:eastAsia="楷体_GB2312" w:cs="Times New Roman"/>
          <w:b/>
          <w:bCs/>
          <w:sz w:val="32"/>
          <w:szCs w:val="32"/>
          <w:lang w:val="zh-CN"/>
        </w:rPr>
        <w:t>绩效结果应用情况</w:t>
      </w:r>
    </w:p>
    <w:p>
      <w:pPr>
        <w:keepNext w:val="0"/>
        <w:keepLines w:val="0"/>
        <w:pageBreakBefore w:val="0"/>
        <w:kinsoku/>
        <w:wordWrap/>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预算支出在保障本</w:t>
      </w:r>
      <w:r>
        <w:rPr>
          <w:rFonts w:hint="default"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工作运转、履行职能职责上整体情况良好。具体有：202</w:t>
      </w:r>
      <w:r>
        <w:rPr>
          <w:rFonts w:hint="default" w:ascii="Times New Roman" w:hAnsi="Times New Roman" w:eastAsia="仿宋_GB2312" w:cs="Times New Roman"/>
          <w:sz w:val="32"/>
          <w:szCs w:val="32"/>
          <w:lang w:eastAsia="zh-CN"/>
        </w:rPr>
        <w:t>5</w:t>
      </w:r>
      <w:r>
        <w:rPr>
          <w:rFonts w:hint="default" w:ascii="Times New Roman" w:hAnsi="Times New Roman" w:eastAsia="仿宋_GB2312" w:cs="Times New Roman"/>
          <w:sz w:val="32"/>
          <w:szCs w:val="32"/>
        </w:rPr>
        <w:t>年度支出绩效较好，预算编制精确、合理;</w:t>
      </w:r>
      <w:r>
        <w:rPr>
          <w:rFonts w:hint="default" w:ascii="Times New Roman" w:hAnsi="Times New Roman" w:eastAsia="仿宋_GB2312" w:cs="Times New Roman"/>
          <w:color w:val="auto"/>
          <w:sz w:val="32"/>
          <w:szCs w:val="32"/>
        </w:rPr>
        <w:t>账务及各类报表公开、准确如实反映，做到信息及时公开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rPr>
        <w:t>动态优化了年度预算安排，保障了在经费压缩情况下的高效运转;提高了管理工作的规范化、信息化水平;强化机关公用经费及日常运行经费管理。 </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pPr>
        <w:keepNext w:val="0"/>
        <w:keepLines w:val="0"/>
        <w:pageBreakBefore w:val="0"/>
        <w:widowControl w:val="0"/>
        <w:kinsoku/>
        <w:wordWrap/>
        <w:overflowPunct w:val="0"/>
        <w:topLinePunct/>
        <w:autoSpaceDE/>
        <w:autoSpaceDN/>
        <w:bidi w:val="0"/>
        <w:adjustRightInd w:val="0"/>
        <w:snapToGrid/>
        <w:spacing w:line="560" w:lineRule="exact"/>
        <w:ind w:firstLine="642"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仿宋_GB2312" w:cs="Times New Roman"/>
          <w:color w:val="000000"/>
          <w:sz w:val="32"/>
          <w:szCs w:val="32"/>
        </w:rPr>
        <w:t>按照国家政策法规规定，结合本部门的实际情况，</w:t>
      </w:r>
      <w:r>
        <w:rPr>
          <w:rFonts w:hint="eastAsia" w:eastAsia="仿宋_GB2312" w:cs="Times New Roman"/>
          <w:color w:val="000000"/>
          <w:sz w:val="32"/>
          <w:szCs w:val="32"/>
          <w:lang w:val="en-US" w:eastAsia="zh-CN"/>
        </w:rPr>
        <w:t>完善</w:t>
      </w:r>
      <w:r>
        <w:rPr>
          <w:rFonts w:hint="default" w:ascii="Times New Roman" w:hAnsi="Times New Roman" w:eastAsia="仿宋_GB2312" w:cs="Times New Roman"/>
          <w:color w:val="000000"/>
          <w:sz w:val="32"/>
          <w:szCs w:val="32"/>
        </w:rPr>
        <w:t>健全财务管理制度，依法、有效地使用财政资金，提高财政资金使用效率，合理分配人、财、物，完成了部门职能</w:t>
      </w:r>
      <w:r>
        <w:rPr>
          <w:rFonts w:hint="default" w:ascii="Times New Roman" w:hAnsi="Times New Roman" w:eastAsia="仿宋_GB2312" w:cs="Times New Roman"/>
          <w:color w:val="000000"/>
          <w:sz w:val="32"/>
          <w:szCs w:val="32"/>
          <w:lang w:eastAsia="zh-CN"/>
        </w:rPr>
        <w:t>目</w:t>
      </w:r>
      <w:r>
        <w:rPr>
          <w:rFonts w:hint="default" w:ascii="Times New Roman" w:hAnsi="Times New Roman" w:eastAsia="仿宋_GB2312" w:cs="Times New Roman"/>
          <w:color w:val="000000"/>
          <w:sz w:val="32"/>
          <w:szCs w:val="32"/>
        </w:rPr>
        <w:t>标，实现了较高的工作效率和支出绩效</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结合评价得分</w:t>
      </w:r>
      <w:r>
        <w:rPr>
          <w:rFonts w:hint="default" w:ascii="Times New Roman" w:hAnsi="Times New Roman" w:eastAsia="仿宋_GB2312" w:cs="Times New Roman"/>
          <w:color w:val="000000"/>
          <w:sz w:val="32"/>
          <w:szCs w:val="32"/>
          <w:lang w:val="en-US" w:eastAsia="zh-CN"/>
        </w:rPr>
        <w:t>99分，</w:t>
      </w:r>
      <w:r>
        <w:rPr>
          <w:rFonts w:hint="default" w:ascii="Times New Roman" w:hAnsi="Times New Roman" w:eastAsia="仿宋_GB2312" w:cs="Times New Roman"/>
          <w:color w:val="000000"/>
          <w:sz w:val="32"/>
          <w:szCs w:val="32"/>
        </w:rPr>
        <w:t>评价结果为良好。</w:t>
      </w:r>
    </w:p>
    <w:p>
      <w:pPr>
        <w:keepNext w:val="0"/>
        <w:keepLines w:val="0"/>
        <w:pageBreakBefore w:val="0"/>
        <w:numPr>
          <w:ilvl w:val="0"/>
          <w:numId w:val="0"/>
        </w:numPr>
        <w:kinsoku/>
        <w:wordWrap/>
        <w:overflowPunct w:val="0"/>
        <w:topLinePunct/>
        <w:autoSpaceDE/>
        <w:autoSpaceDN/>
        <w:bidi w:val="0"/>
        <w:spacing w:line="560" w:lineRule="exact"/>
        <w:ind w:firstLine="642"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color w:val="000000"/>
          <w:sz w:val="32"/>
          <w:szCs w:val="32"/>
          <w:lang w:val="en-US" w:eastAsia="zh-CN"/>
        </w:rPr>
        <w:t>暂无问题</w:t>
      </w:r>
      <w:r>
        <w:rPr>
          <w:rFonts w:hint="default" w:ascii="Times New Roman" w:hAnsi="Times New Roman" w:eastAsia="仿宋_GB2312" w:cs="Times New Roman"/>
          <w:color w:val="000000"/>
          <w:sz w:val="32"/>
          <w:szCs w:val="32"/>
        </w:rPr>
        <w:t>。</w:t>
      </w:r>
    </w:p>
    <w:p>
      <w:pPr>
        <w:keepNext w:val="0"/>
        <w:keepLines w:val="0"/>
        <w:pageBreakBefore w:val="0"/>
        <w:widowControl/>
        <w:numPr>
          <w:ilvl w:val="0"/>
          <w:numId w:val="0"/>
        </w:numPr>
        <w:kinsoku/>
        <w:wordWrap/>
        <w:overflowPunct w:val="0"/>
        <w:topLinePunct/>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1" w:name="_Hlk110546638"/>
      <w:r>
        <w:rPr>
          <w:rFonts w:hint="default" w:ascii="Times New Roman" w:hAnsi="Times New Roman" w:eastAsia="仿宋_GB2312" w:cs="Times New Roman"/>
          <w:color w:val="000000"/>
          <w:sz w:val="32"/>
          <w:szCs w:val="32"/>
          <w:lang w:eastAsia="zh-CN"/>
        </w:rPr>
        <w:t>完善财务管理机制，</w:t>
      </w:r>
      <w:r>
        <w:rPr>
          <w:rFonts w:hint="default" w:ascii="Times New Roman" w:hAnsi="Times New Roman" w:eastAsia="仿宋_GB2312" w:cs="Times New Roman"/>
          <w:color w:val="000000"/>
          <w:sz w:val="32"/>
          <w:szCs w:val="32"/>
        </w:rPr>
        <w:t>重视预算编制工作，</w:t>
      </w:r>
      <w:r>
        <w:rPr>
          <w:rFonts w:hint="default" w:ascii="Times New Roman" w:hAnsi="Times New Roman" w:eastAsia="仿宋_GB2312" w:cs="Times New Roman"/>
          <w:color w:val="000000"/>
          <w:sz w:val="32"/>
          <w:szCs w:val="32"/>
          <w:lang w:eastAsia="zh-CN"/>
        </w:rPr>
        <w:t>进一步</w:t>
      </w:r>
      <w:r>
        <w:rPr>
          <w:rFonts w:hint="default" w:ascii="Times New Roman" w:hAnsi="Times New Roman" w:eastAsia="仿宋_GB2312" w:cs="Times New Roman"/>
          <w:color w:val="000000"/>
          <w:sz w:val="32"/>
          <w:szCs w:val="32"/>
        </w:rPr>
        <w:t>提高财政资金使用效率，</w:t>
      </w:r>
      <w:r>
        <w:rPr>
          <w:rFonts w:hint="default" w:ascii="Times New Roman" w:hAnsi="Times New Roman" w:eastAsia="仿宋_GB2312" w:cs="Times New Roman"/>
          <w:color w:val="000000"/>
          <w:sz w:val="32"/>
          <w:szCs w:val="32"/>
          <w:lang w:eastAsia="zh-CN"/>
        </w:rPr>
        <w:t>扎实做好中心财务管理工作</w:t>
      </w:r>
      <w:r>
        <w:rPr>
          <w:rFonts w:hint="default" w:ascii="Times New Roman" w:hAnsi="Times New Roman" w:eastAsia="仿宋_GB2312" w:cs="Times New Roman"/>
          <w:color w:val="000000"/>
          <w:sz w:val="32"/>
          <w:szCs w:val="32"/>
        </w:rPr>
        <w:t>。</w:t>
      </w:r>
    </w:p>
    <w:p>
      <w:pPr>
        <w:keepNext w:val="0"/>
        <w:keepLines w:val="0"/>
        <w:pageBreakBefore w:val="0"/>
        <w:widowControl/>
        <w:numPr>
          <w:ilvl w:val="0"/>
          <w:numId w:val="0"/>
        </w:numPr>
        <w:kinsoku/>
        <w:wordWrap/>
        <w:overflowPunct w:val="0"/>
        <w:topLinePunct/>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sz w:val="32"/>
          <w:szCs w:val="32"/>
        </w:rPr>
      </w:pPr>
    </w:p>
    <w:p>
      <w:pPr>
        <w:pStyle w:val="2"/>
        <w:rPr>
          <w:rFonts w:hint="default"/>
        </w:rPr>
      </w:pPr>
    </w:p>
    <w:p>
      <w:pPr>
        <w:keepNext w:val="0"/>
        <w:keepLines w:val="0"/>
        <w:pageBreakBefore w:val="0"/>
        <w:widowControl/>
        <w:numPr>
          <w:ilvl w:val="0"/>
          <w:numId w:val="0"/>
        </w:numPr>
        <w:kinsoku/>
        <w:wordWrap/>
        <w:overflowPunct w:val="0"/>
        <w:topLinePunct/>
        <w:autoSpaceDE/>
        <w:autoSpaceDN/>
        <w:bidi w:val="0"/>
        <w:adjustRightInd w:val="0"/>
        <w:snapToGrid w:val="0"/>
        <w:spacing w:line="560" w:lineRule="exact"/>
        <w:ind w:firstLine="3840" w:firstLineChars="1200"/>
        <w:contextualSpacing/>
        <w:jc w:val="left"/>
        <w:textAlignment w:val="auto"/>
        <w:outlineLvl w:val="9"/>
        <w:rPr>
          <w:rFonts w:hint="eastAsia" w:eastAsia="仿宋_GB2312" w:cs="Times New Roman"/>
          <w:color w:val="000000"/>
          <w:sz w:val="32"/>
          <w:szCs w:val="32"/>
          <w:lang w:val="en-US" w:eastAsia="zh-CN"/>
        </w:rPr>
      </w:pPr>
      <w:r>
        <w:rPr>
          <w:rFonts w:hint="eastAsia" w:eastAsia="仿宋_GB2312" w:cs="Times New Roman"/>
          <w:color w:val="000000"/>
          <w:sz w:val="32"/>
          <w:szCs w:val="32"/>
          <w:lang w:val="en-US" w:eastAsia="zh-CN"/>
        </w:rPr>
        <w:t>黑水县目标绩效督查事务中心</w:t>
      </w:r>
    </w:p>
    <w:p>
      <w:pPr>
        <w:keepNext w:val="0"/>
        <w:keepLines w:val="0"/>
        <w:pageBreakBefore w:val="0"/>
        <w:widowControl/>
        <w:numPr>
          <w:ilvl w:val="0"/>
          <w:numId w:val="0"/>
        </w:numPr>
        <w:kinsoku/>
        <w:wordWrap/>
        <w:overflowPunct w:val="0"/>
        <w:topLinePunct/>
        <w:autoSpaceDE/>
        <w:autoSpaceDN/>
        <w:bidi w:val="0"/>
        <w:adjustRightInd w:val="0"/>
        <w:snapToGrid w:val="0"/>
        <w:spacing w:line="560" w:lineRule="exact"/>
        <w:ind w:firstLine="4800" w:firstLineChars="1500"/>
        <w:contextualSpacing/>
        <w:jc w:val="left"/>
        <w:textAlignment w:val="auto"/>
        <w:outlineLvl w:val="9"/>
        <w:rPr>
          <w:rFonts w:hint="eastAsia" w:eastAsia="仿宋_GB2312" w:cs="Times New Roman"/>
          <w:color w:val="000000"/>
          <w:sz w:val="32"/>
          <w:szCs w:val="32"/>
          <w:lang w:val="en-US" w:eastAsia="zh-CN"/>
        </w:rPr>
      </w:pPr>
      <w:r>
        <w:rPr>
          <w:rFonts w:hint="eastAsia" w:eastAsia="仿宋_GB2312" w:cs="Times New Roman"/>
          <w:color w:val="000000"/>
          <w:sz w:val="32"/>
          <w:szCs w:val="32"/>
          <w:lang w:val="en-US" w:eastAsia="zh-CN"/>
        </w:rPr>
        <w:t>2026年8月24日</w:t>
      </w:r>
      <w:bookmarkEnd w:id="1"/>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pStyle w:val="2"/>
        <w:rPr>
          <w:rFonts w:hint="eastAsia" w:eastAsia="仿宋_GB2312" w:cs="Times New Roman"/>
          <w:color w:val="000000"/>
          <w:sz w:val="32"/>
          <w:szCs w:val="32"/>
          <w:lang w:val="en-US" w:eastAsia="zh-CN"/>
        </w:rPr>
      </w:pPr>
    </w:p>
    <w:p>
      <w:pPr>
        <w:rPr>
          <w:rFonts w:hint="eastAsia" w:eastAsia="仿宋_GB2312" w:cs="Times New Roman"/>
          <w:color w:val="000000"/>
          <w:sz w:val="32"/>
          <w:szCs w:val="32"/>
          <w:lang w:val="en-US" w:eastAsia="zh-CN"/>
        </w:rPr>
      </w:pPr>
    </w:p>
    <w:p>
      <w:pPr>
        <w:pStyle w:val="2"/>
        <w:rPr>
          <w:rFonts w:hint="eastAsia"/>
          <w:lang w:val="en-US" w:eastAsia="zh-CN"/>
        </w:rPr>
      </w:pPr>
    </w:p>
    <w:p>
      <w:pPr>
        <w:ind w:left="0" w:leftChars="0" w:firstLine="0" w:firstLineChars="0"/>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313055</wp:posOffset>
                </wp:positionV>
                <wp:extent cx="5612765" cy="31750"/>
                <wp:effectExtent l="0" t="4445" r="6985" b="20955"/>
                <wp:wrapNone/>
                <wp:docPr id="10" name="直接连接符 10"/>
                <wp:cNvGraphicFramePr/>
                <a:graphic xmlns:a="http://schemas.openxmlformats.org/drawingml/2006/main">
                  <a:graphicData uri="http://schemas.microsoft.com/office/word/2010/wordprocessingShape">
                    <wps:wsp>
                      <wps:cNvCnPr/>
                      <wps:spPr>
                        <a:xfrm flipV="1">
                          <a:off x="0" y="0"/>
                          <a:ext cx="5612765" cy="317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4.25pt;margin-top:24.65pt;height:2.5pt;width:441.95pt;z-index:251660288;mso-width-relative:page;mso-height-relative:page;" filled="f" stroked="t" coordsize="21600,21600" o:gfxdata="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17780</wp:posOffset>
                </wp:positionV>
                <wp:extent cx="5574665" cy="22225"/>
                <wp:effectExtent l="0" t="4445" r="6985" b="11430"/>
                <wp:wrapNone/>
                <wp:docPr id="3" name="直接连接符 3"/>
                <wp:cNvGraphicFramePr/>
                <a:graphic xmlns:a="http://schemas.openxmlformats.org/drawingml/2006/main">
                  <a:graphicData uri="http://schemas.microsoft.com/office/word/2010/wordprocessingShape">
                    <wps:wsp>
                      <wps:cNvCnPr/>
                      <wps:spPr>
                        <a:xfrm flipV="1">
                          <a:off x="0" y="0"/>
                          <a:ext cx="5574665" cy="222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75pt;margin-top:1.4pt;height:1.75pt;width:438.95pt;z-index:251659264;mso-width-relative:page;mso-height-relative:page;" filled="f" stroked="t" coordsize="21600,21600" o:gfxdata="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lang w:eastAsia="zh-CN"/>
        </w:rPr>
        <w:t>黑水县目标绩效督查事务中心</w:t>
      </w:r>
      <w:r>
        <w:rPr>
          <w:rFonts w:hint="default" w:ascii="Times New Roman" w:hAnsi="Times New Roman" w:eastAsia="仿宋_GB2312" w:cs="Times New Roman"/>
          <w:sz w:val="28"/>
          <w:szCs w:val="28"/>
        </w:rPr>
        <w:t>办公室</w:t>
      </w:r>
      <w:r>
        <w:rPr>
          <w:rFonts w:hint="default" w:ascii="Times New Roman" w:hAnsi="Times New Roman" w:eastAsia="仿宋_GB2312" w:cs="Times New Roman"/>
          <w:sz w:val="28"/>
          <w:szCs w:val="28"/>
          <w:lang w:val="en-US" w:eastAsia="zh-CN"/>
        </w:rPr>
        <w:t xml:space="preserve">           2026</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lang w:val="en-US" w:eastAsia="zh-CN"/>
        </w:rPr>
        <w:t>2</w:t>
      </w:r>
      <w:r>
        <w:rPr>
          <w:rFonts w:hint="eastAsia" w:eastAsia="仿宋_GB2312" w:cs="Times New Roman"/>
          <w:sz w:val="28"/>
          <w:szCs w:val="28"/>
          <w:lang w:val="en-US" w:eastAsia="zh-CN"/>
        </w:rPr>
        <w:t>4</w:t>
      </w:r>
      <w:r>
        <w:rPr>
          <w:rFonts w:hint="default" w:ascii="Times New Roman" w:hAnsi="Times New Roman" w:eastAsia="仿宋_GB2312" w:cs="Times New Roman"/>
          <w:sz w:val="28"/>
          <w:szCs w:val="28"/>
        </w:rPr>
        <w:t>日印</w:t>
      </w:r>
      <w:r>
        <w:rPr>
          <w:rFonts w:hint="default" w:ascii="Times New Roman" w:hAnsi="Times New Roman" w:eastAsia="仿宋_GB2312" w:cs="Times New Roman"/>
          <w:sz w:val="28"/>
          <w:szCs w:val="28"/>
          <w:lang w:val="en-US" w:eastAsia="zh-CN"/>
        </w:rPr>
        <w:t>发</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C9B69B"/>
    <w:multiLevelType w:val="singleLevel"/>
    <w:tmpl w:val="37C9B69B"/>
    <w:lvl w:ilvl="0" w:tentative="0">
      <w:start w:val="1"/>
      <w:numFmt w:val="decimal"/>
      <w:suff w:val="nothing"/>
      <w:lvlText w:val="（%1）"/>
      <w:lvlJc w:val="left"/>
      <w:pPr>
        <w:tabs>
          <w:tab w:val="left" w:pos="0"/>
        </w:tabs>
        <w:ind w:left="0" w:firstLine="0"/>
      </w:pPr>
    </w:lvl>
  </w:abstractNum>
  <w:abstractNum w:abstractNumId="1">
    <w:nsid w:val="798F84D1"/>
    <w:multiLevelType w:val="singleLevel"/>
    <w:tmpl w:val="798F84D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58D14E6"/>
    <w:rsid w:val="1319260B"/>
    <w:rsid w:val="1DD5542B"/>
    <w:rsid w:val="251D5973"/>
    <w:rsid w:val="34EB1F43"/>
    <w:rsid w:val="36435EC2"/>
    <w:rsid w:val="41B4355D"/>
    <w:rsid w:val="43EB7E23"/>
    <w:rsid w:val="44AC554F"/>
    <w:rsid w:val="4BC074CF"/>
    <w:rsid w:val="4DD97D2F"/>
    <w:rsid w:val="51BD002A"/>
    <w:rsid w:val="57D5009F"/>
    <w:rsid w:val="5B176FA3"/>
    <w:rsid w:val="5F6A68A4"/>
    <w:rsid w:val="60D032A5"/>
    <w:rsid w:val="73C700D5"/>
    <w:rsid w:val="7C72798D"/>
    <w:rsid w:val="DEFB7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eastAsia="宋体" w:cs="宋体"/>
      <w:kern w:val="0"/>
      <w:sz w:val="24"/>
      <w:szCs w:val="24"/>
      <w:lang w:bidi="ar-SA"/>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3787</Words>
  <Characters>3911</Characters>
  <Lines>2</Lines>
  <Paragraphs>1</Paragraphs>
  <TotalTime>3</TotalTime>
  <ScaleCrop>false</ScaleCrop>
  <LinksUpToDate>false</LinksUpToDate>
  <CharactersWithSpaces>3966</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2026-08-25T16:48:00Z</cp:lastPrinted>
  <dcterms:modified xsi:type="dcterms:W3CDTF">2026-09-22T11:03:47Z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3115989309D741DA945EE44A488D69E1</vt:lpwstr>
  </property>
  <property fmtid="{D5CDD505-2E9C-101B-9397-08002B2CF9AE}" pid="4" name="KSOTemplateDocerSaveRecord">
    <vt:lpwstr>eyJoZGlkIjoiODZlODgwMDBiN2U2NzEzZjJjZTA4NGIxMTZjZjI5ZmYiLCJ1c2VySWQiOiIxODA5MzMxNDA5In0=</vt:lpwstr>
  </property>
</Properties>
</file>