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5E" w:rsidRPr="0099785E" w:rsidRDefault="0099785E" w:rsidP="00E4288C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99785E">
        <w:rPr>
          <w:rFonts w:asciiTheme="majorEastAsia" w:eastAsiaTheme="majorEastAsia" w:hAnsiTheme="majorEastAsia" w:hint="eastAsia"/>
          <w:b/>
          <w:sz w:val="44"/>
          <w:szCs w:val="44"/>
        </w:rPr>
        <w:t>黑水县</w:t>
      </w:r>
      <w:r w:rsidR="00BD2041" w:rsidRPr="0099785E">
        <w:rPr>
          <w:rFonts w:asciiTheme="majorEastAsia" w:eastAsiaTheme="majorEastAsia" w:hAnsiTheme="majorEastAsia" w:hint="eastAsia"/>
          <w:b/>
          <w:sz w:val="44"/>
          <w:szCs w:val="44"/>
        </w:rPr>
        <w:t>2019年</w:t>
      </w:r>
    </w:p>
    <w:p w:rsidR="00E104A9" w:rsidRPr="0099785E" w:rsidRDefault="00BD2041" w:rsidP="00E4288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9785E">
        <w:rPr>
          <w:rFonts w:asciiTheme="majorEastAsia" w:eastAsiaTheme="majorEastAsia" w:hAnsiTheme="majorEastAsia" w:hint="eastAsia"/>
          <w:b/>
          <w:sz w:val="44"/>
          <w:szCs w:val="44"/>
        </w:rPr>
        <w:t>税收返还和转移支付补助情况的说明</w:t>
      </w:r>
    </w:p>
    <w:p w:rsidR="0099785E" w:rsidRDefault="0099785E" w:rsidP="0099785E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E4288C" w:rsidRPr="0099785E" w:rsidRDefault="00E4288C" w:rsidP="0099785E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99785E">
        <w:rPr>
          <w:rFonts w:ascii="仿宋_GB2312" w:eastAsia="仿宋_GB2312" w:hint="eastAsia"/>
          <w:sz w:val="32"/>
          <w:szCs w:val="32"/>
        </w:rPr>
        <w:t>2019年税收返还和转移支付补助收入预算数为</w:t>
      </w:r>
      <w:r w:rsidR="004D76AF" w:rsidRPr="0099785E">
        <w:rPr>
          <w:rFonts w:ascii="仿宋_GB2312" w:eastAsia="仿宋_GB2312" w:hint="eastAsia"/>
          <w:sz w:val="32"/>
          <w:szCs w:val="32"/>
        </w:rPr>
        <w:t>54998万元，较2018年50319万元，增长4679万元，增长9.3%。具体情况如下：</w:t>
      </w:r>
    </w:p>
    <w:p w:rsidR="004D76AF" w:rsidRPr="0099785E" w:rsidRDefault="004D76AF" w:rsidP="0099785E">
      <w:pPr>
        <w:spacing w:line="360" w:lineRule="auto"/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  <w:r w:rsidRPr="0099785E">
        <w:rPr>
          <w:rFonts w:ascii="仿宋_GB2312" w:eastAsia="仿宋_GB2312" w:hint="eastAsia"/>
          <w:b/>
          <w:sz w:val="32"/>
          <w:szCs w:val="32"/>
        </w:rPr>
        <w:t>一、返还性收入</w:t>
      </w:r>
    </w:p>
    <w:p w:rsidR="004D76AF" w:rsidRPr="0099785E" w:rsidRDefault="004D76AF" w:rsidP="0099785E">
      <w:pPr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  <w:r w:rsidRPr="0099785E">
        <w:rPr>
          <w:rFonts w:ascii="仿宋_GB2312" w:eastAsia="仿宋_GB2312" w:hint="eastAsia"/>
          <w:sz w:val="32"/>
          <w:szCs w:val="32"/>
        </w:rPr>
        <w:t xml:space="preserve">   </w:t>
      </w:r>
      <w:r w:rsidR="00CB4FC4" w:rsidRPr="0099785E">
        <w:rPr>
          <w:rFonts w:ascii="仿宋_GB2312" w:eastAsia="仿宋_GB2312" w:hint="eastAsia"/>
          <w:sz w:val="32"/>
          <w:szCs w:val="32"/>
        </w:rPr>
        <w:t xml:space="preserve"> </w:t>
      </w:r>
      <w:r w:rsidRPr="0099785E">
        <w:rPr>
          <w:rFonts w:ascii="仿宋_GB2312" w:eastAsia="仿宋_GB2312" w:hint="eastAsia"/>
          <w:sz w:val="32"/>
          <w:szCs w:val="32"/>
        </w:rPr>
        <w:t>2019年返还性收入预算数为-220万元，与2018年持平。其中：增值税和消费税税收返还收入133万元与上年持平；所得税基数返还收入7万元，与上年持平；成品油价格和税费改革税收返还收入0万元，与上年持平；增值税“五五分享”税收返还-360万元，与上年持平。</w:t>
      </w:r>
    </w:p>
    <w:p w:rsidR="004D76AF" w:rsidRPr="0099785E" w:rsidRDefault="004D76AF" w:rsidP="0099785E">
      <w:pPr>
        <w:spacing w:line="360" w:lineRule="auto"/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  <w:r w:rsidRPr="0099785E">
        <w:rPr>
          <w:rFonts w:ascii="仿宋_GB2312" w:eastAsia="仿宋_GB2312" w:hint="eastAsia"/>
          <w:b/>
          <w:sz w:val="32"/>
          <w:szCs w:val="32"/>
        </w:rPr>
        <w:t>二、一般性转移支付收入</w:t>
      </w:r>
    </w:p>
    <w:p w:rsidR="004D76AF" w:rsidRPr="0099785E" w:rsidRDefault="004D76AF" w:rsidP="0099785E">
      <w:pPr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  <w:r w:rsidRPr="0099785E">
        <w:rPr>
          <w:rFonts w:ascii="仿宋_GB2312" w:eastAsia="仿宋_GB2312" w:hint="eastAsia"/>
          <w:sz w:val="32"/>
          <w:szCs w:val="32"/>
        </w:rPr>
        <w:t xml:space="preserve">    2019年一般性转移支付收入预算数为55218万元，</w:t>
      </w:r>
      <w:r w:rsidR="00BD0BDB" w:rsidRPr="0099785E">
        <w:rPr>
          <w:rFonts w:ascii="仿宋_GB2312" w:eastAsia="仿宋_GB2312" w:hint="eastAsia"/>
          <w:sz w:val="32"/>
          <w:szCs w:val="32"/>
        </w:rPr>
        <w:t>较</w:t>
      </w:r>
      <w:r w:rsidRPr="0099785E">
        <w:rPr>
          <w:rFonts w:ascii="仿宋_GB2312" w:eastAsia="仿宋_GB2312" w:hint="eastAsia"/>
          <w:sz w:val="32"/>
          <w:szCs w:val="32"/>
        </w:rPr>
        <w:t>2018年</w:t>
      </w:r>
      <w:r w:rsidR="00BD0BDB" w:rsidRPr="0099785E">
        <w:rPr>
          <w:rFonts w:ascii="仿宋_GB2312" w:eastAsia="仿宋_GB2312" w:hint="eastAsia"/>
          <w:sz w:val="32"/>
          <w:szCs w:val="32"/>
        </w:rPr>
        <w:t>50539万元，增长4679万元，增长9.3%。其中：体制补助237万元，与上年持平；均衡性23276万元，</w:t>
      </w:r>
      <w:r w:rsidR="008003A8" w:rsidRPr="0099785E">
        <w:rPr>
          <w:rFonts w:ascii="仿宋_GB2312" w:eastAsia="仿宋_GB2312" w:hint="eastAsia"/>
          <w:sz w:val="32"/>
          <w:szCs w:val="32"/>
        </w:rPr>
        <w:t>较上年增长7.5%；</w:t>
      </w:r>
      <w:r w:rsidR="002935EA" w:rsidRPr="0099785E">
        <w:rPr>
          <w:rFonts w:ascii="仿宋_GB2312" w:eastAsia="仿宋_GB2312" w:hint="eastAsia"/>
          <w:sz w:val="32"/>
          <w:szCs w:val="32"/>
        </w:rPr>
        <w:t>民族地区3678万元，较上年增长4.5%；固定数额11204万元，较上年增长</w:t>
      </w:r>
      <w:r w:rsidR="001D05A2" w:rsidRPr="0099785E">
        <w:rPr>
          <w:rFonts w:ascii="仿宋_GB2312" w:eastAsia="仿宋_GB2312" w:hint="eastAsia"/>
          <w:sz w:val="32"/>
          <w:szCs w:val="32"/>
        </w:rPr>
        <w:t>1.9%；县级基本财力奖补5463万元，较上年46.4%；结算补助6439万元，与上年持平；革命老区专项收入1478万元，较上年增长7.6%；</w:t>
      </w:r>
      <w:r w:rsidR="00A71C3B" w:rsidRPr="0099785E">
        <w:rPr>
          <w:rFonts w:ascii="仿宋_GB2312" w:eastAsia="仿宋_GB2312" w:hint="eastAsia"/>
          <w:sz w:val="32"/>
          <w:szCs w:val="32"/>
        </w:rPr>
        <w:t>农村综合改革转移支付专项收入741万元，与上年持平；重点生态功能区转移支付收入3113万元，较上年增长68.2%。</w:t>
      </w:r>
    </w:p>
    <w:sectPr w:rsidR="004D76AF" w:rsidRPr="0099785E" w:rsidSect="00E10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D9B" w:rsidRDefault="00CD7D9B" w:rsidP="0099785E">
      <w:r>
        <w:separator/>
      </w:r>
    </w:p>
  </w:endnote>
  <w:endnote w:type="continuationSeparator" w:id="1">
    <w:p w:rsidR="00CD7D9B" w:rsidRDefault="00CD7D9B" w:rsidP="00997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D9B" w:rsidRDefault="00CD7D9B" w:rsidP="0099785E">
      <w:r>
        <w:separator/>
      </w:r>
    </w:p>
  </w:footnote>
  <w:footnote w:type="continuationSeparator" w:id="1">
    <w:p w:rsidR="00CD7D9B" w:rsidRDefault="00CD7D9B" w:rsidP="00997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041"/>
    <w:rsid w:val="001D05A2"/>
    <w:rsid w:val="002935EA"/>
    <w:rsid w:val="00353DED"/>
    <w:rsid w:val="004D76AF"/>
    <w:rsid w:val="008003A8"/>
    <w:rsid w:val="0099785E"/>
    <w:rsid w:val="00A71C3B"/>
    <w:rsid w:val="00BD0BDB"/>
    <w:rsid w:val="00BD2041"/>
    <w:rsid w:val="00CB4FC4"/>
    <w:rsid w:val="00CD7D9B"/>
    <w:rsid w:val="00E104A9"/>
    <w:rsid w:val="00E4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8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8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16</cp:revision>
  <dcterms:created xsi:type="dcterms:W3CDTF">2019-05-07T03:07:00Z</dcterms:created>
  <dcterms:modified xsi:type="dcterms:W3CDTF">2019-05-07T07:15:00Z</dcterms:modified>
</cp:coreProperties>
</file>