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方正小标宋_GBK" w:hAnsi="方正小标宋_GBK" w:eastAsia="方正小标宋_GBK" w:cs="方正小标宋_GBK"/>
          <w:b w:val="0"/>
          <w:bCs/>
          <w:sz w:val="44"/>
          <w:szCs w:val="44"/>
          <w:lang w:val="en-US" w:eastAsia="zh-CN"/>
        </w:rPr>
      </w:pPr>
      <w:bookmarkStart w:id="0" w:name="_Toc15396616"/>
      <w:r>
        <w:rPr>
          <w:rFonts w:hint="eastAsia" w:ascii="方正小标宋_GBK" w:hAnsi="方正小标宋_GBK" w:eastAsia="方正小标宋_GBK" w:cs="方正小标宋_GBK"/>
          <w:b w:val="0"/>
          <w:bCs/>
          <w:sz w:val="44"/>
          <w:szCs w:val="44"/>
          <w:lang w:eastAsia="zh-CN"/>
        </w:rPr>
        <w:t>黑水县残疾人联合会</w:t>
      </w:r>
    </w:p>
    <w:p>
      <w:pPr>
        <w:spacing w:line="600" w:lineRule="exact"/>
        <w:jc w:val="center"/>
        <w:outlineLvl w:val="0"/>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2018年部门整体支出绩效评价报告</w:t>
      </w:r>
      <w:bookmarkEnd w:id="0"/>
    </w:p>
    <w:p>
      <w:pPr>
        <w:spacing w:line="580" w:lineRule="exact"/>
        <w:ind w:firstLine="643" w:firstLineChars="200"/>
        <w:rPr>
          <w:rFonts w:ascii="仿宋_GB2312" w:hAnsi="黑体" w:eastAsia="仿宋_GB2312" w:cs="黑体"/>
          <w:b/>
          <w:sz w:val="32"/>
          <w:szCs w:val="32"/>
        </w:rPr>
      </w:pPr>
    </w:p>
    <w:p>
      <w:pPr>
        <w:snapToGrid w:val="0"/>
        <w:spacing w:line="560" w:lineRule="exact"/>
        <w:ind w:firstLine="640" w:firstLineChars="200"/>
        <w:rPr>
          <w:rFonts w:hint="eastAsia" w:ascii="黑体" w:hAnsi="黑体" w:eastAsia="黑体" w:cs="仿宋"/>
          <w:sz w:val="32"/>
          <w:szCs w:val="32"/>
        </w:rPr>
      </w:pPr>
      <w:r>
        <w:rPr>
          <w:rFonts w:hint="eastAsia" w:ascii="黑体" w:hAnsi="黑体" w:eastAsia="黑体" w:cs="仿宋"/>
          <w:sz w:val="32"/>
          <w:szCs w:val="32"/>
        </w:rPr>
        <w:t>一、单位概况</w:t>
      </w:r>
    </w:p>
    <w:p>
      <w:pPr>
        <w:snapToGrid w:val="0"/>
        <w:spacing w:line="560" w:lineRule="exact"/>
        <w:ind w:firstLine="643" w:firstLineChars="200"/>
        <w:rPr>
          <w:rFonts w:hint="eastAsia" w:ascii="楷体" w:hAnsi="楷体" w:eastAsia="楷体" w:cs="仿宋"/>
          <w:b/>
          <w:sz w:val="32"/>
          <w:szCs w:val="32"/>
        </w:rPr>
      </w:pPr>
      <w:r>
        <w:rPr>
          <w:rFonts w:hint="eastAsia" w:ascii="楷体" w:hAnsi="楷体" w:eastAsia="楷体" w:cs="仿宋"/>
          <w:b/>
          <w:sz w:val="32"/>
          <w:szCs w:val="32"/>
        </w:rPr>
        <w:t>（一）机构组成</w:t>
      </w:r>
    </w:p>
    <w:p>
      <w:pPr>
        <w:snapToGrid w:val="0"/>
        <w:spacing w:line="52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黑水县残疾人联合会是一级预算单位，是参照公务员管理的事业单位。1992年从民政局单列，升为正科级单位，内设县级教就、扶贫、康复中心、文体宣传、办公室、财务室及县1个居委会、27个乡镇和123个行政村的残疾人协会和148个专、兼职机构，我会系黑水县直接管辖。</w:t>
      </w:r>
    </w:p>
    <w:p>
      <w:pPr>
        <w:snapToGrid w:val="0"/>
        <w:spacing w:line="560" w:lineRule="exact"/>
        <w:ind w:firstLine="643" w:firstLineChars="200"/>
        <w:rPr>
          <w:rFonts w:hint="eastAsia" w:ascii="楷体" w:hAnsi="楷体" w:eastAsia="楷体" w:cs="仿宋"/>
          <w:b/>
          <w:sz w:val="32"/>
          <w:szCs w:val="32"/>
        </w:rPr>
      </w:pPr>
      <w:r>
        <w:rPr>
          <w:rFonts w:hint="eastAsia" w:ascii="楷体" w:hAnsi="楷体" w:eastAsia="楷体" w:cs="仿宋"/>
          <w:b/>
          <w:sz w:val="32"/>
          <w:szCs w:val="32"/>
        </w:rPr>
        <w:t>（二）机构职能</w:t>
      </w:r>
    </w:p>
    <w:p>
      <w:pPr>
        <w:widowControl/>
        <w:spacing w:line="600" w:lineRule="exact"/>
        <w:ind w:firstLine="640" w:firstLineChars="200"/>
        <w:jc w:val="left"/>
        <w:outlineLvl w:val="0"/>
        <w:rPr>
          <w:rFonts w:hint="eastAsia" w:ascii="仿宋_GB2312" w:hAnsi="仿宋" w:eastAsia="仿宋_GB2312" w:cs="仿宋"/>
          <w:sz w:val="32"/>
          <w:szCs w:val="32"/>
        </w:rPr>
      </w:pPr>
      <w:r>
        <w:rPr>
          <w:rFonts w:hint="eastAsia" w:ascii="仿宋_GB2312" w:hAnsi="仿宋" w:eastAsia="仿宋_GB2312" w:cs="仿宋"/>
          <w:sz w:val="32"/>
          <w:szCs w:val="32"/>
        </w:rPr>
        <w:t>贯彻执行助残法律、法规，协助政府研究、制定和实施本县残疾人事业的发展规划和措施，对有关业务领域进行指导和管理；沟通政府、社会与残疾人之间的联系，宣传残疾人事业，动员社会理解、尊重、关心、帮助残疾人；密切联系残疾人，听取残疾人意见；反映残疾人需求，维护残疾人合法权益。</w:t>
      </w:r>
    </w:p>
    <w:p>
      <w:pPr>
        <w:snapToGrid w:val="0"/>
        <w:spacing w:line="560" w:lineRule="exact"/>
        <w:ind w:firstLine="643" w:firstLineChars="200"/>
        <w:rPr>
          <w:rFonts w:hint="eastAsia" w:ascii="楷体" w:hAnsi="楷体" w:eastAsia="楷体" w:cs="仿宋"/>
          <w:b/>
          <w:sz w:val="32"/>
          <w:szCs w:val="32"/>
        </w:rPr>
      </w:pPr>
      <w:r>
        <w:rPr>
          <w:rFonts w:hint="eastAsia" w:ascii="楷体" w:hAnsi="楷体" w:eastAsia="楷体" w:cs="仿宋"/>
          <w:b/>
          <w:sz w:val="32"/>
          <w:szCs w:val="32"/>
        </w:rPr>
        <w:t>（三）人员概况</w:t>
      </w:r>
    </w:p>
    <w:p>
      <w:pPr>
        <w:snapToGrid w:val="0"/>
        <w:spacing w:line="52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2018年12月在册人数8人,其中：理事长1人，副理事长1人。本年调入、调出人员各1名。</w:t>
      </w:r>
    </w:p>
    <w:p>
      <w:pPr>
        <w:spacing w:line="560" w:lineRule="exact"/>
        <w:rPr>
          <w:rFonts w:hint="eastAsia" w:ascii="黑体" w:hAnsi="黑体" w:eastAsia="黑体" w:cs="仿宋"/>
          <w:sz w:val="32"/>
          <w:szCs w:val="32"/>
        </w:rPr>
      </w:pPr>
      <w:r>
        <w:rPr>
          <w:rFonts w:hint="eastAsia" w:ascii="仿宋" w:hAnsi="仿宋" w:eastAsia="仿宋" w:cs="仿宋"/>
          <w:b/>
          <w:sz w:val="32"/>
          <w:szCs w:val="32"/>
        </w:rPr>
        <w:t xml:space="preserve">    </w:t>
      </w:r>
      <w:r>
        <w:rPr>
          <w:rFonts w:hint="eastAsia" w:ascii="黑体" w:hAnsi="黑体" w:eastAsia="黑体" w:cs="仿宋"/>
          <w:sz w:val="32"/>
          <w:szCs w:val="32"/>
        </w:rPr>
        <w:t>二、部门财政资金收支情况</w:t>
      </w:r>
    </w:p>
    <w:p>
      <w:pPr>
        <w:spacing w:line="560" w:lineRule="exact"/>
        <w:ind w:firstLine="803" w:firstLineChars="250"/>
        <w:rPr>
          <w:rFonts w:hint="eastAsia" w:ascii="楷体" w:hAnsi="楷体" w:eastAsia="楷体" w:cs="仿宋"/>
          <w:b/>
          <w:sz w:val="32"/>
          <w:szCs w:val="32"/>
        </w:rPr>
      </w:pPr>
      <w:r>
        <w:rPr>
          <w:rFonts w:hint="eastAsia" w:ascii="楷体" w:hAnsi="楷体" w:eastAsia="楷体" w:cs="仿宋"/>
          <w:b/>
          <w:sz w:val="32"/>
          <w:szCs w:val="32"/>
        </w:rPr>
        <w:t>（一）部门财政资金收入情况</w:t>
      </w:r>
    </w:p>
    <w:p>
      <w:pPr>
        <w:snapToGrid w:val="0"/>
        <w:spacing w:line="360" w:lineRule="auto"/>
        <w:ind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1．收入与预算对比分析：本单位2018年年初预算安排收入119.15万元，本年实际收入214.43万元，本年实际收入与年初预算增加95.28万元，差异率79.97%。差异主要原因一是本年调资,二是本年上级拨款14万元。</w:t>
      </w:r>
    </w:p>
    <w:p>
      <w:pPr>
        <w:snapToGrid w:val="0"/>
        <w:spacing w:line="360" w:lineRule="auto"/>
        <w:ind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2．本年收入与上年收入的对比分析</w:t>
      </w:r>
    </w:p>
    <w:p>
      <w:pPr>
        <w:snapToGrid w:val="0"/>
        <w:spacing w:line="360" w:lineRule="auto"/>
        <w:ind w:firstLine="640" w:firstLineChars="200"/>
        <w:jc w:val="left"/>
        <w:rPr>
          <w:rFonts w:hint="eastAsia" w:ascii="仿宋_GB2312" w:hAnsi="仿宋" w:eastAsia="仿宋_GB2312" w:cs="仿宋"/>
          <w:sz w:val="32"/>
          <w:szCs w:val="32"/>
        </w:rPr>
      </w:pPr>
      <w:r>
        <w:rPr>
          <w:rFonts w:hint="eastAsia" w:ascii="仿宋_GB2312" w:hAnsi="仿宋" w:eastAsia="仿宋_GB2312" w:cs="仿宋"/>
          <w:sz w:val="32"/>
          <w:szCs w:val="32"/>
        </w:rPr>
        <w:t>本年度实际收入214.43万元，比上年度收入207.15万元增加7.28万元，增加幅度3.51%。</w:t>
      </w:r>
    </w:p>
    <w:p>
      <w:pPr>
        <w:widowControl/>
        <w:adjustRightInd w:val="0"/>
        <w:snapToGrid w:val="0"/>
        <w:spacing w:line="560" w:lineRule="exact"/>
        <w:ind w:firstLine="720"/>
        <w:jc w:val="left"/>
        <w:rPr>
          <w:rFonts w:hint="eastAsia" w:ascii="仿宋_GB2312" w:hAnsi="仿宋" w:eastAsia="仿宋_GB2312" w:cs="仿宋"/>
          <w:sz w:val="32"/>
          <w:szCs w:val="32"/>
        </w:rPr>
      </w:pPr>
      <w:r>
        <w:rPr>
          <w:rFonts w:hint="eastAsia" w:ascii="仿宋_GB2312" w:hAnsi="仿宋" w:eastAsia="仿宋_GB2312" w:cs="仿宋"/>
          <w:sz w:val="32"/>
          <w:szCs w:val="32"/>
        </w:rPr>
        <w:t>3．本年收入结构分析：本年收入214.43万元，其中财政拨款收入214.43万元，占本年收入的100%。</w:t>
      </w:r>
    </w:p>
    <w:p>
      <w:pPr>
        <w:widowControl/>
        <w:adjustRightInd w:val="0"/>
        <w:snapToGrid w:val="0"/>
        <w:spacing w:line="560" w:lineRule="exact"/>
        <w:ind w:firstLine="720"/>
        <w:jc w:val="left"/>
        <w:rPr>
          <w:rFonts w:hint="eastAsia" w:ascii="楷体" w:hAnsi="楷体" w:eastAsia="楷体" w:cs="仿宋"/>
          <w:b/>
          <w:sz w:val="32"/>
          <w:szCs w:val="32"/>
        </w:rPr>
      </w:pPr>
      <w:r>
        <w:rPr>
          <w:rFonts w:hint="eastAsia" w:ascii="楷体" w:hAnsi="楷体" w:eastAsia="楷体" w:cs="仿宋"/>
          <w:b/>
          <w:sz w:val="32"/>
          <w:szCs w:val="32"/>
        </w:rPr>
        <w:t>（二）部门财政资金支出情况</w:t>
      </w:r>
    </w:p>
    <w:p>
      <w:pPr>
        <w:snapToGrid w:val="0"/>
        <w:spacing w:line="360" w:lineRule="auto"/>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 xml:space="preserve">1．支出与预算对比分析：本年预算支出119.15万元，本年决算数支出201.09万元，本年实际支出比预算支出增加81.94万元，差异率68.77%。实际支出增加主要原因一是本来调资,二是本年项目实施较好。 </w:t>
      </w:r>
    </w:p>
    <w:p>
      <w:pPr>
        <w:snapToGrid w:val="0"/>
        <w:spacing w:line="360" w:lineRule="auto"/>
        <w:ind w:firstLine="630"/>
        <w:jc w:val="left"/>
        <w:rPr>
          <w:rFonts w:hint="eastAsia" w:ascii="仿宋_GB2312" w:hAnsi="仿宋" w:eastAsia="仿宋_GB2312" w:cs="仿宋"/>
          <w:sz w:val="32"/>
          <w:szCs w:val="32"/>
        </w:rPr>
      </w:pPr>
      <w:r>
        <w:rPr>
          <w:rFonts w:hint="eastAsia" w:ascii="仿宋_GB2312" w:hAnsi="仿宋" w:eastAsia="仿宋_GB2312" w:cs="仿宋"/>
          <w:sz w:val="32"/>
          <w:szCs w:val="32"/>
        </w:rPr>
        <w:t>2．本年支出与上年支出的对比分析: 本年度实际支出201.09万元比上年度222.30万元减少21.14万元，减幅率9.51%,差异原因主要是因为本年项目支出减少。</w:t>
      </w:r>
    </w:p>
    <w:p>
      <w:pPr>
        <w:snapToGrid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3.本年支出结构分析: 本年支出201.09万元，按资金来源分析：其中财政拨款支出201.09万元，占本年总支出的100%，按支出性质分析：基本支出150.54万元占本年总支出74.76%，项目支出50.55万元,占本年总支出的25.24%；按支出经济分类：工资福利支出139.21万元，占本年支出69.23%，商品和服务支出11.96万元，占本年支出5.95%，对个人和家庭的补助49.92万元，占本年支24.82%。</w:t>
      </w:r>
    </w:p>
    <w:p>
      <w:pPr>
        <w:snapToGrid w:val="0"/>
        <w:spacing w:line="560" w:lineRule="exact"/>
        <w:ind w:firstLine="640" w:firstLineChars="200"/>
        <w:rPr>
          <w:rFonts w:ascii="仿宋_GB2312" w:hAnsi="仿宋" w:eastAsia="仿宋_GB2312"/>
          <w:sz w:val="32"/>
          <w:szCs w:val="32"/>
        </w:rPr>
      </w:pPr>
    </w:p>
    <w:p>
      <w:pPr>
        <w:spacing w:line="580" w:lineRule="exact"/>
        <w:ind w:firstLine="643" w:firstLineChars="200"/>
        <w:rPr>
          <w:rFonts w:ascii="仿宋_GB2312" w:hAnsi="黑体" w:eastAsia="仿宋_GB2312" w:cs="黑体"/>
          <w:b/>
          <w:bCs/>
          <w:color w:val="000000" w:themeColor="text1"/>
          <w:sz w:val="32"/>
          <w:szCs w:val="32"/>
        </w:rPr>
      </w:pPr>
      <w:r>
        <w:rPr>
          <w:rFonts w:hint="eastAsia" w:ascii="仿宋_GB2312" w:hAnsi="黑体" w:eastAsia="仿宋_GB2312" w:cs="黑体"/>
          <w:b/>
          <w:bCs/>
          <w:color w:val="000000" w:themeColor="text1"/>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（一）部门预算管理。</w:t>
      </w:r>
    </w:p>
    <w:p>
      <w:pPr>
        <w:spacing w:line="580" w:lineRule="exact"/>
        <w:ind w:firstLine="640" w:firstLineChars="200"/>
        <w:rPr>
          <w:rFonts w:hint="eastAsia"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包括部门绩效目标制定、目标完成、预算编制准确、支出控制、预算动态调整、执行进度、预算完成情况和违规记录等情况。</w:t>
      </w:r>
    </w:p>
    <w:p>
      <w:pPr>
        <w:snapToGrid w:val="0"/>
        <w:spacing w:line="560" w:lineRule="exact"/>
        <w:ind w:firstLine="640" w:firstLineChars="200"/>
        <w:jc w:val="left"/>
        <w:rPr>
          <w:rFonts w:hint="eastAsia" w:ascii="仿宋_GB2312" w:hAnsi="仿宋" w:eastAsia="仿宋_GB2312" w:cs="仿宋_GB2312"/>
          <w:color w:val="000000" w:themeColor="text1"/>
          <w:sz w:val="32"/>
          <w:szCs w:val="32"/>
        </w:rPr>
      </w:pPr>
      <w:r>
        <w:rPr>
          <w:rFonts w:hint="eastAsia" w:ascii="仿宋_GB2312" w:hAnsi="仿宋" w:eastAsia="仿宋_GB2312"/>
          <w:color w:val="000000" w:themeColor="text1"/>
          <w:sz w:val="32"/>
          <w:szCs w:val="32"/>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p>
    <w:p>
      <w:pPr>
        <w:spacing w:line="580" w:lineRule="exact"/>
        <w:ind w:firstLine="600" w:firstLineChars="200"/>
        <w:rPr>
          <w:rFonts w:hint="eastAsia" w:ascii="仿宋" w:hAnsi="仿宋" w:eastAsia="仿宋" w:cs="仿宋"/>
          <w:color w:val="000000" w:themeColor="text1"/>
          <w:sz w:val="30"/>
          <w:szCs w:val="30"/>
        </w:rPr>
      </w:pPr>
      <w:r>
        <w:rPr>
          <w:rFonts w:hint="eastAsia" w:ascii="仿宋" w:hAnsi="仿宋" w:eastAsia="仿宋" w:cs="仿宋"/>
          <w:color w:val="000000" w:themeColor="text1"/>
          <w:sz w:val="30"/>
          <w:szCs w:val="30"/>
        </w:rPr>
        <w:t>（二）专项预算管理。</w:t>
      </w:r>
    </w:p>
    <w:p>
      <w:pPr>
        <w:spacing w:line="580" w:lineRule="exact"/>
        <w:ind w:firstLine="600" w:firstLineChars="200"/>
        <w:rPr>
          <w:rFonts w:hint="eastAsia" w:ascii="仿宋" w:hAnsi="仿宋" w:eastAsia="仿宋" w:cs="仿宋"/>
          <w:color w:val="000000" w:themeColor="text1"/>
          <w:sz w:val="30"/>
          <w:szCs w:val="30"/>
        </w:rPr>
      </w:pPr>
      <w:r>
        <w:rPr>
          <w:rFonts w:hint="eastAsia" w:ascii="仿宋" w:hAnsi="仿宋" w:eastAsia="仿宋" w:cs="仿宋"/>
          <w:color w:val="000000" w:themeColor="text1"/>
          <w:sz w:val="30"/>
          <w:szCs w:val="30"/>
        </w:rPr>
        <w:t>包括专项预算项目程序严密、规划合理、结果符合、分配科学、分配及时、专项预算绩效目标完成、实施绩效、违规记录等情况。</w:t>
      </w:r>
    </w:p>
    <w:p>
      <w:pPr>
        <w:snapToGrid w:val="0"/>
        <w:spacing w:line="360" w:lineRule="auto"/>
        <w:ind w:firstLine="600" w:firstLineChars="200"/>
        <w:jc w:val="left"/>
        <w:rPr>
          <w:rFonts w:hint="eastAsia" w:ascii="仿宋" w:hAnsi="仿宋" w:eastAsia="仿宋" w:cs="仿宋"/>
          <w:color w:val="000000"/>
          <w:sz w:val="30"/>
          <w:szCs w:val="30"/>
        </w:rPr>
      </w:pPr>
      <w:r>
        <w:rPr>
          <w:rFonts w:hint="eastAsia" w:ascii="仿宋" w:hAnsi="仿宋" w:eastAsia="仿宋" w:cs="仿宋"/>
          <w:color w:val="000000" w:themeColor="text1"/>
          <w:sz w:val="30"/>
          <w:szCs w:val="30"/>
        </w:rPr>
        <w:t>资产管理做到正确核算，加强固定</w:t>
      </w:r>
      <w:r>
        <w:rPr>
          <w:rFonts w:hint="eastAsia" w:ascii="仿宋" w:hAnsi="仿宋" w:eastAsia="仿宋" w:cs="仿宋"/>
          <w:color w:val="000000"/>
          <w:sz w:val="30"/>
          <w:szCs w:val="30"/>
        </w:rPr>
        <w:t>资产购置、使用及保管。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snapToGrid w:val="0"/>
        <w:spacing w:line="360" w:lineRule="auto"/>
        <w:ind w:firstLine="600" w:firstLineChars="200"/>
        <w:jc w:val="left"/>
        <w:rPr>
          <w:rFonts w:hint="eastAsia" w:ascii="仿宋" w:hAnsi="仿宋" w:eastAsia="仿宋" w:cs="仿宋"/>
          <w:color w:val="auto"/>
          <w:sz w:val="30"/>
          <w:szCs w:val="30"/>
          <w:lang w:eastAsia="zh-CN"/>
        </w:rPr>
      </w:pPr>
      <w:r>
        <w:rPr>
          <w:rFonts w:hint="eastAsia" w:ascii="仿宋" w:hAnsi="仿宋" w:eastAsia="仿宋" w:cs="仿宋"/>
          <w:color w:val="000000"/>
          <w:sz w:val="30"/>
          <w:szCs w:val="30"/>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r>
        <w:rPr>
          <w:rFonts w:hint="eastAsia" w:ascii="仿宋" w:hAnsi="仿宋" w:eastAsia="仿宋" w:cs="仿宋"/>
          <w:color w:val="auto"/>
          <w:sz w:val="30"/>
          <w:szCs w:val="30"/>
          <w:lang w:eastAsia="zh-CN"/>
        </w:rPr>
        <w:t>本单位无违规记录</w:t>
      </w:r>
    </w:p>
    <w:p>
      <w:pPr>
        <w:spacing w:line="580" w:lineRule="exact"/>
        <w:ind w:firstLine="600" w:firstLineChars="200"/>
        <w:rPr>
          <w:rFonts w:hint="eastAsia" w:ascii="仿宋" w:hAnsi="仿宋" w:eastAsia="仿宋" w:cs="仿宋"/>
          <w:color w:val="000000" w:themeColor="text1"/>
          <w:sz w:val="30"/>
          <w:szCs w:val="30"/>
        </w:rPr>
      </w:pPr>
      <w:r>
        <w:rPr>
          <w:rFonts w:hint="eastAsia" w:ascii="仿宋" w:hAnsi="仿宋" w:eastAsia="仿宋" w:cs="仿宋"/>
          <w:color w:val="000000" w:themeColor="text1"/>
          <w:sz w:val="30"/>
          <w:szCs w:val="30"/>
        </w:rPr>
        <w:t>（三）结果应用情况。</w:t>
      </w:r>
    </w:p>
    <w:p>
      <w:pPr>
        <w:pStyle w:val="4"/>
        <w:shd w:val="clear" w:color="auto" w:fill="FFFFFF"/>
        <w:spacing w:before="0" w:beforeAutospacing="0" w:after="0" w:afterAutospacing="0" w:line="560" w:lineRule="exact"/>
        <w:ind w:firstLine="600" w:firstLineChars="200"/>
        <w:rPr>
          <w:rFonts w:hint="eastAsia" w:ascii="仿宋" w:hAnsi="仿宋" w:eastAsia="仿宋" w:cs="仿宋"/>
          <w:color w:val="C0504D" w:themeColor="accent2"/>
          <w:sz w:val="30"/>
          <w:szCs w:val="30"/>
        </w:rPr>
      </w:pPr>
      <w:r>
        <w:rPr>
          <w:rFonts w:hint="eastAsia" w:ascii="仿宋" w:hAnsi="仿宋" w:eastAsia="仿宋" w:cs="仿宋"/>
          <w:color w:val="000000"/>
          <w:sz w:val="30"/>
          <w:szCs w:val="30"/>
          <w:lang w:val="en-US" w:eastAsia="zh-CN"/>
        </w:rPr>
        <w:t>本年本单位在执行公务过程中</w:t>
      </w:r>
      <w:r>
        <w:rPr>
          <w:rFonts w:hint="eastAsia" w:ascii="仿宋" w:hAnsi="仿宋" w:eastAsia="仿宋" w:cs="仿宋"/>
          <w:color w:val="000000"/>
          <w:sz w:val="30"/>
          <w:szCs w:val="30"/>
        </w:rPr>
        <w:t>严格执行“厉行节约、反对浪费”的规定，严格控制“三公”经费支出，加强公务用车管理，努力降低燃修费用。</w:t>
      </w:r>
    </w:p>
    <w:p>
      <w:pPr>
        <w:pStyle w:val="4"/>
        <w:shd w:val="clear" w:color="auto" w:fill="FFFFFF"/>
        <w:spacing w:before="0" w:beforeAutospacing="0" w:after="0" w:afterAutospacing="0" w:line="560" w:lineRule="exact"/>
        <w:rPr>
          <w:rFonts w:hint="eastAsia" w:ascii="楷体" w:hAnsi="楷体" w:eastAsia="楷体"/>
          <w:b/>
          <w:color w:val="auto"/>
          <w:sz w:val="36"/>
          <w:szCs w:val="36"/>
        </w:rPr>
      </w:pPr>
      <w:r>
        <w:rPr>
          <w:rFonts w:hint="eastAsia" w:ascii="黑体" w:hAnsi="黑体" w:eastAsia="黑体" w:cs="仿宋"/>
          <w:color w:val="auto"/>
          <w:sz w:val="32"/>
          <w:szCs w:val="32"/>
        </w:rPr>
        <w:t>四、评价结论及建议 </w:t>
      </w:r>
    </w:p>
    <w:p>
      <w:pPr>
        <w:spacing w:line="560" w:lineRule="exact"/>
        <w:ind w:firstLine="645"/>
        <w:jc w:val="left"/>
        <w:rPr>
          <w:rFonts w:hint="eastAsia" w:ascii="楷体" w:hAnsi="楷体" w:eastAsia="楷体"/>
          <w:b/>
          <w:color w:val="000000"/>
          <w:sz w:val="32"/>
          <w:szCs w:val="32"/>
        </w:rPr>
      </w:pPr>
      <w:r>
        <w:rPr>
          <w:rFonts w:hint="eastAsia" w:ascii="楷体" w:hAnsi="楷体" w:eastAsia="楷体"/>
          <w:b/>
          <w:color w:val="000000"/>
          <w:sz w:val="32"/>
          <w:szCs w:val="32"/>
        </w:rPr>
        <w:t>（一）评价结论</w:t>
      </w:r>
    </w:p>
    <w:p>
      <w:pPr>
        <w:spacing w:line="560" w:lineRule="exact"/>
        <w:ind w:firstLine="645"/>
        <w:jc w:val="left"/>
        <w:rPr>
          <w:rFonts w:hint="eastAsia" w:ascii="仿宋_GB2312" w:hAnsi="宋体" w:eastAsia="仿宋_GB2312"/>
          <w:color w:val="000000"/>
          <w:sz w:val="32"/>
          <w:szCs w:val="32"/>
        </w:rPr>
      </w:pPr>
      <w:r>
        <w:rPr>
          <w:rFonts w:hint="eastAsia" w:ascii="仿宋_GB2312" w:hAnsi="仿宋" w:eastAsia="仿宋_GB2312"/>
          <w:color w:val="000000"/>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w:t>
      </w:r>
      <w:r>
        <w:rPr>
          <w:rFonts w:hint="eastAsia" w:ascii="宋体" w:hAnsi="宋体" w:eastAsia="仿宋_GB2312"/>
          <w:color w:val="000000"/>
          <w:sz w:val="32"/>
          <w:szCs w:val="32"/>
        </w:rPr>
        <w:t> </w:t>
      </w:r>
    </w:p>
    <w:p>
      <w:pPr>
        <w:spacing w:line="560" w:lineRule="exact"/>
        <w:ind w:firstLine="645"/>
        <w:jc w:val="left"/>
        <w:rPr>
          <w:rFonts w:hint="eastAsia" w:ascii="仿宋_GB2312" w:hAnsi="仿宋" w:eastAsia="仿宋_GB2312"/>
          <w:color w:val="000000"/>
          <w:sz w:val="32"/>
          <w:szCs w:val="32"/>
        </w:rPr>
      </w:pPr>
      <w:r>
        <w:rPr>
          <w:rFonts w:hint="eastAsia" w:ascii="仿宋_GB2312" w:hAnsi="仿宋" w:eastAsia="仿宋_GB2312"/>
          <w:color w:val="000000"/>
          <w:sz w:val="32"/>
          <w:szCs w:val="32"/>
        </w:rPr>
        <w:t>结合评价得分评价结果为良好。</w:t>
      </w:r>
    </w:p>
    <w:p>
      <w:pPr>
        <w:pStyle w:val="4"/>
        <w:shd w:val="clear" w:color="auto" w:fill="FFFFFF"/>
        <w:spacing w:before="0" w:beforeAutospacing="0" w:after="0" w:afterAutospacing="0" w:line="560" w:lineRule="exact"/>
        <w:ind w:firstLine="643" w:firstLineChars="200"/>
        <w:rPr>
          <w:rFonts w:hint="eastAsia" w:ascii="楷体" w:hAnsi="楷体" w:eastAsia="楷体"/>
          <w:b/>
          <w:color w:val="000000"/>
          <w:sz w:val="32"/>
          <w:szCs w:val="32"/>
        </w:rPr>
      </w:pPr>
      <w:r>
        <w:rPr>
          <w:rFonts w:hint="eastAsia" w:ascii="楷体" w:hAnsi="楷体" w:eastAsia="楷体"/>
          <w:b/>
          <w:color w:val="000000"/>
          <w:sz w:val="32"/>
          <w:szCs w:val="32"/>
        </w:rPr>
        <w:t>（二）存在问题</w:t>
      </w:r>
    </w:p>
    <w:p>
      <w:pPr>
        <w:pStyle w:val="4"/>
        <w:shd w:val="clear" w:color="auto" w:fill="FFFFFF"/>
        <w:spacing w:before="0" w:beforeAutospacing="0" w:after="0" w:afterAutospacing="0" w:line="560" w:lineRule="exact"/>
        <w:rPr>
          <w:rFonts w:hint="eastAsia" w:ascii="仿宋_GB2312" w:hAnsi="仿宋" w:eastAsia="仿宋_GB2312"/>
          <w:sz w:val="32"/>
          <w:szCs w:val="32"/>
        </w:rPr>
      </w:pPr>
      <w:r>
        <w:rPr>
          <w:rFonts w:hint="eastAsia" w:ascii="仿宋_GB2312" w:hAnsi="仿宋" w:eastAsia="仿宋_GB2312"/>
          <w:sz w:val="32"/>
          <w:szCs w:val="32"/>
        </w:rPr>
        <w:t xml:space="preserve">    无。</w:t>
      </w:r>
      <w:r>
        <w:rPr>
          <w:rFonts w:hint="eastAsia" w:eastAsia="仿宋_GB2312"/>
          <w:sz w:val="32"/>
          <w:szCs w:val="32"/>
        </w:rPr>
        <w:t> </w:t>
      </w:r>
    </w:p>
    <w:p>
      <w:pPr>
        <w:pStyle w:val="4"/>
        <w:shd w:val="clear" w:color="auto" w:fill="FFFFFF"/>
        <w:spacing w:before="0" w:beforeAutospacing="0" w:after="0" w:afterAutospacing="0" w:line="560" w:lineRule="exact"/>
        <w:rPr>
          <w:rFonts w:hint="eastAsia" w:ascii="楷体" w:hAnsi="楷体" w:eastAsia="楷体"/>
          <w:b/>
          <w:color w:val="000000"/>
          <w:sz w:val="32"/>
          <w:szCs w:val="32"/>
        </w:rPr>
      </w:pPr>
      <w:r>
        <w:rPr>
          <w:rFonts w:hint="eastAsia" w:ascii="仿宋_GB2312" w:hAnsi="仿宋" w:eastAsia="仿宋_GB2312"/>
          <w:color w:val="000000"/>
          <w:sz w:val="32"/>
          <w:szCs w:val="32"/>
        </w:rPr>
        <w:t>　　</w:t>
      </w:r>
      <w:r>
        <w:rPr>
          <w:rFonts w:hint="eastAsia" w:ascii="楷体" w:hAnsi="楷体" w:eastAsia="楷体"/>
          <w:b/>
          <w:color w:val="000000"/>
          <w:sz w:val="32"/>
          <w:szCs w:val="32"/>
        </w:rPr>
        <w:t>（三）改进建议</w:t>
      </w:r>
      <w:r>
        <w:rPr>
          <w:rFonts w:hint="eastAsia" w:eastAsia="楷体"/>
          <w:b/>
          <w:color w:val="000000"/>
          <w:sz w:val="32"/>
          <w:szCs w:val="32"/>
        </w:rPr>
        <w:t> </w:t>
      </w:r>
    </w:p>
    <w:p>
      <w:pPr>
        <w:pStyle w:val="4"/>
        <w:shd w:val="clear" w:color="auto" w:fill="FFFFFF"/>
        <w:spacing w:before="0" w:beforeAutospacing="0" w:after="0" w:afterAutospacing="0" w:line="560" w:lineRule="exact"/>
        <w:rPr>
          <w:rFonts w:hint="eastAsia" w:ascii="仿宋_GB2312" w:hAnsi="仿宋" w:eastAsia="仿宋_GB2312"/>
          <w:color w:val="000000"/>
          <w:sz w:val="32"/>
          <w:szCs w:val="32"/>
        </w:rPr>
      </w:pPr>
      <w:r>
        <w:rPr>
          <w:rFonts w:hint="eastAsia" w:ascii="仿宋_GB2312" w:hAnsi="仿宋" w:eastAsia="仿宋_GB2312"/>
          <w:color w:val="000000"/>
          <w:sz w:val="32"/>
          <w:szCs w:val="32"/>
        </w:rPr>
        <w:t>　　我们将进一步重视预算的编制工作，提高预算编制的精确度，提高财政资金使用效率，尽量减少预算执行调整、结转和结余注销的情形。</w:t>
      </w:r>
      <w:r>
        <w:rPr>
          <w:rFonts w:hint="eastAsia" w:eastAsia="仿宋_GB2312"/>
          <w:color w:val="000000"/>
          <w:sz w:val="32"/>
          <w:szCs w:val="32"/>
        </w:rPr>
        <w:t> </w:t>
      </w:r>
    </w:p>
    <w:p>
      <w:pPr>
        <w:pStyle w:val="4"/>
        <w:shd w:val="clear" w:color="auto" w:fill="FFFFFF"/>
        <w:spacing w:before="0" w:beforeAutospacing="0" w:after="0" w:afterAutospacing="0" w:line="560" w:lineRule="exact"/>
        <w:rPr>
          <w:rFonts w:hint="eastAsia" w:ascii="仿宋_GB2312" w:hAnsi="仿宋" w:eastAsia="仿宋_GB2312"/>
          <w:sz w:val="32"/>
          <w:szCs w:val="32"/>
        </w:rPr>
      </w:pPr>
      <w:r>
        <w:rPr>
          <w:rFonts w:hint="eastAsia" w:ascii="仿宋_GB2312" w:hAnsi="仿宋" w:eastAsia="仿宋_GB2312"/>
          <w:sz w:val="32"/>
          <w:szCs w:val="32"/>
        </w:rPr>
        <w:t>　　</w:t>
      </w:r>
      <w:r>
        <w:rPr>
          <w:rFonts w:hint="eastAsia" w:eastAsia="仿宋_GB2312"/>
          <w:sz w:val="32"/>
          <w:szCs w:val="32"/>
        </w:rPr>
        <w:t>  </w:t>
      </w:r>
    </w:p>
    <w:p>
      <w:pPr>
        <w:pStyle w:val="4"/>
        <w:shd w:val="clear" w:color="auto" w:fill="FFFFFF"/>
        <w:spacing w:before="0" w:beforeAutospacing="0" w:after="0" w:afterAutospacing="0" w:line="560" w:lineRule="exact"/>
        <w:ind w:firstLine="4160" w:firstLineChars="1300"/>
        <w:rPr>
          <w:rFonts w:hint="eastAsia" w:ascii="仿宋_GB2312" w:hAnsi="仿宋" w:eastAsia="仿宋_GB2312"/>
          <w:sz w:val="32"/>
          <w:szCs w:val="32"/>
        </w:rPr>
      </w:pPr>
      <w:r>
        <w:rPr>
          <w:rFonts w:hint="eastAsia" w:ascii="仿宋_GB2312" w:hAnsi="仿宋" w:eastAsia="仿宋_GB2312"/>
          <w:sz w:val="32"/>
          <w:szCs w:val="32"/>
        </w:rPr>
        <w:t xml:space="preserve">  </w:t>
      </w:r>
      <w:r>
        <w:rPr>
          <w:rFonts w:hint="eastAsia" w:ascii="仿宋_GB2312" w:hAnsi="仿宋" w:eastAsia="仿宋_GB2312"/>
          <w:sz w:val="32"/>
          <w:szCs w:val="32"/>
          <w:lang w:val="en-US" w:eastAsia="zh-CN"/>
        </w:rPr>
        <w:t xml:space="preserve">  </w:t>
      </w:r>
      <w:bookmarkStart w:id="1" w:name="_GoBack"/>
      <w:bookmarkEnd w:id="1"/>
      <w:r>
        <w:rPr>
          <w:rFonts w:hint="eastAsia" w:ascii="仿宋_GB2312" w:hAnsi="仿宋" w:eastAsia="仿宋_GB2312"/>
          <w:sz w:val="32"/>
          <w:szCs w:val="32"/>
        </w:rPr>
        <w:t xml:space="preserve">  黑水县残疾人联合会</w:t>
      </w:r>
    </w:p>
    <w:p>
      <w:pPr>
        <w:pStyle w:val="4"/>
        <w:shd w:val="clear" w:color="auto" w:fill="FFFFFF"/>
        <w:spacing w:before="0" w:beforeAutospacing="0" w:after="0" w:afterAutospacing="0" w:line="560" w:lineRule="exact"/>
        <w:ind w:left="5030" w:leftChars="1100" w:hanging="2720" w:hangingChars="850"/>
        <w:rPr>
          <w:rFonts w:ascii="仿宋_GB2312" w:hAnsi="仿宋_GB2312" w:eastAsia="仿宋_GB2312" w:cs="仿宋_GB2312"/>
          <w:sz w:val="32"/>
          <w:szCs w:val="32"/>
        </w:rPr>
      </w:pPr>
      <w:r>
        <w:rPr>
          <w:rFonts w:hint="eastAsia" w:ascii="仿宋_GB2312" w:hAnsi="仿宋" w:eastAsia="仿宋_GB2312"/>
          <w:sz w:val="32"/>
          <w:szCs w:val="32"/>
        </w:rPr>
        <w:t xml:space="preserve">                    2019年</w:t>
      </w:r>
      <w:r>
        <w:rPr>
          <w:rFonts w:hint="eastAsia" w:ascii="仿宋_GB2312" w:hAnsi="仿宋" w:eastAsia="仿宋_GB2312"/>
          <w:sz w:val="32"/>
          <w:szCs w:val="32"/>
          <w:lang w:val="en-US" w:eastAsia="zh-CN"/>
        </w:rPr>
        <w:t>8</w:t>
      </w:r>
      <w:r>
        <w:rPr>
          <w:rFonts w:hint="eastAsia" w:ascii="仿宋_GB2312" w:hAnsi="仿宋" w:eastAsia="仿宋_GB2312"/>
          <w:sz w:val="32"/>
          <w:szCs w:val="32"/>
        </w:rPr>
        <w:t>月</w:t>
      </w:r>
      <w:r>
        <w:rPr>
          <w:rFonts w:hint="eastAsia" w:ascii="仿宋_GB2312" w:hAnsi="仿宋" w:eastAsia="仿宋_GB2312"/>
          <w:sz w:val="32"/>
          <w:szCs w:val="32"/>
          <w:lang w:val="en-US" w:eastAsia="zh-CN"/>
        </w:rPr>
        <w:t>26</w:t>
      </w:r>
      <w:r>
        <w:rPr>
          <w:rFonts w:hint="eastAsia" w:ascii="仿宋_GB2312" w:hAnsi="仿宋" w:eastAsia="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91B22"/>
    <w:rsid w:val="00291808"/>
    <w:rsid w:val="00491B22"/>
    <w:rsid w:val="0052390C"/>
    <w:rsid w:val="10240A1B"/>
    <w:rsid w:val="135E7721"/>
    <w:rsid w:val="16F511E7"/>
    <w:rsid w:val="2CF964DF"/>
    <w:rsid w:val="31C15B64"/>
    <w:rsid w:val="3BB23E09"/>
    <w:rsid w:val="3E5C017A"/>
    <w:rsid w:val="42D2123F"/>
    <w:rsid w:val="78D31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53</Words>
  <Characters>307</Characters>
  <Lines>2</Lines>
  <Paragraphs>1</Paragraphs>
  <TotalTime>3</TotalTime>
  <ScaleCrop>false</ScaleCrop>
  <LinksUpToDate>false</LinksUpToDate>
  <CharactersWithSpaces>359</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横圆香羊羊羊</cp:lastModifiedBy>
  <cp:lastPrinted>2019-08-30T01:37:54Z</cp:lastPrinted>
  <dcterms:modified xsi:type="dcterms:W3CDTF">2019-08-30T01:38:48Z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